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A8096" w14:textId="77777777" w:rsidR="00592116" w:rsidRDefault="00592116" w:rsidP="00592116">
      <w:pPr>
        <w:spacing w:line="360" w:lineRule="auto"/>
        <w:jc w:val="both"/>
        <w:rPr>
          <w:rFonts w:ascii="Times New Roman" w:hAnsi="Times New Roman" w:cs="Times New Roman"/>
          <w:b/>
          <w:bCs/>
          <w:sz w:val="24"/>
        </w:rPr>
      </w:pPr>
      <w:r>
        <w:rPr>
          <w:rFonts w:ascii="Times New Roman" w:hAnsi="Times New Roman" w:cs="Times New Roman"/>
          <w:b/>
          <w:bCs/>
          <w:sz w:val="24"/>
        </w:rPr>
        <w:t>Supplemental</w:t>
      </w:r>
      <w:r>
        <w:rPr>
          <w:rFonts w:ascii="Times New Roman" w:hAnsi="Times New Roman" w:cs="Times New Roman" w:hint="eastAsia"/>
          <w:b/>
          <w:bCs/>
          <w:sz w:val="24"/>
        </w:rPr>
        <w:t xml:space="preserve"> information</w:t>
      </w:r>
    </w:p>
    <w:p w14:paraId="3FA3E664" w14:textId="77777777" w:rsidR="00592116" w:rsidRPr="001506BA" w:rsidRDefault="00592116" w:rsidP="00592116">
      <w:pPr>
        <w:spacing w:line="360" w:lineRule="auto"/>
        <w:jc w:val="both"/>
        <w:rPr>
          <w:rFonts w:ascii="Times New Roman" w:hAnsi="Times New Roman" w:cs="Times New Roman"/>
          <w:b/>
          <w:bCs/>
          <w:sz w:val="24"/>
        </w:rPr>
      </w:pPr>
      <w:r>
        <w:rPr>
          <w:rFonts w:ascii="Times New Roman" w:hAnsi="Times New Roman" w:cs="Times New Roman" w:hint="eastAsia"/>
          <w:b/>
          <w:bCs/>
          <w:noProof/>
          <w:sz w:val="24"/>
          <w:lang w:eastAsia="en-IN"/>
        </w:rPr>
        <w:drawing>
          <wp:inline distT="0" distB="0" distL="0" distR="0" wp14:anchorId="0AF41B4D" wp14:editId="51C8160A">
            <wp:extent cx="5272405" cy="2867660"/>
            <wp:effectExtent l="0" t="0" r="4445" b="8890"/>
            <wp:docPr id="15028949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894907"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272405" cy="2867660"/>
                    </a:xfrm>
                    <a:prstGeom prst="rect">
                      <a:avLst/>
                    </a:prstGeom>
                    <a:noFill/>
                    <a:ln>
                      <a:noFill/>
                    </a:ln>
                  </pic:spPr>
                </pic:pic>
              </a:graphicData>
            </a:graphic>
          </wp:inline>
        </w:drawing>
      </w:r>
    </w:p>
    <w:p w14:paraId="0DCA5363" w14:textId="7777777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sz w:val="24"/>
        </w:rPr>
        <w:t>Figure S1. Marker genes of fibroblast-like cells and monocytic cells. (A, B) UMAP plot with colour-coded expression (grey to red) of markers of fibroblast-like cells (A) and monocytic cells</w:t>
      </w:r>
      <w:r>
        <w:rPr>
          <w:rFonts w:ascii="Times New Roman" w:hAnsi="Times New Roman" w:cs="Times New Roman" w:hint="eastAsia"/>
          <w:sz w:val="24"/>
        </w:rPr>
        <w:t xml:space="preserve"> (B)</w:t>
      </w:r>
      <w:r>
        <w:rPr>
          <w:rFonts w:ascii="Times New Roman" w:hAnsi="Times New Roman" w:cs="Times New Roman"/>
          <w:sz w:val="24"/>
        </w:rPr>
        <w:t>.</w:t>
      </w:r>
      <w:r>
        <w:rPr>
          <w:rFonts w:ascii="Times New Roman" w:hAnsi="Times New Roman" w:cs="Times New Roman" w:hint="eastAsia"/>
          <w:sz w:val="24"/>
        </w:rPr>
        <w:t xml:space="preserve"> (C, D) </w:t>
      </w:r>
      <w:r>
        <w:rPr>
          <w:rFonts w:ascii="Times New Roman" w:hAnsi="Times New Roman" w:cs="Times New Roman"/>
          <w:sz w:val="24"/>
        </w:rPr>
        <w:t xml:space="preserve">Gene set scores of the indicated gene sets in cells from healthy </w:t>
      </w:r>
      <w:r>
        <w:rPr>
          <w:rFonts w:ascii="Times New Roman" w:eastAsia="等线" w:hAnsi="Times New Roman" w:cs="Times New Roman"/>
          <w:sz w:val="24"/>
        </w:rPr>
        <w:t>controls</w:t>
      </w:r>
      <w:r>
        <w:rPr>
          <w:rFonts w:ascii="Times New Roman" w:hAnsi="Times New Roman" w:cs="Times New Roman"/>
          <w:sz w:val="24"/>
        </w:rPr>
        <w:t xml:space="preserve"> and </w:t>
      </w:r>
      <w:r>
        <w:rPr>
          <w:rFonts w:ascii="Times New Roman" w:eastAsia="等线" w:hAnsi="Times New Roman" w:cs="Times New Roman"/>
          <w:sz w:val="24"/>
        </w:rPr>
        <w:t xml:space="preserve">patients with </w:t>
      </w:r>
      <w:r>
        <w:rPr>
          <w:rFonts w:ascii="Times New Roman" w:hAnsi="Times New Roman" w:cs="Times New Roman"/>
          <w:sz w:val="24"/>
        </w:rPr>
        <w:t>chronic infection.</w:t>
      </w:r>
      <w:r>
        <w:rPr>
          <w:rFonts w:ascii="Times New Roman" w:hAnsi="Times New Roman" w:cs="Times New Roman" w:hint="eastAsia"/>
          <w:sz w:val="24"/>
        </w:rPr>
        <w:t xml:space="preserve"> </w:t>
      </w:r>
      <w:r>
        <w:rPr>
          <w:rFonts w:ascii="Times New Roman" w:hAnsi="Times New Roman" w:cs="Times New Roman"/>
          <w:sz w:val="24"/>
        </w:rPr>
        <w:t>The significance of differences between groups was evaluated using the Wilcoxon rank-sum test (</w:t>
      </w:r>
      <w:r>
        <w:rPr>
          <w:rFonts w:ascii="Times New Roman" w:hAnsi="Times New Roman" w:cs="Times New Roman" w:hint="eastAsia"/>
          <w:sz w:val="24"/>
        </w:rPr>
        <w:t>C</w:t>
      </w:r>
      <w:r>
        <w:rPr>
          <w:rFonts w:ascii="Times New Roman" w:hAnsi="Times New Roman" w:cs="Times New Roman"/>
          <w:sz w:val="24"/>
        </w:rPr>
        <w:t xml:space="preserve">, </w:t>
      </w:r>
      <w:r>
        <w:rPr>
          <w:rFonts w:ascii="Times New Roman" w:hAnsi="Times New Roman" w:cs="Times New Roman" w:hint="eastAsia"/>
          <w:sz w:val="24"/>
        </w:rPr>
        <w:t>D</w:t>
      </w:r>
      <w:r>
        <w:rPr>
          <w:rFonts w:ascii="Times New Roman" w:hAnsi="Times New Roman" w:cs="Times New Roman"/>
          <w:sz w:val="24"/>
        </w:rPr>
        <w:t>). The median values and interquartile ranges are presented.</w:t>
      </w:r>
    </w:p>
    <w:p w14:paraId="25EDB444" w14:textId="77777777" w:rsidR="00592116" w:rsidRDefault="00592116" w:rsidP="00592116">
      <w:pPr>
        <w:spacing w:line="360" w:lineRule="auto"/>
        <w:jc w:val="both"/>
        <w:rPr>
          <w:rFonts w:ascii="Times New Roman" w:hAnsi="Times New Roman" w:cs="Times New Roman"/>
          <w:sz w:val="24"/>
        </w:rPr>
      </w:pPr>
      <w:r>
        <w:rPr>
          <w:rFonts w:ascii="Times New Roman" w:hAnsi="Times New Roman" w:cs="Times New Roman"/>
          <w:noProof/>
          <w:sz w:val="24"/>
          <w:lang w:eastAsia="en-IN"/>
        </w:rPr>
        <w:drawing>
          <wp:inline distT="0" distB="0" distL="0" distR="0" wp14:anchorId="040258E6" wp14:editId="69192C2B">
            <wp:extent cx="5272405" cy="3705225"/>
            <wp:effectExtent l="0" t="0" r="4445" b="9525"/>
            <wp:docPr id="17215189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18958"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272405" cy="3705225"/>
                    </a:xfrm>
                    <a:prstGeom prst="rect">
                      <a:avLst/>
                    </a:prstGeom>
                    <a:noFill/>
                    <a:ln>
                      <a:noFill/>
                    </a:ln>
                  </pic:spPr>
                </pic:pic>
              </a:graphicData>
            </a:graphic>
          </wp:inline>
        </w:drawing>
      </w:r>
    </w:p>
    <w:p w14:paraId="2B294A21" w14:textId="77777777" w:rsidR="00592116" w:rsidRPr="00D57A34" w:rsidRDefault="00592116" w:rsidP="00592116">
      <w:pPr>
        <w:spacing w:line="360" w:lineRule="auto"/>
        <w:jc w:val="both"/>
        <w:rPr>
          <w:rFonts w:ascii="Times New Roman" w:hAnsi="Times New Roman" w:cs="Times New Roman"/>
          <w:sz w:val="24"/>
        </w:rPr>
      </w:pPr>
      <w:r>
        <w:rPr>
          <w:rFonts w:ascii="Times New Roman" w:hAnsi="Times New Roman" w:cs="Times New Roman"/>
          <w:sz w:val="24"/>
        </w:rPr>
        <w:lastRenderedPageBreak/>
        <w:t>Figure S2. Single-cell sequencing analysis of the microenvironment</w:t>
      </w:r>
      <w:r>
        <w:rPr>
          <w:rFonts w:ascii="Times New Roman" w:hAnsi="Times New Roman" w:cs="Times New Roman" w:hint="eastAsia"/>
          <w:sz w:val="24"/>
        </w:rPr>
        <w:t xml:space="preserve"> in </w:t>
      </w:r>
      <w:r>
        <w:rPr>
          <w:rFonts w:ascii="Times New Roman" w:hAnsi="Times New Roman" w:cs="Times New Roman"/>
          <w:sz w:val="24"/>
        </w:rPr>
        <w:t>osteomyelitis. (</w:t>
      </w:r>
      <w:r>
        <w:rPr>
          <w:rFonts w:ascii="Times New Roman" w:hAnsi="Times New Roman" w:cs="Times New Roman" w:hint="eastAsia"/>
          <w:sz w:val="24"/>
        </w:rPr>
        <w:t>A</w:t>
      </w:r>
      <w:r>
        <w:rPr>
          <w:rFonts w:ascii="Times New Roman" w:hAnsi="Times New Roman" w:cs="Times New Roman"/>
          <w:sz w:val="24"/>
        </w:rPr>
        <w:t>) UMAP plot of cells isolated from control and osteomyelitis samples. The cells within the red dashed lines were further divided into subgroups.</w:t>
      </w:r>
      <w:r>
        <w:rPr>
          <w:rFonts w:ascii="Times New Roman" w:hAnsi="Times New Roman" w:cs="Times New Roman" w:hint="eastAsia"/>
          <w:sz w:val="24"/>
        </w:rPr>
        <w:t xml:space="preserve"> </w:t>
      </w:r>
      <w:r>
        <w:rPr>
          <w:rFonts w:ascii="Times New Roman" w:hAnsi="Times New Roman" w:cs="Times New Roman"/>
          <w:sz w:val="24"/>
        </w:rPr>
        <w:t xml:space="preserve">DCs: dendritic cells. </w:t>
      </w:r>
      <w:r>
        <w:rPr>
          <w:rFonts w:ascii="Times New Roman" w:hAnsi="Times New Roman" w:cs="Times New Roman" w:hint="eastAsia"/>
          <w:sz w:val="24"/>
        </w:rPr>
        <w:t>(B)</w:t>
      </w:r>
      <w:r>
        <w:rPr>
          <w:rFonts w:ascii="Times New Roman" w:hAnsi="Times New Roman" w:cs="Times New Roman"/>
          <w:sz w:val="24"/>
        </w:rPr>
        <w:t xml:space="preserve"> UMAP plot of monocytic cells.</w:t>
      </w:r>
      <w:r>
        <w:rPr>
          <w:rFonts w:ascii="Times New Roman" w:hAnsi="Times New Roman" w:cs="Times New Roman" w:hint="eastAsia"/>
          <w:sz w:val="24"/>
        </w:rPr>
        <w:t xml:space="preserve"> </w:t>
      </w:r>
      <w:r>
        <w:rPr>
          <w:rFonts w:ascii="Times New Roman" w:hAnsi="Times New Roman" w:cs="Times New Roman"/>
          <w:sz w:val="24"/>
        </w:rPr>
        <w:t>(</w:t>
      </w:r>
      <w:r>
        <w:rPr>
          <w:rFonts w:ascii="Times New Roman" w:hAnsi="Times New Roman" w:cs="Times New Roman" w:hint="eastAsia"/>
          <w:sz w:val="24"/>
        </w:rPr>
        <w:t>C</w:t>
      </w:r>
      <w:r>
        <w:rPr>
          <w:rFonts w:ascii="Times New Roman" w:hAnsi="Times New Roman" w:cs="Times New Roman"/>
          <w:sz w:val="24"/>
        </w:rPr>
        <w:t xml:space="preserve">) Monocle </w:t>
      </w:r>
      <w:proofErr w:type="spellStart"/>
      <w:r>
        <w:rPr>
          <w:rFonts w:ascii="Times New Roman" w:hAnsi="Times New Roman" w:cs="Times New Roman"/>
          <w:sz w:val="24"/>
        </w:rPr>
        <w:t>pseudotime</w:t>
      </w:r>
      <w:proofErr w:type="spellEnd"/>
      <w:r>
        <w:rPr>
          <w:rFonts w:ascii="Times New Roman" w:hAnsi="Times New Roman" w:cs="Times New Roman"/>
          <w:sz w:val="24"/>
        </w:rPr>
        <w:t xml:space="preserve"> analysis showing the progression</w:t>
      </w:r>
      <w:r>
        <w:rPr>
          <w:rFonts w:ascii="Times New Roman" w:hAnsi="Times New Roman" w:cs="Times New Roman" w:hint="eastAsia"/>
          <w:sz w:val="24"/>
        </w:rPr>
        <w:t xml:space="preserve"> </w:t>
      </w:r>
      <w:r>
        <w:rPr>
          <w:rFonts w:ascii="Times New Roman" w:hAnsi="Times New Roman" w:cs="Times New Roman"/>
          <w:sz w:val="24"/>
        </w:rPr>
        <w:t>of monocyte</w:t>
      </w:r>
      <w:r>
        <w:rPr>
          <w:rFonts w:ascii="Times New Roman" w:hAnsi="Times New Roman" w:cs="Times New Roman" w:hint="eastAsia"/>
          <w:sz w:val="24"/>
        </w:rPr>
        <w:t xml:space="preserve"> </w:t>
      </w:r>
      <w:r>
        <w:rPr>
          <w:rFonts w:ascii="Times New Roman" w:hAnsi="Times New Roman" w:cs="Times New Roman"/>
          <w:sz w:val="24"/>
        </w:rPr>
        <w:t>precursors, macrophages,</w:t>
      </w:r>
      <w:r>
        <w:rPr>
          <w:rFonts w:ascii="Times New Roman" w:hAnsi="Times New Roman" w:cs="Times New Roman" w:hint="eastAsia"/>
          <w:sz w:val="24"/>
        </w:rPr>
        <w:t xml:space="preserve"> </w:t>
      </w:r>
      <w:r>
        <w:rPr>
          <w:rFonts w:ascii="Times New Roman" w:hAnsi="Times New Roman" w:cs="Times New Roman"/>
          <w:sz w:val="24"/>
        </w:rPr>
        <w:t>and osteoclasts.</w:t>
      </w:r>
      <w:r>
        <w:rPr>
          <w:rFonts w:ascii="Times New Roman" w:hAnsi="Times New Roman" w:cs="Times New Roman" w:hint="eastAsia"/>
          <w:sz w:val="24"/>
        </w:rPr>
        <w:t xml:space="preserve"> </w:t>
      </w:r>
      <w:r>
        <w:rPr>
          <w:rFonts w:ascii="Times New Roman" w:hAnsi="Times New Roman" w:cs="Times New Roman"/>
          <w:sz w:val="24"/>
        </w:rPr>
        <w:t>(</w:t>
      </w:r>
      <w:r>
        <w:rPr>
          <w:rFonts w:ascii="Times New Roman" w:hAnsi="Times New Roman" w:cs="Times New Roman" w:hint="eastAsia"/>
          <w:sz w:val="24"/>
        </w:rPr>
        <w:t>D</w:t>
      </w:r>
      <w:r>
        <w:rPr>
          <w:rFonts w:ascii="Times New Roman" w:hAnsi="Times New Roman" w:cs="Times New Roman"/>
          <w:sz w:val="24"/>
        </w:rPr>
        <w:t xml:space="preserve">) </w:t>
      </w:r>
      <w:proofErr w:type="spellStart"/>
      <w:r>
        <w:rPr>
          <w:rFonts w:ascii="Times New Roman" w:hAnsi="Times New Roman" w:cs="Times New Roman"/>
          <w:sz w:val="24"/>
        </w:rPr>
        <w:t>Pseudotemporal</w:t>
      </w:r>
      <w:proofErr w:type="spellEnd"/>
      <w:r>
        <w:rPr>
          <w:rFonts w:ascii="Times New Roman" w:hAnsi="Times New Roman" w:cs="Times New Roman"/>
          <w:sz w:val="24"/>
        </w:rPr>
        <w:t xml:space="preserve"> depiction of differentially expressed genes in the three branches shown in (</w:t>
      </w:r>
      <w:r>
        <w:rPr>
          <w:rFonts w:ascii="Times New Roman" w:hAnsi="Times New Roman" w:cs="Times New Roman" w:hint="eastAsia"/>
          <w:sz w:val="24"/>
        </w:rPr>
        <w:t>C</w:t>
      </w:r>
      <w:r>
        <w:rPr>
          <w:rFonts w:ascii="Times New Roman" w:hAnsi="Times New Roman" w:cs="Times New Roman"/>
          <w:sz w:val="24"/>
        </w:rPr>
        <w:t>) starting from monocyte</w:t>
      </w:r>
      <w:r>
        <w:rPr>
          <w:rFonts w:ascii="Times New Roman" w:hAnsi="Times New Roman" w:cs="Times New Roman" w:hint="eastAsia"/>
          <w:sz w:val="24"/>
        </w:rPr>
        <w:t xml:space="preserve"> </w:t>
      </w:r>
      <w:r>
        <w:rPr>
          <w:rFonts w:ascii="Times New Roman" w:hAnsi="Times New Roman" w:cs="Times New Roman"/>
          <w:sz w:val="24"/>
        </w:rPr>
        <w:t>precursors and leading to the differentiation of macrophages (left) and osteoclasts (right). Genes were catalogued into 4 major clusters, with representative genes in each cluster listed along the right margin. (</w:t>
      </w:r>
      <w:r>
        <w:rPr>
          <w:rFonts w:ascii="Times New Roman" w:hAnsi="Times New Roman" w:cs="Times New Roman" w:hint="eastAsia"/>
          <w:sz w:val="24"/>
        </w:rPr>
        <w:t>E</w:t>
      </w:r>
      <w:r>
        <w:rPr>
          <w:rFonts w:ascii="Times New Roman" w:hAnsi="Times New Roman" w:cs="Times New Roman"/>
          <w:sz w:val="24"/>
        </w:rPr>
        <w:t xml:space="preserve">) GO analysis of differentially expressed genes associated with the </w:t>
      </w:r>
      <w:r>
        <w:rPr>
          <w:rFonts w:ascii="Times New Roman" w:hAnsi="Times New Roman" w:cs="Times New Roman" w:hint="eastAsia"/>
          <w:sz w:val="24"/>
        </w:rPr>
        <w:t>four</w:t>
      </w:r>
      <w:r>
        <w:rPr>
          <w:rFonts w:ascii="Times New Roman" w:hAnsi="Times New Roman" w:cs="Times New Roman"/>
          <w:sz w:val="24"/>
        </w:rPr>
        <w:t xml:space="preserve"> gene clusters in (</w:t>
      </w:r>
      <w:r>
        <w:rPr>
          <w:rFonts w:ascii="Times New Roman" w:hAnsi="Times New Roman" w:cs="Times New Roman" w:hint="eastAsia"/>
          <w:sz w:val="24"/>
        </w:rPr>
        <w:t>D</w:t>
      </w:r>
      <w:r>
        <w:rPr>
          <w:rFonts w:ascii="Times New Roman" w:hAnsi="Times New Roman" w:cs="Times New Roman"/>
          <w:sz w:val="24"/>
        </w:rPr>
        <w:t>). (</w:t>
      </w:r>
      <w:r>
        <w:rPr>
          <w:rFonts w:ascii="Times New Roman" w:hAnsi="Times New Roman" w:cs="Times New Roman" w:hint="eastAsia"/>
          <w:sz w:val="24"/>
        </w:rPr>
        <w:t>F</w:t>
      </w:r>
      <w:r>
        <w:rPr>
          <w:rFonts w:ascii="Times New Roman" w:hAnsi="Times New Roman" w:cs="Times New Roman"/>
          <w:sz w:val="24"/>
        </w:rPr>
        <w:t xml:space="preserve">) Gene set scores of the indicated gene sets in cells from control and </w:t>
      </w:r>
      <w:r>
        <w:rPr>
          <w:rFonts w:ascii="Times New Roman" w:hAnsi="Times New Roman" w:cs="Times New Roman" w:hint="eastAsia"/>
          <w:sz w:val="24"/>
        </w:rPr>
        <w:t>infect</w:t>
      </w:r>
      <w:r>
        <w:rPr>
          <w:rFonts w:ascii="Times New Roman" w:hAnsi="Times New Roman" w:cs="Times New Roman"/>
          <w:sz w:val="24"/>
        </w:rPr>
        <w:t>ed samples. The significance of differences between groups was evaluated using the Wilcoxon rank-sum test (</w:t>
      </w:r>
      <w:r>
        <w:rPr>
          <w:rFonts w:ascii="Times New Roman" w:hAnsi="Times New Roman" w:cs="Times New Roman" w:hint="eastAsia"/>
          <w:sz w:val="24"/>
        </w:rPr>
        <w:t>F</w:t>
      </w:r>
      <w:r>
        <w:rPr>
          <w:rFonts w:ascii="Times New Roman" w:hAnsi="Times New Roman" w:cs="Times New Roman"/>
          <w:sz w:val="24"/>
        </w:rPr>
        <w:t>).</w:t>
      </w:r>
    </w:p>
    <w:p w14:paraId="6A0D9B05" w14:textId="7777777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noProof/>
          <w:sz w:val="24"/>
          <w:lang w:eastAsia="en-IN"/>
        </w:rPr>
        <w:drawing>
          <wp:inline distT="0" distB="0" distL="0" distR="0" wp14:anchorId="05C06BCE" wp14:editId="41F46CD1">
            <wp:extent cx="3136900" cy="1689100"/>
            <wp:effectExtent l="0" t="0" r="0" b="0"/>
            <wp:docPr id="924456602"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56602" name="图片 2" descr="图表&#10;&#10;AI 生成的内容可能不正确。"/>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6900" cy="1689100"/>
                    </a:xfrm>
                    <a:prstGeom prst="rect">
                      <a:avLst/>
                    </a:prstGeom>
                  </pic:spPr>
                </pic:pic>
              </a:graphicData>
            </a:graphic>
          </wp:inline>
        </w:drawing>
      </w:r>
    </w:p>
    <w:p w14:paraId="2700F026" w14:textId="7777777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sz w:val="24"/>
        </w:rPr>
        <w:t>Figure S</w:t>
      </w:r>
      <w:r>
        <w:rPr>
          <w:rFonts w:ascii="Times New Roman" w:hAnsi="Times New Roman" w:cs="Times New Roman" w:hint="eastAsia"/>
          <w:sz w:val="24"/>
        </w:rPr>
        <w:t>3</w:t>
      </w:r>
      <w:r>
        <w:rPr>
          <w:rFonts w:ascii="Times New Roman" w:hAnsi="Times New Roman" w:cs="Times New Roman"/>
          <w:sz w:val="24"/>
        </w:rPr>
        <w:t xml:space="preserve">. </w:t>
      </w:r>
      <w:r>
        <w:rPr>
          <w:rFonts w:ascii="Times New Roman" w:eastAsia="等线" w:hAnsi="Times New Roman" w:cs="Times New Roman"/>
          <w:sz w:val="24"/>
        </w:rPr>
        <w:t>Mechanical</w:t>
      </w:r>
      <w:r>
        <w:rPr>
          <w:rFonts w:ascii="Times New Roman" w:hAnsi="Times New Roman" w:cs="Times New Roman"/>
          <w:sz w:val="24"/>
        </w:rPr>
        <w:t xml:space="preserve"> properties of the hydrogels. (</w:t>
      </w:r>
      <w:r>
        <w:rPr>
          <w:rFonts w:ascii="Times New Roman" w:hAnsi="Times New Roman" w:cs="Times New Roman" w:hint="eastAsia"/>
          <w:sz w:val="24"/>
        </w:rPr>
        <w:t>A</w:t>
      </w:r>
      <w:r>
        <w:rPr>
          <w:rFonts w:ascii="Times New Roman" w:hAnsi="Times New Roman" w:cs="Times New Roman"/>
          <w:sz w:val="24"/>
        </w:rPr>
        <w:t xml:space="preserve">) Relative compression </w:t>
      </w:r>
      <w:r>
        <w:rPr>
          <w:rFonts w:ascii="Times New Roman" w:eastAsia="等线" w:hAnsi="Times New Roman" w:cs="Times New Roman"/>
          <w:sz w:val="24"/>
        </w:rPr>
        <w:t>moduli</w:t>
      </w:r>
      <w:r>
        <w:rPr>
          <w:rFonts w:ascii="Times New Roman" w:hAnsi="Times New Roman" w:cs="Times New Roman"/>
          <w:sz w:val="24"/>
        </w:rPr>
        <w:t xml:space="preserve"> of </w:t>
      </w:r>
      <w:proofErr w:type="spellStart"/>
      <w:r>
        <w:rPr>
          <w:rFonts w:ascii="Times New Roman" w:hAnsi="Times New Roman" w:cs="Times New Roman"/>
          <w:sz w:val="24"/>
        </w:rPr>
        <w:t>Gen@NPV-ECM</w:t>
      </w:r>
      <w:proofErr w:type="spellEnd"/>
      <w:r>
        <w:rPr>
          <w:rFonts w:ascii="Times New Roman" w:hAnsi="Times New Roman" w:cs="Times New Roman"/>
          <w:sz w:val="24"/>
        </w:rPr>
        <w:t xml:space="preserve"> and </w:t>
      </w:r>
      <w:proofErr w:type="spellStart"/>
      <w:r>
        <w:rPr>
          <w:rFonts w:ascii="Times New Roman" w:hAnsi="Times New Roman" w:cs="Times New Roman"/>
          <w:sz w:val="24"/>
        </w:rPr>
        <w:t>CaP-Gen@NPV-ECM</w:t>
      </w:r>
      <w:proofErr w:type="spellEnd"/>
      <w:r>
        <w:rPr>
          <w:rFonts w:ascii="Times New Roman" w:hAnsi="Times New Roman" w:cs="Times New Roman"/>
          <w:sz w:val="24"/>
        </w:rPr>
        <w:t xml:space="preserve"> (n = 3). (</w:t>
      </w:r>
      <w:r>
        <w:rPr>
          <w:rFonts w:ascii="Times New Roman" w:hAnsi="Times New Roman" w:cs="Times New Roman" w:hint="eastAsia"/>
          <w:sz w:val="24"/>
        </w:rPr>
        <w:t>B</w:t>
      </w:r>
      <w:r>
        <w:rPr>
          <w:rFonts w:ascii="Times New Roman" w:hAnsi="Times New Roman" w:cs="Times New Roman"/>
          <w:sz w:val="24"/>
        </w:rPr>
        <w:t xml:space="preserve">) Relative tensile moduli of </w:t>
      </w:r>
      <w:proofErr w:type="spellStart"/>
      <w:r>
        <w:rPr>
          <w:rFonts w:ascii="Times New Roman" w:hAnsi="Times New Roman" w:cs="Times New Roman"/>
          <w:sz w:val="24"/>
        </w:rPr>
        <w:t>Gen@NPV-ECM</w:t>
      </w:r>
      <w:proofErr w:type="spellEnd"/>
      <w:r>
        <w:rPr>
          <w:rFonts w:ascii="Times New Roman" w:hAnsi="Times New Roman" w:cs="Times New Roman"/>
          <w:sz w:val="24"/>
        </w:rPr>
        <w:t xml:space="preserve"> and </w:t>
      </w:r>
      <w:proofErr w:type="spellStart"/>
      <w:r>
        <w:rPr>
          <w:rFonts w:ascii="Times New Roman" w:hAnsi="Times New Roman" w:cs="Times New Roman"/>
          <w:sz w:val="24"/>
        </w:rPr>
        <w:t>CaP-Gen@NPV-ECM</w:t>
      </w:r>
      <w:proofErr w:type="spellEnd"/>
      <w:r>
        <w:rPr>
          <w:rFonts w:ascii="Times New Roman" w:hAnsi="Times New Roman" w:cs="Times New Roman"/>
          <w:sz w:val="24"/>
        </w:rPr>
        <w:t xml:space="preserve"> (n = 3). The significance of differences between two groups was evaluated using </w:t>
      </w:r>
      <w:r>
        <w:rPr>
          <w:rFonts w:ascii="Times New Roman" w:eastAsia="等线" w:hAnsi="Times New Roman" w:cs="Times New Roman"/>
          <w:sz w:val="24"/>
        </w:rPr>
        <w:t xml:space="preserve">a </w:t>
      </w:r>
      <w:r>
        <w:rPr>
          <w:rFonts w:ascii="Times New Roman" w:hAnsi="Times New Roman" w:cs="Times New Roman"/>
          <w:sz w:val="24"/>
        </w:rPr>
        <w:t>two-tailed Student’s t test (</w:t>
      </w:r>
      <w:r>
        <w:rPr>
          <w:rFonts w:ascii="Times New Roman" w:hAnsi="Times New Roman" w:cs="Times New Roman" w:hint="eastAsia"/>
          <w:sz w:val="24"/>
        </w:rPr>
        <w:t>A</w:t>
      </w:r>
      <w:r>
        <w:rPr>
          <w:rFonts w:ascii="Times New Roman" w:hAnsi="Times New Roman" w:cs="Times New Roman"/>
          <w:sz w:val="24"/>
        </w:rPr>
        <w:t xml:space="preserve">, </w:t>
      </w:r>
      <w:r>
        <w:rPr>
          <w:rFonts w:ascii="Times New Roman" w:hAnsi="Times New Roman" w:cs="Times New Roman" w:hint="eastAsia"/>
          <w:sz w:val="24"/>
        </w:rPr>
        <w:t>B</w:t>
      </w:r>
      <w:r>
        <w:rPr>
          <w:rFonts w:ascii="Times New Roman" w:hAnsi="Times New Roman" w:cs="Times New Roman"/>
          <w:sz w:val="24"/>
        </w:rPr>
        <w:t>). The mean values and SDs are presented.</w:t>
      </w:r>
    </w:p>
    <w:p w14:paraId="6A09B9C5" w14:textId="7777777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noProof/>
          <w:sz w:val="24"/>
          <w:lang w:eastAsia="en-IN"/>
        </w:rPr>
        <w:lastRenderedPageBreak/>
        <w:drawing>
          <wp:inline distT="0" distB="0" distL="0" distR="0" wp14:anchorId="58FF637E" wp14:editId="5898C33F">
            <wp:extent cx="5267626" cy="3101645"/>
            <wp:effectExtent l="0" t="0" r="0" b="3810"/>
            <wp:docPr id="12630835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353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b="58374"/>
                    <a:stretch>
                      <a:fillRect/>
                    </a:stretch>
                  </pic:blipFill>
                  <pic:spPr bwMode="auto">
                    <a:xfrm>
                      <a:off x="0" y="0"/>
                      <a:ext cx="5267960" cy="3101842"/>
                    </a:xfrm>
                    <a:prstGeom prst="rect">
                      <a:avLst/>
                    </a:prstGeom>
                    <a:noFill/>
                    <a:ln>
                      <a:noFill/>
                    </a:ln>
                    <a:extLst>
                      <a:ext uri="{53640926-AAD7-44D8-BBD7-CCE9431645EC}">
                        <a14:shadowObscured xmlns:a14="http://schemas.microsoft.com/office/drawing/2010/main"/>
                      </a:ext>
                    </a:extLst>
                  </pic:spPr>
                </pic:pic>
              </a:graphicData>
            </a:graphic>
          </wp:inline>
        </w:drawing>
      </w:r>
    </w:p>
    <w:p w14:paraId="12289DD9" w14:textId="77777777" w:rsidR="00592116" w:rsidRDefault="00592116" w:rsidP="00592116">
      <w:pPr>
        <w:spacing w:line="360" w:lineRule="auto"/>
        <w:jc w:val="both"/>
        <w:rPr>
          <w:rFonts w:ascii="Times New Roman" w:hAnsi="Times New Roman" w:cs="Times New Roman"/>
          <w:sz w:val="24"/>
        </w:rPr>
      </w:pPr>
      <w:r>
        <w:rPr>
          <w:rFonts w:ascii="Times New Roman" w:hAnsi="Times New Roman" w:cs="Times New Roman"/>
          <w:sz w:val="24"/>
        </w:rPr>
        <w:t>Figure S</w:t>
      </w:r>
      <w:r>
        <w:rPr>
          <w:rFonts w:ascii="Times New Roman" w:hAnsi="Times New Roman" w:cs="Times New Roman" w:hint="eastAsia"/>
          <w:sz w:val="24"/>
        </w:rPr>
        <w:t>4</w:t>
      </w:r>
      <w:r>
        <w:rPr>
          <w:rFonts w:ascii="Times New Roman" w:hAnsi="Times New Roman" w:cs="Times New Roman"/>
          <w:sz w:val="24"/>
        </w:rPr>
        <w:t xml:space="preserve">. </w:t>
      </w:r>
      <w:r>
        <w:rPr>
          <w:rFonts w:ascii="Times New Roman" w:eastAsia="等线" w:hAnsi="Times New Roman" w:cs="Times New Roman"/>
          <w:sz w:val="24"/>
        </w:rPr>
        <w:t>Antibacterial</w:t>
      </w:r>
      <w:r>
        <w:rPr>
          <w:rFonts w:ascii="Times New Roman" w:hAnsi="Times New Roman" w:cs="Times New Roman"/>
          <w:sz w:val="24"/>
        </w:rPr>
        <w:t xml:space="preserve"> activity of </w:t>
      </w:r>
      <w:proofErr w:type="spellStart"/>
      <w:r>
        <w:rPr>
          <w:rFonts w:ascii="Times New Roman" w:hAnsi="Times New Roman" w:cs="Times New Roman"/>
          <w:sz w:val="24"/>
        </w:rPr>
        <w:t>CaP-Gen@NPVs</w:t>
      </w:r>
      <w:proofErr w:type="spellEnd"/>
      <w:r>
        <w:rPr>
          <w:rFonts w:ascii="Times New Roman" w:hAnsi="Times New Roman" w:cs="Times New Roman" w:hint="eastAsia"/>
          <w:sz w:val="24"/>
        </w:rPr>
        <w:t xml:space="preserve"> compared with gentamicin</w:t>
      </w:r>
      <w:r>
        <w:rPr>
          <w:rFonts w:ascii="Times New Roman" w:hAnsi="Times New Roman" w:cs="Times New Roman"/>
          <w:sz w:val="24"/>
        </w:rPr>
        <w:t xml:space="preserve">. </w:t>
      </w:r>
      <w:r>
        <w:rPr>
          <w:rFonts w:ascii="Times New Roman" w:hAnsi="Times New Roman" w:cs="Times New Roman" w:hint="eastAsia"/>
          <w:sz w:val="24"/>
        </w:rPr>
        <w:t xml:space="preserve">(A) </w:t>
      </w:r>
      <w:r>
        <w:rPr>
          <w:rFonts w:ascii="Times New Roman" w:hAnsi="Times New Roman" w:cs="Times New Roman"/>
          <w:sz w:val="24"/>
        </w:rPr>
        <w:t>Inhibition zones of</w:t>
      </w:r>
      <w:r>
        <w:rPr>
          <w:rFonts w:ascii="Times New Roman" w:hAnsi="Times New Roman" w:cs="Times New Roman" w:hint="eastAsia"/>
          <w:sz w:val="24"/>
        </w:rPr>
        <w:t xml:space="preserve"> </w:t>
      </w:r>
      <w:r>
        <w:rPr>
          <w:rFonts w:ascii="Times New Roman" w:eastAsia="SimSun" w:hAnsi="Times New Roman" w:cs="Times New Roman"/>
          <w:i/>
          <w:iCs/>
          <w:color w:val="000000"/>
          <w:sz w:val="24"/>
        </w:rPr>
        <w:t>S. aureus</w:t>
      </w:r>
      <w:r>
        <w:rPr>
          <w:rFonts w:ascii="Times New Roman" w:hAnsi="Times New Roman" w:cs="Times New Roman"/>
          <w:sz w:val="24"/>
        </w:rPr>
        <w:t xml:space="preserve"> in each group.</w:t>
      </w:r>
      <w:r>
        <w:rPr>
          <w:rFonts w:ascii="Times New Roman" w:hAnsi="Times New Roman" w:cs="Times New Roman" w:hint="eastAsia"/>
          <w:sz w:val="24"/>
        </w:rPr>
        <w:t xml:space="preserve"> (B) </w:t>
      </w:r>
      <w:r>
        <w:rPr>
          <w:rFonts w:ascii="Times New Roman" w:hAnsi="Times New Roman" w:cs="Times New Roman"/>
          <w:sz w:val="24"/>
        </w:rPr>
        <w:t xml:space="preserve">Statistical analysis of </w:t>
      </w:r>
      <w:r>
        <w:rPr>
          <w:rFonts w:ascii="Times New Roman" w:eastAsia="等线" w:hAnsi="Times New Roman" w:cs="Times New Roman"/>
          <w:sz w:val="24"/>
        </w:rPr>
        <w:t xml:space="preserve">the </w:t>
      </w:r>
      <w:r>
        <w:rPr>
          <w:rFonts w:ascii="Times New Roman" w:hAnsi="Times New Roman" w:cs="Times New Roman"/>
          <w:sz w:val="24"/>
        </w:rPr>
        <w:t>inhibition zone diameters in (</w:t>
      </w:r>
      <w:r>
        <w:rPr>
          <w:rFonts w:ascii="Times New Roman" w:hAnsi="Times New Roman" w:cs="Times New Roman" w:hint="eastAsia"/>
          <w:sz w:val="24"/>
        </w:rPr>
        <w:t>A</w:t>
      </w:r>
      <w:r>
        <w:rPr>
          <w:rFonts w:ascii="Times New Roman" w:hAnsi="Times New Roman" w:cs="Times New Roman"/>
          <w:sz w:val="24"/>
        </w:rPr>
        <w:t>) (n = 3).</w:t>
      </w:r>
      <w:r>
        <w:rPr>
          <w:rFonts w:ascii="Times New Roman" w:hAnsi="Times New Roman" w:cs="Times New Roman" w:hint="eastAsia"/>
          <w:sz w:val="24"/>
        </w:rPr>
        <w:t xml:space="preserve"> (C) </w:t>
      </w:r>
      <w:r>
        <w:rPr>
          <w:rFonts w:ascii="Times New Roman" w:hAnsi="Times New Roman" w:cs="Times New Roman"/>
          <w:sz w:val="24"/>
        </w:rPr>
        <w:t xml:space="preserve">Images of agar plate cultures of </w:t>
      </w:r>
      <w:r>
        <w:rPr>
          <w:rFonts w:ascii="Times New Roman" w:eastAsia="SimSun" w:hAnsi="Times New Roman" w:cs="Times New Roman"/>
          <w:i/>
          <w:iCs/>
          <w:color w:val="000000"/>
          <w:sz w:val="24"/>
        </w:rPr>
        <w:t>S. aureus</w:t>
      </w:r>
      <w:r>
        <w:rPr>
          <w:rFonts w:ascii="Times New Roman" w:hAnsi="Times New Roman" w:cs="Times New Roman"/>
          <w:sz w:val="24"/>
        </w:rPr>
        <w:t>. (</w:t>
      </w:r>
      <w:r>
        <w:rPr>
          <w:rFonts w:ascii="Times New Roman" w:hAnsi="Times New Roman" w:cs="Times New Roman" w:hint="eastAsia"/>
          <w:sz w:val="24"/>
        </w:rPr>
        <w:t>D</w:t>
      </w:r>
      <w:r>
        <w:rPr>
          <w:rFonts w:ascii="Times New Roman" w:hAnsi="Times New Roman" w:cs="Times New Roman"/>
          <w:sz w:val="24"/>
        </w:rPr>
        <w:t xml:space="preserve">) Quantification of the number of </w:t>
      </w:r>
      <w:r>
        <w:rPr>
          <w:rFonts w:ascii="Times New Roman" w:eastAsia="SimSun" w:hAnsi="Times New Roman" w:cs="Times New Roman"/>
          <w:i/>
          <w:iCs/>
          <w:color w:val="000000"/>
          <w:sz w:val="24"/>
        </w:rPr>
        <w:t>S. aureus</w:t>
      </w:r>
      <w:r>
        <w:rPr>
          <w:rFonts w:ascii="Times New Roman" w:hAnsi="Times New Roman" w:cs="Times New Roman"/>
          <w:sz w:val="24"/>
        </w:rPr>
        <w:t xml:space="preserve"> determined by </w:t>
      </w:r>
      <w:r>
        <w:rPr>
          <w:rFonts w:ascii="Times New Roman" w:eastAsia="等线" w:hAnsi="Times New Roman" w:cs="Times New Roman"/>
          <w:sz w:val="24"/>
        </w:rPr>
        <w:t xml:space="preserve">measuring the </w:t>
      </w:r>
      <w:r>
        <w:rPr>
          <w:rFonts w:ascii="Times New Roman" w:hAnsi="Times New Roman" w:cs="Times New Roman"/>
          <w:sz w:val="24"/>
        </w:rPr>
        <w:t>absorbance at 600 nm (OD600) (n = 3).</w:t>
      </w:r>
      <w:r>
        <w:rPr>
          <w:rFonts w:ascii="Times New Roman" w:hAnsi="Times New Roman" w:cs="Times New Roman" w:hint="eastAsia"/>
          <w:sz w:val="24"/>
        </w:rPr>
        <w:t xml:space="preserve"> (E) </w:t>
      </w:r>
      <w:r>
        <w:rPr>
          <w:rFonts w:ascii="Times New Roman" w:hAnsi="Times New Roman" w:cs="Times New Roman"/>
          <w:sz w:val="24"/>
        </w:rPr>
        <w:t xml:space="preserve">Crystal violet assay </w:t>
      </w:r>
      <w:r>
        <w:rPr>
          <w:rFonts w:ascii="Times New Roman" w:eastAsia="等线" w:hAnsi="Times New Roman" w:cs="Times New Roman"/>
          <w:sz w:val="24"/>
        </w:rPr>
        <w:t>of</w:t>
      </w:r>
      <w:r>
        <w:rPr>
          <w:rFonts w:ascii="Times New Roman" w:hAnsi="Times New Roman" w:cs="Times New Roman"/>
          <w:sz w:val="24"/>
        </w:rPr>
        <w:t xml:space="preserve"> the biofilm activity of </w:t>
      </w:r>
      <w:r>
        <w:rPr>
          <w:rFonts w:ascii="Times New Roman" w:hAnsi="Times New Roman" w:cs="Times New Roman"/>
          <w:i/>
          <w:iCs/>
          <w:sz w:val="24"/>
        </w:rPr>
        <w:t>S. aureus.</w:t>
      </w:r>
      <w:r>
        <w:rPr>
          <w:rFonts w:ascii="Times New Roman" w:hAnsi="Times New Roman" w:cs="Times New Roman"/>
          <w:sz w:val="24"/>
        </w:rPr>
        <w:t xml:space="preserve"> (</w:t>
      </w:r>
      <w:r>
        <w:rPr>
          <w:rFonts w:ascii="Times New Roman" w:hAnsi="Times New Roman" w:cs="Times New Roman" w:hint="eastAsia"/>
          <w:sz w:val="24"/>
        </w:rPr>
        <w:t>F</w:t>
      </w:r>
      <w:r>
        <w:rPr>
          <w:rFonts w:ascii="Times New Roman" w:hAnsi="Times New Roman" w:cs="Times New Roman"/>
          <w:sz w:val="24"/>
        </w:rPr>
        <w:t xml:space="preserve">) Quantification of the biofilm activity of </w:t>
      </w:r>
      <w:r>
        <w:rPr>
          <w:rFonts w:ascii="Times New Roman" w:hAnsi="Times New Roman" w:cs="Times New Roman"/>
          <w:i/>
          <w:iCs/>
          <w:sz w:val="24"/>
        </w:rPr>
        <w:t>S. aureus</w:t>
      </w:r>
      <w:r>
        <w:rPr>
          <w:rFonts w:ascii="Times New Roman" w:hAnsi="Times New Roman" w:cs="Times New Roman"/>
          <w:sz w:val="24"/>
        </w:rPr>
        <w:t xml:space="preserve"> (n = 3).</w:t>
      </w:r>
      <w:r>
        <w:rPr>
          <w:rFonts w:ascii="Times New Roman" w:hAnsi="Times New Roman" w:cs="Times New Roman" w:hint="eastAsia"/>
          <w:sz w:val="24"/>
        </w:rPr>
        <w:t xml:space="preserve"> </w:t>
      </w:r>
      <w:r>
        <w:rPr>
          <w:rFonts w:ascii="Times New Roman" w:hAnsi="Times New Roman" w:cs="Times New Roman"/>
          <w:sz w:val="24"/>
        </w:rPr>
        <w:t>The significance of differences between groups was evaluated using one-way ANOVA with Tukey’s post hoc analysis (</w:t>
      </w:r>
      <w:r>
        <w:rPr>
          <w:rFonts w:ascii="Times New Roman" w:hAnsi="Times New Roman" w:cs="Times New Roman" w:hint="eastAsia"/>
          <w:sz w:val="24"/>
        </w:rPr>
        <w:t>B</w:t>
      </w:r>
      <w:r>
        <w:rPr>
          <w:rFonts w:ascii="Times New Roman" w:hAnsi="Times New Roman" w:cs="Times New Roman"/>
          <w:sz w:val="24"/>
        </w:rPr>
        <w:t xml:space="preserve">, </w:t>
      </w:r>
      <w:r>
        <w:rPr>
          <w:rFonts w:ascii="Times New Roman" w:hAnsi="Times New Roman" w:cs="Times New Roman" w:hint="eastAsia"/>
          <w:sz w:val="24"/>
        </w:rPr>
        <w:t xml:space="preserve">D, </w:t>
      </w:r>
      <w:r>
        <w:rPr>
          <w:rFonts w:ascii="Times New Roman" w:hAnsi="Times New Roman" w:cs="Times New Roman"/>
          <w:sz w:val="24"/>
        </w:rPr>
        <w:t xml:space="preserve">and </w:t>
      </w:r>
      <w:r>
        <w:rPr>
          <w:rFonts w:ascii="Times New Roman" w:hAnsi="Times New Roman" w:cs="Times New Roman" w:hint="eastAsia"/>
          <w:sz w:val="24"/>
        </w:rPr>
        <w:t>F</w:t>
      </w:r>
      <w:r>
        <w:rPr>
          <w:rFonts w:ascii="Times New Roman" w:hAnsi="Times New Roman" w:cs="Times New Roman"/>
          <w:sz w:val="24"/>
        </w:rPr>
        <w:t>). The mean values and SDs are presented.</w:t>
      </w:r>
    </w:p>
    <w:p w14:paraId="3B3C5B29" w14:textId="77777777" w:rsidR="00592116" w:rsidRDefault="00592116" w:rsidP="00592116">
      <w:pPr>
        <w:spacing w:line="360" w:lineRule="auto"/>
        <w:jc w:val="both"/>
        <w:rPr>
          <w:rFonts w:ascii="Times New Roman" w:hAnsi="Times New Roman" w:cs="Times New Roman"/>
          <w:sz w:val="24"/>
        </w:rPr>
      </w:pPr>
      <w:r>
        <w:rPr>
          <w:rFonts w:ascii="Times New Roman" w:hAnsi="Times New Roman" w:cs="Times New Roman" w:hint="eastAsia"/>
          <w:noProof/>
          <w:sz w:val="24"/>
          <w:lang w:eastAsia="en-IN"/>
        </w:rPr>
        <w:drawing>
          <wp:inline distT="0" distB="0" distL="0" distR="0" wp14:anchorId="778725FE" wp14:editId="16C986E0">
            <wp:extent cx="5266815" cy="3314700"/>
            <wp:effectExtent l="0" t="0" r="0" b="0"/>
            <wp:docPr id="18930701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70164"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t="1" b="55524"/>
                    <a:stretch>
                      <a:fillRect/>
                    </a:stretch>
                  </pic:blipFill>
                  <pic:spPr bwMode="auto">
                    <a:xfrm>
                      <a:off x="0" y="0"/>
                      <a:ext cx="5267325" cy="3315021"/>
                    </a:xfrm>
                    <a:prstGeom prst="rect">
                      <a:avLst/>
                    </a:prstGeom>
                    <a:noFill/>
                    <a:ln>
                      <a:noFill/>
                    </a:ln>
                    <a:extLst>
                      <a:ext uri="{53640926-AAD7-44D8-BBD7-CCE9431645EC}">
                        <a14:shadowObscured xmlns:a14="http://schemas.microsoft.com/office/drawing/2010/main"/>
                      </a:ext>
                    </a:extLst>
                  </pic:spPr>
                </pic:pic>
              </a:graphicData>
            </a:graphic>
          </wp:inline>
        </w:drawing>
      </w:r>
    </w:p>
    <w:p w14:paraId="1581F8C2" w14:textId="7D6922A7" w:rsidR="00592116" w:rsidRPr="00440A27" w:rsidRDefault="00592116" w:rsidP="00592116">
      <w:pPr>
        <w:spacing w:line="360" w:lineRule="auto"/>
        <w:jc w:val="both"/>
        <w:rPr>
          <w:rFonts w:asciiTheme="majorBidi" w:hAnsiTheme="majorBidi" w:cstheme="majorBidi"/>
          <w:color w:val="000000" w:themeColor="text1"/>
          <w:sz w:val="24"/>
        </w:rPr>
      </w:pPr>
      <w:r>
        <w:rPr>
          <w:rFonts w:ascii="Times New Roman" w:hAnsi="Times New Roman" w:cs="Times New Roman"/>
          <w:sz w:val="24"/>
        </w:rPr>
        <w:lastRenderedPageBreak/>
        <w:t>Figure S</w:t>
      </w:r>
      <w:r>
        <w:rPr>
          <w:rFonts w:ascii="Times New Roman" w:hAnsi="Times New Roman" w:cs="Times New Roman" w:hint="eastAsia"/>
          <w:sz w:val="24"/>
        </w:rPr>
        <w:t>5</w:t>
      </w:r>
      <w:r>
        <w:rPr>
          <w:rFonts w:ascii="Times New Roman" w:hAnsi="Times New Roman" w:cs="Times New Roman"/>
          <w:sz w:val="24"/>
        </w:rPr>
        <w:t xml:space="preserve">. </w:t>
      </w:r>
      <w:r>
        <w:rPr>
          <w:rFonts w:ascii="Times New Roman" w:hAnsi="Times New Roman" w:cs="Times New Roman" w:hint="eastAsia"/>
          <w:sz w:val="24"/>
        </w:rPr>
        <w:t>T</w:t>
      </w:r>
      <w:r>
        <w:rPr>
          <w:rFonts w:ascii="Times New Roman" w:hAnsi="Times New Roman" w:cs="Times New Roman"/>
          <w:sz w:val="24"/>
        </w:rPr>
        <w:t>he targeting ability of NPVs</w:t>
      </w:r>
      <w:r>
        <w:rPr>
          <w:rFonts w:ascii="Times New Roman" w:hAnsi="Times New Roman" w:cs="Times New Roman" w:hint="eastAsia"/>
          <w:sz w:val="24"/>
        </w:rPr>
        <w:t xml:space="preserve">. (A, B) </w:t>
      </w:r>
      <w:r>
        <w:rPr>
          <w:rFonts w:ascii="Times New Roman" w:hAnsi="Times New Roman" w:cs="Times New Roman" w:hint="eastAsia"/>
          <w:i/>
          <w:iCs/>
          <w:sz w:val="24"/>
        </w:rPr>
        <w:t>I</w:t>
      </w:r>
      <w:r>
        <w:rPr>
          <w:rFonts w:ascii="Times New Roman" w:hAnsi="Times New Roman" w:cs="Times New Roman"/>
          <w:i/>
          <w:iCs/>
          <w:sz w:val="24"/>
        </w:rPr>
        <w:t>n vivo</w:t>
      </w:r>
      <w:r>
        <w:rPr>
          <w:rFonts w:ascii="Times New Roman" w:hAnsi="Times New Roman" w:cs="Times New Roman"/>
          <w:sz w:val="24"/>
        </w:rPr>
        <w:t xml:space="preserve"> live imaging</w:t>
      </w:r>
      <w:r>
        <w:rPr>
          <w:rFonts w:ascii="Times New Roman" w:hAnsi="Times New Roman" w:cs="Times New Roman" w:hint="eastAsia"/>
          <w:sz w:val="24"/>
        </w:rPr>
        <w:t xml:space="preserve"> (A)</w:t>
      </w:r>
      <w:r>
        <w:rPr>
          <w:rFonts w:ascii="Times New Roman" w:hAnsi="Times New Roman" w:cs="Times New Roman"/>
          <w:sz w:val="24"/>
        </w:rPr>
        <w:t xml:space="preserve"> and </w:t>
      </w:r>
      <w:r>
        <w:rPr>
          <w:rFonts w:ascii="Times New Roman" w:hAnsi="Times New Roman" w:cs="Times New Roman"/>
          <w:i/>
          <w:iCs/>
          <w:sz w:val="24"/>
        </w:rPr>
        <w:t>ex vivo</w:t>
      </w:r>
      <w:r>
        <w:rPr>
          <w:rFonts w:ascii="Times New Roman" w:hAnsi="Times New Roman" w:cs="Times New Roman"/>
          <w:sz w:val="24"/>
        </w:rPr>
        <w:t xml:space="preserve"> tissue imaging</w:t>
      </w:r>
      <w:r>
        <w:rPr>
          <w:rFonts w:ascii="Times New Roman" w:hAnsi="Times New Roman" w:cs="Times New Roman" w:hint="eastAsia"/>
          <w:sz w:val="24"/>
        </w:rPr>
        <w:t xml:space="preserve"> (B). (C) </w:t>
      </w:r>
      <w:r>
        <w:rPr>
          <w:rFonts w:ascii="Times New Roman" w:hAnsi="Times New Roman" w:cs="Times New Roman"/>
          <w:sz w:val="24"/>
        </w:rPr>
        <w:t xml:space="preserve">Statistical analysis of fluorescence intensity in </w:t>
      </w:r>
      <w:r>
        <w:rPr>
          <w:rFonts w:ascii="Times New Roman" w:hAnsi="Times New Roman" w:cs="Times New Roman"/>
          <w:i/>
          <w:iCs/>
          <w:sz w:val="24"/>
        </w:rPr>
        <w:t>ex vivo</w:t>
      </w:r>
      <w:r>
        <w:rPr>
          <w:rFonts w:ascii="Times New Roman" w:hAnsi="Times New Roman" w:cs="Times New Roman"/>
          <w:sz w:val="24"/>
        </w:rPr>
        <w:t xml:space="preserve"> tissue </w:t>
      </w:r>
      <w:r>
        <w:rPr>
          <w:rFonts w:ascii="Times New Roman" w:eastAsia="等线" w:hAnsi="Times New Roman" w:cs="Times New Roman"/>
          <w:sz w:val="24"/>
        </w:rPr>
        <w:t>images</w:t>
      </w:r>
      <w:r>
        <w:rPr>
          <w:rFonts w:ascii="Times New Roman" w:hAnsi="Times New Roman" w:cs="Times New Roman" w:hint="eastAsia"/>
          <w:sz w:val="24"/>
        </w:rPr>
        <w:t xml:space="preserve"> </w:t>
      </w:r>
      <w:r>
        <w:rPr>
          <w:rFonts w:asciiTheme="majorBidi" w:hAnsiTheme="majorBidi" w:cstheme="majorBidi"/>
          <w:sz w:val="24"/>
        </w:rPr>
        <w:t xml:space="preserve">(n = 3 per group). </w:t>
      </w:r>
      <w:r>
        <w:rPr>
          <w:rFonts w:ascii="Times New Roman" w:hAnsi="Times New Roman" w:cs="Times New Roman"/>
          <w:sz w:val="24"/>
        </w:rPr>
        <w:t>The significance of differences between groups was evaluated using one-way ANOVA with Tukey’s post hoc analysis (</w:t>
      </w:r>
      <w:r>
        <w:rPr>
          <w:rFonts w:ascii="Times New Roman" w:hAnsi="Times New Roman" w:cs="Times New Roman" w:hint="eastAsia"/>
          <w:sz w:val="24"/>
        </w:rPr>
        <w:t>C</w:t>
      </w:r>
      <w:r>
        <w:rPr>
          <w:rFonts w:ascii="Times New Roman" w:hAnsi="Times New Roman" w:cs="Times New Roman"/>
          <w:sz w:val="24"/>
        </w:rPr>
        <w:t>).</w:t>
      </w:r>
      <w:r>
        <w:rPr>
          <w:rFonts w:ascii="Times New Roman" w:hAnsi="Times New Roman" w:cs="Times New Roman" w:hint="eastAsia"/>
          <w:sz w:val="24"/>
        </w:rPr>
        <w:t xml:space="preserve"> </w:t>
      </w:r>
      <w:r>
        <w:rPr>
          <w:rFonts w:asciiTheme="majorBidi" w:hAnsiTheme="majorBidi" w:cstheme="majorBidi"/>
          <w:color w:val="000000" w:themeColor="text1"/>
          <w:sz w:val="24"/>
        </w:rPr>
        <w:t xml:space="preserve">The mean values and </w:t>
      </w:r>
      <w:r w:rsidR="0016449F">
        <w:rPr>
          <w:rFonts w:asciiTheme="majorBidi" w:hAnsiTheme="majorBidi" w:cstheme="majorBidi" w:hint="eastAsia"/>
          <w:color w:val="000000" w:themeColor="text1"/>
          <w:sz w:val="24"/>
          <w:lang w:eastAsia="zh-CN"/>
        </w:rPr>
        <w:t xml:space="preserve">SDs </w:t>
      </w:r>
      <w:r>
        <w:rPr>
          <w:rFonts w:asciiTheme="majorBidi" w:hAnsiTheme="majorBidi" w:cstheme="majorBidi"/>
          <w:color w:val="000000" w:themeColor="text1"/>
          <w:sz w:val="24"/>
        </w:rPr>
        <w:t>are presented.</w:t>
      </w:r>
    </w:p>
    <w:p w14:paraId="3630DB2E" w14:textId="7777777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noProof/>
          <w:sz w:val="24"/>
          <w:lang w:eastAsia="en-IN"/>
        </w:rPr>
        <w:drawing>
          <wp:inline distT="0" distB="0" distL="0" distR="0" wp14:anchorId="4C47EDC1" wp14:editId="7E78EFA8">
            <wp:extent cx="5274310" cy="2730500"/>
            <wp:effectExtent l="0" t="0" r="0" b="0"/>
            <wp:docPr id="480408771" name="图片 3" descr="图表, 气泡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08771" name="图片 3" descr="图表, 气泡图&#10;&#10;AI 生成的内容可能不正确。"/>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730500"/>
                    </a:xfrm>
                    <a:prstGeom prst="rect">
                      <a:avLst/>
                    </a:prstGeom>
                  </pic:spPr>
                </pic:pic>
              </a:graphicData>
            </a:graphic>
          </wp:inline>
        </w:drawing>
      </w:r>
    </w:p>
    <w:p w14:paraId="0B55501A" w14:textId="099EA6D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sz w:val="24"/>
        </w:rPr>
        <w:t>Figure S</w:t>
      </w:r>
      <w:r>
        <w:rPr>
          <w:rFonts w:ascii="Times New Roman" w:hAnsi="Times New Roman" w:cs="Times New Roman" w:hint="eastAsia"/>
          <w:sz w:val="24"/>
        </w:rPr>
        <w:t>6</w:t>
      </w:r>
      <w:r>
        <w:rPr>
          <w:rFonts w:ascii="Times New Roman" w:hAnsi="Times New Roman" w:cs="Times New Roman"/>
          <w:sz w:val="24"/>
        </w:rPr>
        <w:t xml:space="preserve">. Promotion of cell proliferation by the </w:t>
      </w:r>
      <w:proofErr w:type="spellStart"/>
      <w:r>
        <w:rPr>
          <w:rFonts w:ascii="Times New Roman" w:hAnsi="Times New Roman" w:cs="Times New Roman"/>
          <w:sz w:val="24"/>
        </w:rPr>
        <w:t>CaP-Gen@NPV-ECM</w:t>
      </w:r>
      <w:proofErr w:type="spellEnd"/>
      <w:r>
        <w:rPr>
          <w:rFonts w:ascii="Times New Roman" w:hAnsi="Times New Roman" w:cs="Times New Roman"/>
          <w:sz w:val="24"/>
        </w:rPr>
        <w:t xml:space="preserve"> extract. (A) Representative crystal violet staining images of BMSCs (scale bar = 50 </w:t>
      </w:r>
      <w:proofErr w:type="spellStart"/>
      <w:r>
        <w:rPr>
          <w:rFonts w:ascii="Times New Roman" w:hAnsi="Times New Roman" w:cs="Times New Roman"/>
          <w:sz w:val="24"/>
        </w:rPr>
        <w:t>μm</w:t>
      </w:r>
      <w:proofErr w:type="spellEnd"/>
      <w:r>
        <w:rPr>
          <w:rFonts w:ascii="Times New Roman" w:hAnsi="Times New Roman" w:cs="Times New Roman"/>
          <w:sz w:val="24"/>
        </w:rPr>
        <w:t>). (B) Quantitative analysis of BMSCs (n = 3). The significance of differences between groups was evaluated using one-way ANOVA with Tukey’s post hoc analysis (B). The mean values and SDs are presented.</w:t>
      </w:r>
    </w:p>
    <w:p w14:paraId="62EEA77F" w14:textId="7777777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noProof/>
          <w:sz w:val="24"/>
          <w:lang w:eastAsia="en-IN"/>
        </w:rPr>
        <w:drawing>
          <wp:inline distT="0" distB="0" distL="0" distR="0" wp14:anchorId="008F0B7A" wp14:editId="0AB7FC26">
            <wp:extent cx="5274310" cy="1645285"/>
            <wp:effectExtent l="0" t="0" r="0" b="5715"/>
            <wp:docPr id="60901092" name="图片 4" descr="图片包含 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1092" name="图片 4" descr="图片包含 表格&#10;&#10;AI 生成的内容可能不正确。"/>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1645285"/>
                    </a:xfrm>
                    <a:prstGeom prst="rect">
                      <a:avLst/>
                    </a:prstGeom>
                  </pic:spPr>
                </pic:pic>
              </a:graphicData>
            </a:graphic>
          </wp:inline>
        </w:drawing>
      </w:r>
    </w:p>
    <w:p w14:paraId="789C99DC" w14:textId="2ABC5CAC"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sz w:val="24"/>
        </w:rPr>
        <w:t>Figure S</w:t>
      </w:r>
      <w:r>
        <w:rPr>
          <w:rFonts w:ascii="Times New Roman" w:hAnsi="Times New Roman" w:cs="Times New Roman" w:hint="eastAsia"/>
          <w:sz w:val="24"/>
        </w:rPr>
        <w:t>7</w:t>
      </w:r>
      <w:r>
        <w:rPr>
          <w:rFonts w:ascii="Times New Roman" w:hAnsi="Times New Roman" w:cs="Times New Roman"/>
          <w:sz w:val="24"/>
        </w:rPr>
        <w:t xml:space="preserve">. Promotion of cell migration by the </w:t>
      </w:r>
      <w:proofErr w:type="spellStart"/>
      <w:r>
        <w:rPr>
          <w:rFonts w:ascii="Times New Roman" w:hAnsi="Times New Roman" w:cs="Times New Roman"/>
          <w:sz w:val="24"/>
        </w:rPr>
        <w:t>CaP-Gen@NPV-ECM</w:t>
      </w:r>
      <w:proofErr w:type="spellEnd"/>
      <w:r>
        <w:rPr>
          <w:rFonts w:ascii="Times New Roman" w:hAnsi="Times New Roman" w:cs="Times New Roman"/>
          <w:sz w:val="24"/>
        </w:rPr>
        <w:t xml:space="preserve"> extract. (A) Representative images of the BMSC scratch assay for evaluating migration (scale bar = 200 </w:t>
      </w:r>
      <w:proofErr w:type="spellStart"/>
      <w:r>
        <w:rPr>
          <w:rFonts w:ascii="Times New Roman" w:hAnsi="Times New Roman" w:cs="Times New Roman"/>
          <w:sz w:val="24"/>
        </w:rPr>
        <w:t>μm</w:t>
      </w:r>
      <w:proofErr w:type="spellEnd"/>
      <w:r>
        <w:rPr>
          <w:rFonts w:ascii="Times New Roman" w:hAnsi="Times New Roman" w:cs="Times New Roman"/>
          <w:sz w:val="24"/>
        </w:rPr>
        <w:t>). (B) Quantitative analysis of the scratch area (n = 3). The significance of differences between groups was evaluated using one-way ANOVA with Tukey’s post hoc analysis (B). The mean values and SDs are presented.</w:t>
      </w:r>
    </w:p>
    <w:p w14:paraId="2AC78E40" w14:textId="77777777" w:rsidR="00592116" w:rsidRPr="001506BA" w:rsidRDefault="00592116" w:rsidP="00592116">
      <w:pPr>
        <w:spacing w:line="360" w:lineRule="auto"/>
        <w:jc w:val="both"/>
        <w:rPr>
          <w:rFonts w:ascii="Times New Roman" w:hAnsi="Times New Roman" w:cs="Times New Roman"/>
          <w:b/>
          <w:bCs/>
          <w:sz w:val="24"/>
        </w:rPr>
      </w:pPr>
      <w:r>
        <w:rPr>
          <w:rFonts w:ascii="Times New Roman" w:hAnsi="Times New Roman" w:cs="Times New Roman"/>
          <w:b/>
          <w:bCs/>
          <w:noProof/>
          <w:sz w:val="24"/>
          <w:lang w:eastAsia="en-IN"/>
        </w:rPr>
        <w:lastRenderedPageBreak/>
        <w:drawing>
          <wp:inline distT="0" distB="0" distL="0" distR="0" wp14:anchorId="4F50F374" wp14:editId="45635209">
            <wp:extent cx="5153891" cy="1376274"/>
            <wp:effectExtent l="0" t="0" r="2540" b="0"/>
            <wp:docPr id="687013268" name="图片 5"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13268" name="图片 5" descr="图表&#10;&#10;AI 生成的内容可能不正确。"/>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65925" cy="1379488"/>
                    </a:xfrm>
                    <a:prstGeom prst="rect">
                      <a:avLst/>
                    </a:prstGeom>
                  </pic:spPr>
                </pic:pic>
              </a:graphicData>
            </a:graphic>
          </wp:inline>
        </w:drawing>
      </w:r>
    </w:p>
    <w:p w14:paraId="44A8F482" w14:textId="7777777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sz w:val="24"/>
        </w:rPr>
        <w:t>Figure S</w:t>
      </w:r>
      <w:r>
        <w:rPr>
          <w:rFonts w:ascii="Times New Roman" w:hAnsi="Times New Roman" w:cs="Times New Roman" w:hint="eastAsia"/>
          <w:sz w:val="24"/>
        </w:rPr>
        <w:t>8</w:t>
      </w:r>
      <w:r>
        <w:rPr>
          <w:rFonts w:ascii="Times New Roman" w:hAnsi="Times New Roman" w:cs="Times New Roman"/>
          <w:sz w:val="24"/>
        </w:rPr>
        <w:t xml:space="preserve">. Enrichment analysis </w:t>
      </w:r>
      <w:r>
        <w:rPr>
          <w:rFonts w:ascii="Times New Roman" w:eastAsia="等线" w:hAnsi="Times New Roman" w:cs="Times New Roman"/>
          <w:sz w:val="24"/>
        </w:rPr>
        <w:t>of</w:t>
      </w:r>
      <w:r>
        <w:rPr>
          <w:rFonts w:ascii="Times New Roman" w:hAnsi="Times New Roman" w:cs="Times New Roman"/>
          <w:sz w:val="24"/>
        </w:rPr>
        <w:t xml:space="preserve"> the differentially expressed genes between the NPV-ECM and induced </w:t>
      </w:r>
      <w:r>
        <w:rPr>
          <w:rFonts w:ascii="Times New Roman" w:eastAsia="等线" w:hAnsi="Times New Roman" w:cs="Times New Roman"/>
          <w:sz w:val="24"/>
        </w:rPr>
        <w:t>groups.</w:t>
      </w:r>
      <w:r>
        <w:rPr>
          <w:rFonts w:ascii="Times New Roman" w:hAnsi="Times New Roman" w:cs="Times New Roman"/>
          <w:sz w:val="24"/>
        </w:rPr>
        <w:t xml:space="preserve"> (A) GO </w:t>
      </w:r>
      <w:r>
        <w:rPr>
          <w:rFonts w:ascii="Times New Roman" w:eastAsia="等线" w:hAnsi="Times New Roman" w:cs="Times New Roman"/>
          <w:sz w:val="24"/>
        </w:rPr>
        <w:t>enrichment</w:t>
      </w:r>
      <w:r>
        <w:rPr>
          <w:rFonts w:ascii="Times New Roman" w:hAnsi="Times New Roman" w:cs="Times New Roman"/>
          <w:sz w:val="24"/>
        </w:rPr>
        <w:t xml:space="preserve"> analysis of biological </w:t>
      </w:r>
      <w:r>
        <w:rPr>
          <w:rFonts w:ascii="Times New Roman" w:eastAsia="等线" w:hAnsi="Times New Roman" w:cs="Times New Roman"/>
          <w:sz w:val="24"/>
        </w:rPr>
        <w:t>processes</w:t>
      </w:r>
      <w:r>
        <w:rPr>
          <w:rFonts w:ascii="Times New Roman" w:hAnsi="Times New Roman" w:cs="Times New Roman"/>
          <w:sz w:val="24"/>
        </w:rPr>
        <w:t xml:space="preserve">. (B) GO </w:t>
      </w:r>
      <w:r>
        <w:rPr>
          <w:rFonts w:ascii="Times New Roman" w:eastAsia="等线" w:hAnsi="Times New Roman" w:cs="Times New Roman"/>
          <w:sz w:val="24"/>
        </w:rPr>
        <w:t>enrichment</w:t>
      </w:r>
      <w:r>
        <w:rPr>
          <w:rFonts w:ascii="Times New Roman" w:hAnsi="Times New Roman" w:cs="Times New Roman"/>
          <w:sz w:val="24"/>
        </w:rPr>
        <w:t xml:space="preserve"> analysis of molecular functions. (C) KEGG enrichment analysis.</w:t>
      </w:r>
    </w:p>
    <w:p w14:paraId="20B8EF1A" w14:textId="77777777" w:rsidR="00592116" w:rsidRDefault="00592116" w:rsidP="00592116">
      <w:pPr>
        <w:spacing w:line="360" w:lineRule="auto"/>
        <w:jc w:val="both"/>
        <w:rPr>
          <w:rFonts w:ascii="Times New Roman" w:hAnsi="Times New Roman" w:cs="Times New Roman"/>
          <w:sz w:val="24"/>
        </w:rPr>
      </w:pPr>
      <w:r>
        <w:rPr>
          <w:rFonts w:ascii="Times New Roman" w:hAnsi="Times New Roman" w:cs="Times New Roman"/>
          <w:noProof/>
          <w:sz w:val="24"/>
          <w:lang w:eastAsia="en-IN"/>
        </w:rPr>
        <w:lastRenderedPageBreak/>
        <w:drawing>
          <wp:inline distT="0" distB="0" distL="0" distR="0" wp14:anchorId="4AEF616C" wp14:editId="5C793630">
            <wp:extent cx="5266690" cy="7451725"/>
            <wp:effectExtent l="0" t="0" r="0" b="0"/>
            <wp:docPr id="16731076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07629"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266690" cy="7451725"/>
                    </a:xfrm>
                    <a:prstGeom prst="rect">
                      <a:avLst/>
                    </a:prstGeom>
                    <a:noFill/>
                    <a:ln>
                      <a:noFill/>
                    </a:ln>
                  </pic:spPr>
                </pic:pic>
              </a:graphicData>
            </a:graphic>
          </wp:inline>
        </w:drawing>
      </w:r>
    </w:p>
    <w:p w14:paraId="71B9840C" w14:textId="77777777" w:rsidR="00592116" w:rsidRPr="001506BA" w:rsidRDefault="00592116" w:rsidP="00592116">
      <w:pPr>
        <w:spacing w:line="360" w:lineRule="auto"/>
        <w:jc w:val="both"/>
        <w:rPr>
          <w:rFonts w:ascii="Times New Roman" w:hAnsi="Times New Roman" w:cs="Times New Roman"/>
          <w:sz w:val="24"/>
        </w:rPr>
      </w:pPr>
      <w:r>
        <w:rPr>
          <w:rFonts w:ascii="Times New Roman" w:hAnsi="Times New Roman" w:cs="Times New Roman"/>
          <w:sz w:val="24"/>
        </w:rPr>
        <w:t>Figure</w:t>
      </w:r>
      <w:r>
        <w:rPr>
          <w:rFonts w:ascii="Times New Roman" w:hAnsi="Times New Roman" w:cs="Times New Roman" w:hint="eastAsia"/>
          <w:sz w:val="24"/>
        </w:rPr>
        <w:t xml:space="preserve"> </w:t>
      </w:r>
      <w:r>
        <w:rPr>
          <w:rFonts w:ascii="Times New Roman" w:hAnsi="Times New Roman" w:cs="Times New Roman"/>
          <w:sz w:val="24"/>
        </w:rPr>
        <w:t>S</w:t>
      </w:r>
      <w:r>
        <w:rPr>
          <w:rFonts w:ascii="Times New Roman" w:hAnsi="Times New Roman" w:cs="Times New Roman" w:hint="eastAsia"/>
          <w:sz w:val="24"/>
        </w:rPr>
        <w:t>9</w:t>
      </w:r>
      <w:r>
        <w:rPr>
          <w:rFonts w:ascii="Times New Roman" w:hAnsi="Times New Roman" w:cs="Times New Roman"/>
          <w:sz w:val="24"/>
        </w:rPr>
        <w:t xml:space="preserve">. Activation of the </w:t>
      </w:r>
      <w:proofErr w:type="spellStart"/>
      <w:r>
        <w:rPr>
          <w:rFonts w:ascii="Times New Roman" w:hAnsi="Times New Roman" w:cs="Times New Roman"/>
          <w:sz w:val="24"/>
        </w:rPr>
        <w:t>Wnt</w:t>
      </w:r>
      <w:proofErr w:type="spellEnd"/>
      <w:r>
        <w:rPr>
          <w:rFonts w:ascii="Times New Roman" w:hAnsi="Times New Roman" w:cs="Times New Roman"/>
          <w:sz w:val="24"/>
        </w:rPr>
        <w:t xml:space="preserve">/β-catenin signalling pathway by </w:t>
      </w:r>
      <w:proofErr w:type="spellStart"/>
      <w:r>
        <w:rPr>
          <w:rFonts w:ascii="Times New Roman" w:hAnsi="Times New Roman" w:cs="Times New Roman"/>
          <w:sz w:val="24"/>
        </w:rPr>
        <w:t>CaP-Gen@NPV-ECM</w:t>
      </w:r>
      <w:proofErr w:type="spellEnd"/>
      <w:r>
        <w:rPr>
          <w:rFonts w:ascii="Times New Roman" w:hAnsi="Times New Roman" w:cs="Times New Roman" w:hint="eastAsia"/>
          <w:sz w:val="24"/>
        </w:rPr>
        <w:t xml:space="preserve">. (A) </w:t>
      </w:r>
      <w:r>
        <w:rPr>
          <w:rFonts w:ascii="Times New Roman" w:hAnsi="Times New Roman" w:cs="Times New Roman"/>
          <w:sz w:val="24"/>
        </w:rPr>
        <w:t xml:space="preserve">Immunofluorescence staining of </w:t>
      </w:r>
      <w:r>
        <w:rPr>
          <w:rFonts w:ascii="Times New Roman" w:hAnsi="Times New Roman" w:cs="Times New Roman" w:hint="eastAsia"/>
          <w:sz w:val="24"/>
        </w:rPr>
        <w:t xml:space="preserve">active </w:t>
      </w:r>
      <w:r>
        <w:rPr>
          <w:rFonts w:asciiTheme="majorBidi" w:hAnsiTheme="majorBidi" w:cstheme="majorBidi"/>
          <w:color w:val="000000" w:themeColor="text1"/>
          <w:sz w:val="24"/>
        </w:rPr>
        <w:t>β-catenin</w:t>
      </w:r>
      <w:r>
        <w:rPr>
          <w:rFonts w:ascii="Times New Roman" w:hAnsi="Times New Roman" w:cs="Times New Roman"/>
          <w:sz w:val="24"/>
        </w:rPr>
        <w:t xml:space="preserve"> (scale bar = </w:t>
      </w:r>
      <w:r>
        <w:rPr>
          <w:rFonts w:ascii="Times New Roman" w:hAnsi="Times New Roman" w:cs="Times New Roman" w:hint="eastAsia"/>
          <w:sz w:val="24"/>
        </w:rPr>
        <w:t xml:space="preserve">10 </w:t>
      </w:r>
      <w:proofErr w:type="spellStart"/>
      <w:r>
        <w:rPr>
          <w:rFonts w:ascii="Times New Roman" w:hAnsi="Times New Roman" w:cs="Times New Roman"/>
          <w:sz w:val="24"/>
        </w:rPr>
        <w:t>μm</w:t>
      </w:r>
      <w:proofErr w:type="spellEnd"/>
      <w:r>
        <w:rPr>
          <w:rFonts w:ascii="Times New Roman" w:hAnsi="Times New Roman" w:cs="Times New Roman"/>
          <w:sz w:val="24"/>
        </w:rPr>
        <w:t>)</w:t>
      </w:r>
      <w:r>
        <w:rPr>
          <w:rFonts w:ascii="Times New Roman" w:hAnsi="Times New Roman" w:cs="Times New Roman" w:hint="eastAsia"/>
          <w:sz w:val="24"/>
        </w:rPr>
        <w:t xml:space="preserve">. (B) </w:t>
      </w:r>
      <w:r>
        <w:rPr>
          <w:rFonts w:ascii="Times New Roman" w:hAnsi="Times New Roman" w:cs="Times New Roman"/>
          <w:sz w:val="24"/>
        </w:rPr>
        <w:t>Quantitative analysis</w:t>
      </w:r>
      <w:r>
        <w:rPr>
          <w:rFonts w:ascii="Times New Roman" w:hAnsi="Times New Roman" w:cs="Times New Roman" w:hint="eastAsia"/>
          <w:sz w:val="24"/>
        </w:rPr>
        <w:t xml:space="preserve"> </w:t>
      </w:r>
      <w:r>
        <w:rPr>
          <w:rFonts w:ascii="Times New Roman" w:hAnsi="Times New Roman" w:cs="Times New Roman"/>
          <w:sz w:val="24"/>
        </w:rPr>
        <w:t xml:space="preserve">of </w:t>
      </w:r>
      <w:r>
        <w:rPr>
          <w:rFonts w:ascii="Times New Roman" w:hAnsi="Times New Roman" w:cs="Times New Roman" w:hint="eastAsia"/>
          <w:sz w:val="24"/>
        </w:rPr>
        <w:t xml:space="preserve">active </w:t>
      </w:r>
      <w:r>
        <w:rPr>
          <w:rFonts w:asciiTheme="majorBidi" w:hAnsiTheme="majorBidi" w:cstheme="majorBidi"/>
          <w:color w:val="000000" w:themeColor="text1"/>
          <w:sz w:val="24"/>
        </w:rPr>
        <w:t>β-catenin</w:t>
      </w:r>
      <w:r>
        <w:rPr>
          <w:rFonts w:ascii="Times New Roman" w:hAnsi="Times New Roman" w:cs="Times New Roman"/>
          <w:sz w:val="24"/>
        </w:rPr>
        <w:t xml:space="preserve"> fluorescence intensity </w:t>
      </w:r>
      <w:r>
        <w:rPr>
          <w:rFonts w:ascii="Times New Roman" w:hAnsi="Times New Roman" w:cs="Times New Roman" w:hint="eastAsia"/>
          <w:sz w:val="24"/>
        </w:rPr>
        <w:t xml:space="preserve">in (A) </w:t>
      </w:r>
      <w:r>
        <w:rPr>
          <w:rFonts w:ascii="Times New Roman" w:hAnsi="Times New Roman" w:cs="Times New Roman"/>
          <w:sz w:val="24"/>
        </w:rPr>
        <w:t xml:space="preserve">(n = </w:t>
      </w:r>
      <w:r>
        <w:rPr>
          <w:rFonts w:ascii="Times New Roman" w:hAnsi="Times New Roman" w:cs="Times New Roman" w:hint="eastAsia"/>
          <w:sz w:val="24"/>
        </w:rPr>
        <w:t>3</w:t>
      </w:r>
      <w:r>
        <w:rPr>
          <w:rFonts w:ascii="Times New Roman" w:hAnsi="Times New Roman" w:cs="Times New Roman"/>
          <w:sz w:val="24"/>
        </w:rPr>
        <w:t>)</w:t>
      </w:r>
      <w:r>
        <w:rPr>
          <w:rFonts w:ascii="Times New Roman" w:hAnsi="Times New Roman" w:cs="Times New Roman" w:hint="eastAsia"/>
          <w:sz w:val="24"/>
        </w:rPr>
        <w:t xml:space="preserve">. (C) </w:t>
      </w:r>
      <w:r>
        <w:rPr>
          <w:rFonts w:ascii="Times New Roman" w:hAnsi="Times New Roman" w:cs="Times New Roman"/>
          <w:sz w:val="24"/>
        </w:rPr>
        <w:t xml:space="preserve">Western blot analysis of </w:t>
      </w:r>
      <w:r>
        <w:rPr>
          <w:rFonts w:asciiTheme="majorBidi" w:hAnsiTheme="majorBidi" w:cstheme="majorBidi"/>
          <w:color w:val="000000" w:themeColor="text1"/>
          <w:sz w:val="24"/>
        </w:rPr>
        <w:t>β-catenin</w:t>
      </w:r>
      <w:r>
        <w:rPr>
          <w:rFonts w:ascii="Times New Roman" w:hAnsi="Times New Roman" w:cs="Times New Roman"/>
          <w:sz w:val="24"/>
        </w:rPr>
        <w:t xml:space="preserve"> </w:t>
      </w:r>
      <w:r>
        <w:rPr>
          <w:rFonts w:ascii="Times New Roman" w:eastAsia="等线" w:hAnsi="Times New Roman" w:cs="Times New Roman"/>
          <w:sz w:val="24"/>
        </w:rPr>
        <w:t xml:space="preserve">expression </w:t>
      </w:r>
      <w:r>
        <w:rPr>
          <w:rFonts w:ascii="Times New Roman" w:hAnsi="Times New Roman" w:cs="Times New Roman"/>
          <w:sz w:val="24"/>
        </w:rPr>
        <w:t>in BMSCs.</w:t>
      </w:r>
      <w:r>
        <w:rPr>
          <w:rFonts w:ascii="Times New Roman" w:hAnsi="Times New Roman" w:cs="Times New Roman" w:hint="eastAsia"/>
          <w:sz w:val="24"/>
        </w:rPr>
        <w:t xml:space="preserve"> (D) </w:t>
      </w:r>
      <w:r>
        <w:rPr>
          <w:rFonts w:ascii="Times New Roman" w:hAnsi="Times New Roman" w:cs="Times New Roman"/>
          <w:sz w:val="24"/>
        </w:rPr>
        <w:t xml:space="preserve">Quantitative analysis of </w:t>
      </w:r>
      <w:r>
        <w:rPr>
          <w:rFonts w:ascii="Times New Roman" w:eastAsia="等线" w:hAnsi="Times New Roman" w:cs="Times New Roman"/>
          <w:sz w:val="24"/>
        </w:rPr>
        <w:t xml:space="preserve">the </w:t>
      </w:r>
      <w:r>
        <w:rPr>
          <w:rFonts w:ascii="Times New Roman" w:hAnsi="Times New Roman" w:cs="Times New Roman"/>
          <w:sz w:val="24"/>
        </w:rPr>
        <w:t>band grey values</w:t>
      </w:r>
      <w:r>
        <w:rPr>
          <w:rFonts w:ascii="Times New Roman" w:hAnsi="Times New Roman" w:cs="Times New Roman" w:hint="eastAsia"/>
          <w:sz w:val="24"/>
        </w:rPr>
        <w:t xml:space="preserve"> in (C)</w:t>
      </w:r>
      <w:r>
        <w:rPr>
          <w:rFonts w:ascii="Times New Roman" w:hAnsi="Times New Roman" w:cs="Times New Roman"/>
          <w:sz w:val="24"/>
        </w:rPr>
        <w:t xml:space="preserve"> (n = 3)</w:t>
      </w:r>
      <w:r>
        <w:rPr>
          <w:rFonts w:ascii="Times New Roman" w:eastAsia="等线" w:hAnsi="Times New Roman" w:cs="Times New Roman"/>
          <w:sz w:val="24"/>
        </w:rPr>
        <w:t>.</w:t>
      </w:r>
      <w:r>
        <w:rPr>
          <w:rFonts w:ascii="Times New Roman" w:eastAsia="等线" w:hAnsi="Times New Roman" w:cs="Times New Roman" w:hint="eastAsia"/>
          <w:sz w:val="24"/>
        </w:rPr>
        <w:t xml:space="preserve"> (E) </w:t>
      </w:r>
      <w:r>
        <w:rPr>
          <w:rFonts w:ascii="Times New Roman" w:hAnsi="Times New Roman" w:cs="Times New Roman"/>
          <w:sz w:val="24"/>
        </w:rPr>
        <w:lastRenderedPageBreak/>
        <w:t xml:space="preserve">Western blot results of </w:t>
      </w:r>
      <w:r>
        <w:rPr>
          <w:rFonts w:asciiTheme="majorBidi" w:hAnsiTheme="majorBidi" w:cstheme="majorBidi"/>
          <w:color w:val="000000" w:themeColor="text1"/>
          <w:sz w:val="24"/>
        </w:rPr>
        <w:t>β-catenin</w:t>
      </w:r>
      <w:r>
        <w:rPr>
          <w:rFonts w:ascii="Times New Roman" w:hAnsi="Times New Roman" w:cs="Times New Roman"/>
          <w:sz w:val="24"/>
        </w:rPr>
        <w:t xml:space="preserve"> </w:t>
      </w:r>
      <w:r>
        <w:rPr>
          <w:rFonts w:ascii="Times New Roman" w:hAnsi="Times New Roman" w:cs="Times New Roman" w:hint="eastAsia"/>
          <w:sz w:val="24"/>
        </w:rPr>
        <w:t xml:space="preserve">and </w:t>
      </w:r>
      <w:r>
        <w:rPr>
          <w:rFonts w:ascii="Times New Roman" w:hAnsi="Times New Roman" w:cs="Times New Roman"/>
          <w:sz w:val="24"/>
        </w:rPr>
        <w:t>osteoblast-related protein</w:t>
      </w:r>
      <w:r>
        <w:rPr>
          <w:rFonts w:ascii="Times New Roman" w:hAnsi="Times New Roman" w:cs="Times New Roman" w:hint="eastAsia"/>
          <w:sz w:val="24"/>
        </w:rPr>
        <w:t>s</w:t>
      </w:r>
      <w:r>
        <w:rPr>
          <w:rFonts w:ascii="Times New Roman" w:hAnsi="Times New Roman" w:cs="Times New Roman"/>
          <w:sz w:val="24"/>
        </w:rPr>
        <w:t xml:space="preserve"> in </w:t>
      </w:r>
      <w:r>
        <w:rPr>
          <w:rFonts w:ascii="Times New Roman" w:eastAsia="等线" w:hAnsi="Times New Roman" w:cs="Times New Roman"/>
          <w:sz w:val="24"/>
        </w:rPr>
        <w:t xml:space="preserve">the </w:t>
      </w:r>
      <w:r>
        <w:rPr>
          <w:rFonts w:ascii="Times New Roman" w:hAnsi="Times New Roman" w:cs="Times New Roman" w:hint="eastAsia"/>
          <w:sz w:val="24"/>
        </w:rPr>
        <w:t>MSAB inhibition assay</w:t>
      </w:r>
      <w:r>
        <w:rPr>
          <w:rFonts w:ascii="Times New Roman" w:hAnsi="Times New Roman" w:cs="Times New Roman"/>
          <w:sz w:val="24"/>
        </w:rPr>
        <w:t>.</w:t>
      </w:r>
      <w:r>
        <w:rPr>
          <w:rFonts w:ascii="Times New Roman" w:hAnsi="Times New Roman" w:cs="Times New Roman" w:hint="eastAsia"/>
          <w:sz w:val="24"/>
        </w:rPr>
        <w:t xml:space="preserve"> (F) </w:t>
      </w:r>
      <w:r>
        <w:rPr>
          <w:rFonts w:ascii="Times New Roman" w:hAnsi="Times New Roman" w:cs="Times New Roman"/>
          <w:sz w:val="24"/>
        </w:rPr>
        <w:t xml:space="preserve">Quantitative analysis of </w:t>
      </w:r>
      <w:r>
        <w:rPr>
          <w:rFonts w:ascii="Times New Roman" w:eastAsia="等线" w:hAnsi="Times New Roman" w:cs="Times New Roman"/>
          <w:sz w:val="24"/>
        </w:rPr>
        <w:t xml:space="preserve">the </w:t>
      </w:r>
      <w:r>
        <w:rPr>
          <w:rFonts w:ascii="Times New Roman" w:hAnsi="Times New Roman" w:cs="Times New Roman"/>
          <w:sz w:val="24"/>
        </w:rPr>
        <w:t>band grey values</w:t>
      </w:r>
      <w:r>
        <w:rPr>
          <w:rFonts w:ascii="Times New Roman" w:hAnsi="Times New Roman" w:cs="Times New Roman" w:hint="eastAsia"/>
          <w:sz w:val="24"/>
        </w:rPr>
        <w:t xml:space="preserve"> in (E)</w:t>
      </w:r>
      <w:r>
        <w:rPr>
          <w:rFonts w:ascii="Times New Roman" w:hAnsi="Times New Roman" w:cs="Times New Roman"/>
          <w:sz w:val="24"/>
        </w:rPr>
        <w:t xml:space="preserve"> (n = 3)</w:t>
      </w:r>
      <w:r>
        <w:rPr>
          <w:rFonts w:ascii="Times New Roman" w:eastAsia="等线" w:hAnsi="Times New Roman" w:cs="Times New Roman"/>
          <w:sz w:val="24"/>
        </w:rPr>
        <w:t>.</w:t>
      </w:r>
      <w:r>
        <w:rPr>
          <w:rFonts w:ascii="Times New Roman" w:eastAsia="等线" w:hAnsi="Times New Roman" w:cs="Times New Roman" w:hint="eastAsia"/>
          <w:sz w:val="24"/>
        </w:rPr>
        <w:t xml:space="preserve"> (G)</w:t>
      </w:r>
      <w:r>
        <w:rPr>
          <w:rFonts w:ascii="Times New Roman" w:hAnsi="Times New Roman" w:cs="Times New Roman"/>
          <w:sz w:val="24"/>
        </w:rPr>
        <w:t xml:space="preserve"> Immunofluorescence staining of </w:t>
      </w:r>
      <w:r>
        <w:rPr>
          <w:rFonts w:asciiTheme="majorBidi" w:hAnsiTheme="majorBidi" w:cstheme="majorBidi"/>
          <w:color w:val="000000" w:themeColor="text1"/>
          <w:sz w:val="24"/>
        </w:rPr>
        <w:t>β-catenin</w:t>
      </w:r>
      <w:r>
        <w:rPr>
          <w:rFonts w:ascii="Times New Roman" w:hAnsi="Times New Roman" w:cs="Times New Roman"/>
          <w:sz w:val="24"/>
        </w:rPr>
        <w:t xml:space="preserve"> in </w:t>
      </w:r>
      <w:r>
        <w:rPr>
          <w:rFonts w:ascii="Times New Roman" w:eastAsia="等线" w:hAnsi="Times New Roman" w:cs="Times New Roman"/>
          <w:sz w:val="24"/>
        </w:rPr>
        <w:t xml:space="preserve">the </w:t>
      </w:r>
      <w:r>
        <w:rPr>
          <w:rFonts w:ascii="Times New Roman" w:hAnsi="Times New Roman" w:cs="Times New Roman" w:hint="eastAsia"/>
          <w:sz w:val="24"/>
        </w:rPr>
        <w:t>MSAB inhibition assay</w:t>
      </w:r>
      <w:r>
        <w:rPr>
          <w:rFonts w:ascii="Times New Roman" w:hAnsi="Times New Roman" w:cs="Times New Roman"/>
          <w:sz w:val="24"/>
        </w:rPr>
        <w:t xml:space="preserve"> (scale bar = </w:t>
      </w:r>
      <w:r>
        <w:rPr>
          <w:rFonts w:ascii="Times New Roman" w:hAnsi="Times New Roman" w:cs="Times New Roman" w:hint="eastAsia"/>
          <w:sz w:val="24"/>
        </w:rPr>
        <w:t xml:space="preserve">10 </w:t>
      </w:r>
      <w:proofErr w:type="spellStart"/>
      <w:r>
        <w:rPr>
          <w:rFonts w:ascii="Times New Roman" w:hAnsi="Times New Roman" w:cs="Times New Roman"/>
          <w:sz w:val="24"/>
        </w:rPr>
        <w:t>μm</w:t>
      </w:r>
      <w:proofErr w:type="spellEnd"/>
      <w:r>
        <w:rPr>
          <w:rFonts w:ascii="Times New Roman" w:hAnsi="Times New Roman" w:cs="Times New Roman"/>
          <w:sz w:val="24"/>
        </w:rPr>
        <w:t>)</w:t>
      </w:r>
      <w:r>
        <w:rPr>
          <w:rFonts w:ascii="Times New Roman" w:hAnsi="Times New Roman" w:cs="Times New Roman" w:hint="eastAsia"/>
          <w:sz w:val="24"/>
        </w:rPr>
        <w:t xml:space="preserve">. (H) </w:t>
      </w:r>
      <w:r>
        <w:rPr>
          <w:rFonts w:ascii="Times New Roman" w:hAnsi="Times New Roman" w:cs="Times New Roman"/>
          <w:sz w:val="24"/>
        </w:rPr>
        <w:t>Quantitative analysis</w:t>
      </w:r>
      <w:r>
        <w:rPr>
          <w:rFonts w:ascii="Times New Roman" w:hAnsi="Times New Roman" w:cs="Times New Roman" w:hint="eastAsia"/>
          <w:sz w:val="24"/>
        </w:rPr>
        <w:t xml:space="preserve"> </w:t>
      </w:r>
      <w:r>
        <w:rPr>
          <w:rFonts w:ascii="Times New Roman" w:hAnsi="Times New Roman" w:cs="Times New Roman"/>
          <w:sz w:val="24"/>
        </w:rPr>
        <w:t xml:space="preserve">of </w:t>
      </w:r>
      <w:r>
        <w:rPr>
          <w:rFonts w:asciiTheme="majorBidi" w:hAnsiTheme="majorBidi" w:cstheme="majorBidi"/>
          <w:color w:val="000000" w:themeColor="text1"/>
          <w:sz w:val="24"/>
        </w:rPr>
        <w:t>β-catenin</w:t>
      </w:r>
      <w:r>
        <w:rPr>
          <w:rFonts w:ascii="Times New Roman" w:hAnsi="Times New Roman" w:cs="Times New Roman"/>
          <w:sz w:val="24"/>
        </w:rPr>
        <w:t xml:space="preserve"> fluorescence intensity </w:t>
      </w:r>
      <w:r>
        <w:rPr>
          <w:rFonts w:ascii="Times New Roman" w:hAnsi="Times New Roman" w:cs="Times New Roman" w:hint="eastAsia"/>
          <w:sz w:val="24"/>
        </w:rPr>
        <w:t xml:space="preserve">in (G) </w:t>
      </w:r>
      <w:r>
        <w:rPr>
          <w:rFonts w:ascii="Times New Roman" w:hAnsi="Times New Roman" w:cs="Times New Roman"/>
          <w:sz w:val="24"/>
        </w:rPr>
        <w:t xml:space="preserve">(n = </w:t>
      </w:r>
      <w:r>
        <w:rPr>
          <w:rFonts w:ascii="Times New Roman" w:hAnsi="Times New Roman" w:cs="Times New Roman" w:hint="eastAsia"/>
          <w:sz w:val="24"/>
        </w:rPr>
        <w:t>3</w:t>
      </w:r>
      <w:r>
        <w:rPr>
          <w:rFonts w:ascii="Times New Roman" w:hAnsi="Times New Roman" w:cs="Times New Roman"/>
          <w:sz w:val="24"/>
        </w:rPr>
        <w:t>)</w:t>
      </w:r>
      <w:r>
        <w:rPr>
          <w:rFonts w:ascii="Times New Roman" w:hAnsi="Times New Roman" w:cs="Times New Roman" w:hint="eastAsia"/>
          <w:sz w:val="24"/>
        </w:rPr>
        <w:t xml:space="preserve">. </w:t>
      </w:r>
      <w:r>
        <w:rPr>
          <w:rFonts w:ascii="Times New Roman" w:hAnsi="Times New Roman" w:cs="Times New Roman"/>
          <w:sz w:val="24"/>
        </w:rPr>
        <w:t>(</w:t>
      </w:r>
      <w:r>
        <w:rPr>
          <w:rFonts w:ascii="Times New Roman" w:hAnsi="Times New Roman" w:cs="Times New Roman" w:hint="eastAsia"/>
          <w:sz w:val="24"/>
        </w:rPr>
        <w:t>I</w:t>
      </w:r>
      <w:r>
        <w:rPr>
          <w:rFonts w:ascii="Times New Roman" w:hAnsi="Times New Roman" w:cs="Times New Roman"/>
          <w:sz w:val="24"/>
        </w:rPr>
        <w:t>) ALP staining of BMSCs</w:t>
      </w:r>
      <w:r>
        <w:rPr>
          <w:rFonts w:ascii="Times New Roman" w:hAnsi="Times New Roman" w:cs="Times New Roman" w:hint="eastAsia"/>
          <w:sz w:val="24"/>
        </w:rPr>
        <w:t xml:space="preserve"> </w:t>
      </w:r>
      <w:r>
        <w:rPr>
          <w:rFonts w:ascii="Times New Roman" w:hAnsi="Times New Roman" w:cs="Times New Roman"/>
          <w:sz w:val="24"/>
        </w:rPr>
        <w:t xml:space="preserve">in </w:t>
      </w:r>
      <w:r>
        <w:rPr>
          <w:rFonts w:ascii="Times New Roman" w:eastAsia="等线" w:hAnsi="Times New Roman" w:cs="Times New Roman"/>
          <w:sz w:val="24"/>
        </w:rPr>
        <w:t xml:space="preserve">the </w:t>
      </w:r>
      <w:r>
        <w:rPr>
          <w:rFonts w:ascii="Times New Roman" w:hAnsi="Times New Roman" w:cs="Times New Roman" w:hint="eastAsia"/>
          <w:sz w:val="24"/>
        </w:rPr>
        <w:t xml:space="preserve">MSAB inhibition assay </w:t>
      </w:r>
      <w:r>
        <w:rPr>
          <w:rFonts w:ascii="Times New Roman" w:hAnsi="Times New Roman" w:cs="Times New Roman"/>
          <w:sz w:val="24"/>
        </w:rPr>
        <w:t xml:space="preserve">(scale bar = </w:t>
      </w:r>
      <w:r>
        <w:rPr>
          <w:rFonts w:ascii="Times New Roman" w:hAnsi="Times New Roman" w:cs="Times New Roman" w:hint="eastAsia"/>
          <w:sz w:val="24"/>
        </w:rPr>
        <w:t>3 mm</w:t>
      </w:r>
      <w:r>
        <w:rPr>
          <w:rFonts w:ascii="Times New Roman" w:hAnsi="Times New Roman" w:cs="Times New Roman"/>
          <w:sz w:val="24"/>
        </w:rPr>
        <w:t>). (</w:t>
      </w:r>
      <w:r>
        <w:rPr>
          <w:rFonts w:ascii="Times New Roman" w:hAnsi="Times New Roman" w:cs="Times New Roman" w:hint="eastAsia"/>
          <w:sz w:val="24"/>
        </w:rPr>
        <w:t>J</w:t>
      </w:r>
      <w:r>
        <w:rPr>
          <w:rFonts w:ascii="Times New Roman" w:hAnsi="Times New Roman" w:cs="Times New Roman"/>
          <w:sz w:val="24"/>
        </w:rPr>
        <w:t xml:space="preserve">) Quantification of ALP staining by determination of the OD405 (n = </w:t>
      </w:r>
      <w:r>
        <w:rPr>
          <w:rFonts w:ascii="Times New Roman" w:hAnsi="Times New Roman" w:cs="Times New Roman" w:hint="eastAsia"/>
          <w:sz w:val="24"/>
        </w:rPr>
        <w:t>3</w:t>
      </w:r>
      <w:r>
        <w:rPr>
          <w:rFonts w:ascii="Times New Roman" w:hAnsi="Times New Roman" w:cs="Times New Roman"/>
          <w:sz w:val="24"/>
        </w:rPr>
        <w:t>). (</w:t>
      </w:r>
      <w:r>
        <w:rPr>
          <w:rFonts w:ascii="Times New Roman" w:hAnsi="Times New Roman" w:cs="Times New Roman" w:hint="eastAsia"/>
          <w:sz w:val="24"/>
        </w:rPr>
        <w:t>K</w:t>
      </w:r>
      <w:r>
        <w:rPr>
          <w:rFonts w:ascii="Times New Roman" w:hAnsi="Times New Roman" w:cs="Times New Roman"/>
          <w:sz w:val="24"/>
        </w:rPr>
        <w:t xml:space="preserve">) Alizarin Red staining in </w:t>
      </w:r>
      <w:r>
        <w:rPr>
          <w:rFonts w:ascii="Times New Roman" w:eastAsia="等线" w:hAnsi="Times New Roman" w:cs="Times New Roman"/>
          <w:sz w:val="24"/>
        </w:rPr>
        <w:t xml:space="preserve">the </w:t>
      </w:r>
      <w:r>
        <w:rPr>
          <w:rFonts w:ascii="Times New Roman" w:hAnsi="Times New Roman" w:cs="Times New Roman" w:hint="eastAsia"/>
          <w:sz w:val="24"/>
        </w:rPr>
        <w:t xml:space="preserve">MSAB inhibition assay </w:t>
      </w:r>
      <w:r>
        <w:rPr>
          <w:rFonts w:ascii="Times New Roman" w:hAnsi="Times New Roman" w:cs="Times New Roman"/>
          <w:sz w:val="24"/>
        </w:rPr>
        <w:t xml:space="preserve">(scale bar = </w:t>
      </w:r>
      <w:r>
        <w:rPr>
          <w:rFonts w:ascii="Times New Roman" w:hAnsi="Times New Roman" w:cs="Times New Roman" w:hint="eastAsia"/>
          <w:sz w:val="24"/>
        </w:rPr>
        <w:t>3 mm</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sz w:val="24"/>
        </w:rPr>
        <w:t>L</w:t>
      </w:r>
      <w:r>
        <w:rPr>
          <w:rFonts w:ascii="Times New Roman" w:hAnsi="Times New Roman" w:cs="Times New Roman"/>
          <w:sz w:val="24"/>
        </w:rPr>
        <w:t xml:space="preserve">) Quantification of Alizarin Red staining by measurement of OD562 (n = </w:t>
      </w:r>
      <w:r>
        <w:rPr>
          <w:rFonts w:ascii="Times New Roman" w:hAnsi="Times New Roman" w:cs="Times New Roman" w:hint="eastAsia"/>
          <w:sz w:val="24"/>
        </w:rPr>
        <w:t>3</w:t>
      </w:r>
      <w:r>
        <w:rPr>
          <w:rFonts w:ascii="Times New Roman" w:hAnsi="Times New Roman" w:cs="Times New Roman"/>
          <w:sz w:val="24"/>
        </w:rPr>
        <w:t>).</w:t>
      </w:r>
      <w:r>
        <w:rPr>
          <w:rFonts w:ascii="Times New Roman" w:hAnsi="Times New Roman" w:cs="Times New Roman" w:hint="eastAsia"/>
          <w:sz w:val="24"/>
        </w:rPr>
        <w:t xml:space="preserve"> </w:t>
      </w:r>
      <w:r>
        <w:rPr>
          <w:rFonts w:ascii="Times New Roman" w:hAnsi="Times New Roman" w:cs="Times New Roman"/>
          <w:sz w:val="24"/>
        </w:rPr>
        <w:t xml:space="preserve">The significance of differences between groups was evaluated using one-way ANOVA with Tukey’s post hoc analysis </w:t>
      </w:r>
      <w:r>
        <w:rPr>
          <w:rFonts w:ascii="Times New Roman" w:hAnsi="Times New Roman" w:cs="Times New Roman" w:hint="eastAsia"/>
          <w:sz w:val="24"/>
        </w:rPr>
        <w:t>(B, D, F, H, J, and L</w:t>
      </w:r>
      <w:r>
        <w:rPr>
          <w:rFonts w:ascii="Times New Roman" w:hAnsi="Times New Roman" w:cs="Times New Roman"/>
          <w:sz w:val="24"/>
        </w:rPr>
        <w:t>). The mean values and SDs are presented.</w:t>
      </w:r>
    </w:p>
    <w:p w14:paraId="750BA4C3" w14:textId="77777777" w:rsidR="00592116" w:rsidRPr="00440A27" w:rsidRDefault="00592116" w:rsidP="00592116">
      <w:pPr>
        <w:rPr>
          <w:rFonts w:ascii="Times New Roman" w:hAnsi="Times New Roman" w:cs="Times New Roman"/>
          <w:sz w:val="24"/>
        </w:rPr>
      </w:pPr>
      <w:r>
        <w:rPr>
          <w:rFonts w:ascii="Times New Roman" w:hAnsi="Times New Roman" w:cs="Times New Roman"/>
          <w:sz w:val="24"/>
        </w:rPr>
        <w:t>Table S</w:t>
      </w:r>
      <w:r>
        <w:rPr>
          <w:rFonts w:ascii="Times New Roman" w:hAnsi="Times New Roman" w:cs="Times New Roman" w:hint="eastAsia"/>
          <w:sz w:val="24"/>
        </w:rPr>
        <w:t>1</w:t>
      </w:r>
      <w:r>
        <w:rPr>
          <w:rFonts w:ascii="Times New Roman" w:hAnsi="Times New Roman" w:cs="Times New Roman"/>
          <w:sz w:val="24"/>
        </w:rPr>
        <w:t xml:space="preserve"> </w:t>
      </w:r>
      <w:r>
        <w:rPr>
          <w:rFonts w:ascii="Times New Roman" w:hAnsi="Times New Roman" w:cs="Times New Roman" w:hint="eastAsia"/>
          <w:sz w:val="24"/>
        </w:rPr>
        <w:t>C</w:t>
      </w:r>
      <w:r>
        <w:rPr>
          <w:rFonts w:ascii="Times New Roman" w:hAnsi="Times New Roman" w:cs="Times New Roman"/>
          <w:sz w:val="24"/>
        </w:rPr>
        <w:t xml:space="preserve">omparison of </w:t>
      </w:r>
      <w:proofErr w:type="spellStart"/>
      <w:r>
        <w:rPr>
          <w:rFonts w:ascii="Times New Roman" w:hAnsi="Times New Roman" w:cs="Times New Roman"/>
          <w:sz w:val="24"/>
        </w:rPr>
        <w:t>CaP-Gen@NPV-ECM</w:t>
      </w:r>
      <w:proofErr w:type="spellEnd"/>
      <w:r>
        <w:rPr>
          <w:rFonts w:ascii="Times New Roman" w:hAnsi="Times New Roman" w:cs="Times New Roman"/>
          <w:sz w:val="24"/>
        </w:rPr>
        <w:t xml:space="preserve"> with representative antibacterial bone scaffolds.</w:t>
      </w:r>
    </w:p>
    <w:tbl>
      <w:tblPr>
        <w:tblStyle w:val="a3"/>
        <w:tblW w:w="0" w:type="auto"/>
        <w:tblLayout w:type="fixed"/>
        <w:tblLook w:val="04A0" w:firstRow="1" w:lastRow="0" w:firstColumn="1" w:lastColumn="0" w:noHBand="0" w:noVBand="1"/>
      </w:tblPr>
      <w:tblGrid>
        <w:gridCol w:w="1271"/>
        <w:gridCol w:w="1843"/>
        <w:gridCol w:w="1984"/>
        <w:gridCol w:w="2552"/>
        <w:gridCol w:w="646"/>
      </w:tblGrid>
      <w:tr w:rsidR="00592116" w14:paraId="18CF143F" w14:textId="77777777" w:rsidTr="00775FE4">
        <w:tc>
          <w:tcPr>
            <w:tcW w:w="1271" w:type="dxa"/>
          </w:tcPr>
          <w:p w14:paraId="5ABCB5F7"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System</w:t>
            </w:r>
          </w:p>
        </w:tc>
        <w:tc>
          <w:tcPr>
            <w:tcW w:w="1843" w:type="dxa"/>
          </w:tcPr>
          <w:p w14:paraId="149D9894"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Core Component</w:t>
            </w:r>
          </w:p>
        </w:tc>
        <w:tc>
          <w:tcPr>
            <w:tcW w:w="1984" w:type="dxa"/>
          </w:tcPr>
          <w:p w14:paraId="7CF3230E"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Main Mechanism</w:t>
            </w:r>
          </w:p>
        </w:tc>
        <w:tc>
          <w:tcPr>
            <w:tcW w:w="2552" w:type="dxa"/>
          </w:tcPr>
          <w:p w14:paraId="1694C042" w14:textId="0EE4C3D2"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Key Advantage of </w:t>
            </w:r>
            <w:proofErr w:type="spellStart"/>
            <w:r>
              <w:rPr>
                <w:rFonts w:ascii="Times New Roman" w:hAnsi="Times New Roman" w:cs="Times New Roman"/>
                <w:sz w:val="24"/>
              </w:rPr>
              <w:t>CaP-Gen@NPV-ECM</w:t>
            </w:r>
            <w:proofErr w:type="spellEnd"/>
          </w:p>
        </w:tc>
        <w:tc>
          <w:tcPr>
            <w:tcW w:w="646" w:type="dxa"/>
          </w:tcPr>
          <w:p w14:paraId="63A0544E"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Ref.</w:t>
            </w:r>
          </w:p>
        </w:tc>
      </w:tr>
      <w:tr w:rsidR="00592116" w14:paraId="7E81C726" w14:textId="77777777" w:rsidTr="00775FE4">
        <w:trPr>
          <w:trHeight w:val="1785"/>
        </w:trPr>
        <w:tc>
          <w:tcPr>
            <w:tcW w:w="1271" w:type="dxa"/>
          </w:tcPr>
          <w:p w14:paraId="5B487B8B"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ZIF-8@CuO/PLGA</w:t>
            </w:r>
          </w:p>
        </w:tc>
        <w:tc>
          <w:tcPr>
            <w:tcW w:w="1843" w:type="dxa"/>
          </w:tcPr>
          <w:p w14:paraId="06B8685A"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ZIF-8 metal-organic framework encapsulating </w:t>
            </w:r>
            <w:proofErr w:type="spellStart"/>
            <w:r>
              <w:rPr>
                <w:rFonts w:ascii="Times New Roman" w:hAnsi="Times New Roman" w:cs="Times New Roman"/>
                <w:sz w:val="24"/>
              </w:rPr>
              <w:t>CuO</w:t>
            </w:r>
            <w:proofErr w:type="spellEnd"/>
            <w:r>
              <w:rPr>
                <w:rFonts w:ascii="Times New Roman" w:hAnsi="Times New Roman" w:cs="Times New Roman"/>
                <w:sz w:val="24"/>
              </w:rPr>
              <w:t xml:space="preserve"> nanoparticles within a PLGA scaffold</w:t>
            </w:r>
          </w:p>
        </w:tc>
        <w:tc>
          <w:tcPr>
            <w:tcW w:w="1984" w:type="dxa"/>
          </w:tcPr>
          <w:p w14:paraId="6B880AE7"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pH-responsive ion release and NIR-triggered photothermal/photodynamic therapy; osteogenesis via ROS scavenging and recruiting ions for mineralization. </w:t>
            </w:r>
          </w:p>
        </w:tc>
        <w:tc>
          <w:tcPr>
            <w:tcW w:w="2552" w:type="dxa"/>
          </w:tcPr>
          <w:p w14:paraId="5D172153"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Offering superior biocompatibility and bacterial targeting ability as </w:t>
            </w:r>
            <w:r>
              <w:rPr>
                <w:rFonts w:ascii="Times New Roman" w:hAnsi="Times New Roman" w:cs="Times New Roman" w:hint="eastAsia"/>
                <w:sz w:val="24"/>
              </w:rPr>
              <w:t xml:space="preserve">an </w:t>
            </w:r>
            <w:r>
              <w:rPr>
                <w:rFonts w:ascii="Times New Roman" w:hAnsi="Times New Roman" w:cs="Times New Roman"/>
                <w:sz w:val="24"/>
              </w:rPr>
              <w:t>antibiotic carrier; achieving bidirectional regulation of bone metabolism—actively inhibiting osteoclasts while promoting osteogenesis.</w:t>
            </w:r>
          </w:p>
        </w:tc>
        <w:tc>
          <w:tcPr>
            <w:tcW w:w="646" w:type="dxa"/>
          </w:tcPr>
          <w:p w14:paraId="5B664C16" w14:textId="5287FB7C" w:rsidR="00592116" w:rsidRPr="005E0EF8" w:rsidRDefault="00F75F54" w:rsidP="00775FE4">
            <w:pP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{"citationID":"ESSDsEpm","properties":{"unsorted":false,"formattedCitation":"\\super 1\\nosupersub{}","plainCitation":"1","noteIndex":0},"citationItems":[{"id":5016,"uris":["http://zotero.org/users/14886177/items/JUXZSWW9"],"itemData":{"id":5016,"type":"article-journal","abstract":"Multifunctional scaffolds, capable of simultaneous infection control and bone defect repair, provide a robust approach for treating bone defects. However, realizing a scaffold with an optimal balance between antibacterial efficacy and osteogenic ability remains challenging. Herein, by incorporation of zeolitic imidazolate framework-8 encapsulating copper oxide nanoparticles (ZIF-8@CuO), a 3D-printed poly(lactic-coglycolic acid) nanocomposite scaffold (ZIF-8@CuO/PLGA scaffold) was developed, in which the synergistic effects of ZIF-8 and CuO nanoparticles endowed it with intelligent responsive abilities, including responses to microenvironmental endogenous motivations (pH responsiveness, reactive oxygen species scavenging, and recruiting calcium and phosphorus ions for biomimetic mineralization) and exogenous stimuli (near-infrared responsiveness). Owing to their excellent intelligent responsive abilities, the ZIF-8@CuO/ PLGA scaffolds achieved an optimal balance between antibacterial efficacy and osteogenic ability for efficient repair of infected bone defects. In the early stage, by a combination of photothermal therapy, photodynamic therapy, and chemodynamic therapy, the nanocomposite scaffolds demonstrated rapid bacterial eradication. Subsequently, by removing the triggering conditions for bacterial eradication, the ZIF-8@CuO/PLGA scaffolds intelligently switched to enhancing the osteogenic microenvironment through antioxidative action and stimulated angiogenesis and biomimetic bone formation (self-mineralization and osteoinduction), synergistically promoting bone regeneration.","container-title":"ACS Nano","DOI":"10.1021/acsnano.5c13201","ISSN":"1936-0851, 1936-086X","issue":"39","journalAbbreviation":"ACS Nano","language":"en","license":"https://doi.org/10.15223/policy-029","page":"35154-35180","source":"DOI.org (Crossref)","title":"Intelligent responsive zeolitic imidazolate framework-8@copper oxide nanocomposite 3D-printed scaffolds for efficient repair of infected bone defects","volume":"19","author":[{"family":"Li","given":"Wenhua"},{"family":"Zhong","given":"Jintao"},{"family":"Wang","given":"Xiao"},{"family":"Zhuang","given":"Weida"},{"family":"Yang","given":"Yipei"},{"family":"He","given":"Peipei"},{"family":"Alswadeh","given":"Momen"},{"family":"Li","given":"Chunran"},{"family":"Li","given":"Xueying"},{"family":"Hu","given":"Nan"},{"family":"Ruan","given":"Changshun"},{"family":"Sang","given":"Hongxun"}],"issued":{"date-parts":[["2025",10,7]]}}}],"schema":"https://github.com/citation-style-language/schema/raw/master/csl-citation.json"} </w:instrText>
            </w:r>
            <w:r>
              <w:rPr>
                <w:rFonts w:ascii="Times New Roman" w:hAnsi="Times New Roman" w:cs="Times New Roman"/>
                <w:sz w:val="24"/>
              </w:rPr>
              <w:fldChar w:fldCharType="separate"/>
            </w:r>
            <w:r w:rsidRPr="00F75F54">
              <w:rPr>
                <w:rFonts w:ascii="Times New Roman" w:hAnsi="Times New Roman" w:cs="Times New Roman"/>
                <w:kern w:val="0"/>
                <w:sz w:val="24"/>
                <w:vertAlign w:val="superscript"/>
              </w:rPr>
              <w:t>1</w:t>
            </w:r>
            <w:r>
              <w:rPr>
                <w:rFonts w:ascii="Times New Roman" w:hAnsi="Times New Roman" w:cs="Times New Roman"/>
                <w:sz w:val="24"/>
              </w:rPr>
              <w:fldChar w:fldCharType="end"/>
            </w:r>
          </w:p>
        </w:tc>
      </w:tr>
      <w:tr w:rsidR="00592116" w14:paraId="0D072889" w14:textId="77777777" w:rsidTr="00775FE4">
        <w:tc>
          <w:tcPr>
            <w:tcW w:w="1271" w:type="dxa"/>
          </w:tcPr>
          <w:p w14:paraId="53C1F0DE"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PVA/</w:t>
            </w:r>
            <w:proofErr w:type="spellStart"/>
            <w:r>
              <w:rPr>
                <w:rFonts w:ascii="Times New Roman" w:hAnsi="Times New Roman" w:cs="Times New Roman"/>
                <w:sz w:val="24"/>
              </w:rPr>
              <w:t>GG_ZnBG</w:t>
            </w:r>
            <w:proofErr w:type="spellEnd"/>
          </w:p>
        </w:tc>
        <w:tc>
          <w:tcPr>
            <w:tcW w:w="1843" w:type="dxa"/>
          </w:tcPr>
          <w:p w14:paraId="52425C6C"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3D </w:t>
            </w:r>
            <w:proofErr w:type="spellStart"/>
            <w:r>
              <w:rPr>
                <w:rFonts w:ascii="Times New Roman" w:hAnsi="Times New Roman" w:cs="Times New Roman"/>
                <w:sz w:val="24"/>
              </w:rPr>
              <w:t>bioprinted</w:t>
            </w:r>
            <w:proofErr w:type="spellEnd"/>
            <w:r>
              <w:rPr>
                <w:rFonts w:ascii="Times New Roman" w:hAnsi="Times New Roman" w:cs="Times New Roman"/>
                <w:sz w:val="24"/>
              </w:rPr>
              <w:t xml:space="preserve"> PVA/GG hydrogel scaffold laden with zinc-doped BG microparticles</w:t>
            </w:r>
          </w:p>
        </w:tc>
        <w:tc>
          <w:tcPr>
            <w:tcW w:w="1984" w:type="dxa"/>
          </w:tcPr>
          <w:p w14:paraId="56E08B07"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Sustained release of Zn</w:t>
            </w:r>
            <w:r>
              <w:rPr>
                <w:rFonts w:ascii="Times New Roman" w:hAnsi="Times New Roman" w:cs="Times New Roman"/>
                <w:sz w:val="24"/>
                <w:vertAlign w:val="superscript"/>
              </w:rPr>
              <w:t>2+</w:t>
            </w:r>
            <w:r>
              <w:rPr>
                <w:rFonts w:ascii="Times New Roman" w:hAnsi="Times New Roman" w:cs="Times New Roman"/>
                <w:sz w:val="24"/>
              </w:rPr>
              <w:t xml:space="preserve"> ions provid</w:t>
            </w:r>
            <w:r>
              <w:rPr>
                <w:rFonts w:ascii="Times New Roman" w:hAnsi="Times New Roman" w:cs="Times New Roman" w:hint="eastAsia"/>
                <w:sz w:val="24"/>
              </w:rPr>
              <w:t>es</w:t>
            </w:r>
            <w:r>
              <w:rPr>
                <w:rFonts w:ascii="Times New Roman" w:hAnsi="Times New Roman" w:cs="Times New Roman"/>
                <w:sz w:val="24"/>
              </w:rPr>
              <w:t xml:space="preserve"> antibacterial activity and promotes osteogenic differentiation.</w:t>
            </w:r>
          </w:p>
        </w:tc>
        <w:tc>
          <w:tcPr>
            <w:tcW w:w="2552" w:type="dxa"/>
          </w:tcPr>
          <w:p w14:paraId="7F4265AE"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Offering a more direct and efficient method for killing bacteria; specifically inhibiting excessive activation of osteoclasts while promoting osteogenesis; demonstrating comprehensive effects in more complex animal models.</w:t>
            </w:r>
          </w:p>
        </w:tc>
        <w:tc>
          <w:tcPr>
            <w:tcW w:w="646" w:type="dxa"/>
          </w:tcPr>
          <w:p w14:paraId="3143B1C2" w14:textId="703D23C3" w:rsidR="00592116" w:rsidRPr="005E0EF8" w:rsidRDefault="00F75F54" w:rsidP="00775FE4">
            <w:pP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{"citationID":"HX8xaf3m","properties":{"unsorted":false,"formattedCitation":"\\super 2\\nosupersub{}","plainCitation":"2","noteIndex":0},"citationItems":[{"id":5008,"uris":["http://zotero.org/users/14886177/items/KBZRBGKC"],"itemData":{"id":5008,"type":"article-journal","abstract":"Hydrogel-based bioprinting with living cells has opened new opportunities for regenerating bone and cartilage tissues. Nevertheless, the development of patient-specific, customized osteochondral implants with antimicrobial functionality employing biomimetic materials remains an unmet challenge. This study presents the development of extrusion-based 3D bioprinted osteochondral constructs utilizing functional biomaterial inks, exploiting the effect of ionic dissolution products from zincdoped bioactive glass (Zn-BG) based on the ICIE16 BG composition, when combined with a flexible, biocompatible polymeric network comprising gellan gum and poly(vinyl alcohol). Adipose-derived stromal cells are incorporated within the bioinks, due to their enriched osteochondral differentiation capacity. The presence of Zn-BG improved printing accuracy up to 73 ± 2%, compared to that of the control at 62 ± 1%. Bioinks showed comparable rheological properties with viscosity recovery rates over 90%. Moreover, Zn-BG led to a significant reduction of biodegradation rate and statistically significant antibacterial activity against Staphylococcus aureus and Escherichia coli. The 3D bioprinted microcomposite structures displayed significantly increased osteogenic and chondrogenic differentiation capacity compared to their counterparts without Zn-BGs, as evidenced by the expression levels of characteristic osteogenic and chondrogenic genes, and by histochemical staining of extracellular markers. The in vivo subcutaneous implantation of the constructs in mice corroborated the absence of any adverse immunological reactions.","container-title":"Advanced Healthcare Materials","DOI":"10.1002/adhm.202503186","ISSN":"2192-2640, 2192-2659","issue":"10","journalAbbreviation":"Adv. Healthcare Mater.","language":"en","page":"e03186","source":"DOI.org (Crossref)","title":"3D bioprinted constructs enriched with zinc-doped bioactive glass promote antibacterial activity and osteochondral tissue regeneration","volume":"15","author":[{"family":"Loukelis","given":"Konstantinos"},{"family":"Kontogianni","given":"Georgia-Ioanna"},{"family":"Arango-Ospina","given":"Marcela"},{"family":"Triantopoulou","given":"Nikoletta"},{"family":"Alpantaki","given":"Kalliopi"},{"family":"Batsali","given":"Aristea"},{"family":"Pontikoglou","given":"Charalampos"},{"family":"Vidaki","given":"Marina"},{"family":"Boccaccini","given":"Aldo R."},{"family":"Chatzinikolaidou","given":"Maria"}],"issued":{"date-parts":[["2026",3]]}}}],"schema":"https://github.com/citation-style-language/schema/raw/master/csl-citation.json"} </w:instrText>
            </w:r>
            <w:r>
              <w:rPr>
                <w:rFonts w:ascii="Times New Roman" w:hAnsi="Times New Roman" w:cs="Times New Roman"/>
                <w:sz w:val="24"/>
              </w:rPr>
              <w:fldChar w:fldCharType="separate"/>
            </w:r>
            <w:r w:rsidRPr="00F75F54">
              <w:rPr>
                <w:rFonts w:ascii="Times New Roman" w:hAnsi="Times New Roman" w:cs="Times New Roman"/>
                <w:kern w:val="0"/>
                <w:sz w:val="24"/>
                <w:vertAlign w:val="superscript"/>
              </w:rPr>
              <w:t>2</w:t>
            </w:r>
            <w:r>
              <w:rPr>
                <w:rFonts w:ascii="Times New Roman" w:hAnsi="Times New Roman" w:cs="Times New Roman"/>
                <w:sz w:val="24"/>
              </w:rPr>
              <w:fldChar w:fldCharType="end"/>
            </w:r>
          </w:p>
        </w:tc>
      </w:tr>
      <w:tr w:rsidR="00592116" w14:paraId="71064E8E" w14:textId="77777777" w:rsidTr="00775FE4">
        <w:tc>
          <w:tcPr>
            <w:tcW w:w="1271" w:type="dxa"/>
          </w:tcPr>
          <w:p w14:paraId="66AAC711"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CH/FeCu@SiO</w:t>
            </w:r>
            <w:r>
              <w:rPr>
                <w:rFonts w:ascii="Times New Roman" w:hAnsi="Times New Roman" w:cs="Times New Roman"/>
                <w:sz w:val="24"/>
                <w:vertAlign w:val="subscript"/>
              </w:rPr>
              <w:t>2</w:t>
            </w:r>
          </w:p>
        </w:tc>
        <w:tc>
          <w:tcPr>
            <w:tcW w:w="1843" w:type="dxa"/>
          </w:tcPr>
          <w:p w14:paraId="40A3B2F7"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A CH scaffold integrated with copper-doped iron goethite nanoparticles and a mesoporous silica layer</w:t>
            </w:r>
          </w:p>
        </w:tc>
        <w:tc>
          <w:tcPr>
            <w:tcW w:w="1984" w:type="dxa"/>
          </w:tcPr>
          <w:p w14:paraId="631574C3"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NIR-activated mild hyperthermia and Cu/Fe ion release synergistically enabl</w:t>
            </w:r>
            <w:r>
              <w:rPr>
                <w:rFonts w:ascii="Times New Roman" w:hAnsi="Times New Roman" w:cs="Times New Roman" w:hint="eastAsia"/>
                <w:sz w:val="24"/>
              </w:rPr>
              <w:t>e</w:t>
            </w:r>
            <w:r>
              <w:rPr>
                <w:rFonts w:ascii="Times New Roman" w:hAnsi="Times New Roman" w:cs="Times New Roman"/>
                <w:sz w:val="24"/>
              </w:rPr>
              <w:t xml:space="preserve"> antibacterial action; ROS </w:t>
            </w:r>
            <w:r>
              <w:rPr>
                <w:rFonts w:ascii="Times New Roman" w:hAnsi="Times New Roman" w:cs="Times New Roman"/>
                <w:sz w:val="24"/>
              </w:rPr>
              <w:lastRenderedPageBreak/>
              <w:t>scavenging promotes M2 macrophage polarization and osteogenesis.</w:t>
            </w:r>
          </w:p>
        </w:tc>
        <w:tc>
          <w:tcPr>
            <w:tcW w:w="2552" w:type="dxa"/>
          </w:tcPr>
          <w:p w14:paraId="492D3E2C"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lastRenderedPageBreak/>
              <w:t xml:space="preserve">Lower immunogenicity and higher bacterial targeting ability; inhibiting </w:t>
            </w:r>
            <w:proofErr w:type="spellStart"/>
            <w:r>
              <w:rPr>
                <w:rFonts w:ascii="Times New Roman" w:hAnsi="Times New Roman" w:cs="Times New Roman"/>
                <w:sz w:val="24"/>
              </w:rPr>
              <w:t>osteoclastogenesis</w:t>
            </w:r>
            <w:proofErr w:type="spellEnd"/>
            <w:r>
              <w:rPr>
                <w:rFonts w:ascii="Times New Roman" w:hAnsi="Times New Roman" w:cs="Times New Roman"/>
                <w:sz w:val="24"/>
              </w:rPr>
              <w:t xml:space="preserve"> and promoting osteogenesis simultaneously; integrating with in situ </w:t>
            </w:r>
            <w:r>
              <w:rPr>
                <w:rFonts w:ascii="Times New Roman" w:hAnsi="Times New Roman" w:cs="Times New Roman"/>
                <w:sz w:val="24"/>
              </w:rPr>
              <w:lastRenderedPageBreak/>
              <w:t xml:space="preserve">mineralized </w:t>
            </w:r>
            <w:proofErr w:type="spellStart"/>
            <w:r>
              <w:rPr>
                <w:rFonts w:ascii="Times New Roman" w:hAnsi="Times New Roman" w:cs="Times New Roman"/>
                <w:sz w:val="24"/>
              </w:rPr>
              <w:t>CaP</w:t>
            </w:r>
            <w:proofErr w:type="spellEnd"/>
            <w:r>
              <w:rPr>
                <w:rFonts w:ascii="Times New Roman" w:hAnsi="Times New Roman" w:cs="Times New Roman"/>
                <w:sz w:val="24"/>
              </w:rPr>
              <w:t xml:space="preserve"> for structural and </w:t>
            </w:r>
            <w:proofErr w:type="spellStart"/>
            <w:r>
              <w:rPr>
                <w:rFonts w:ascii="Times New Roman" w:hAnsi="Times New Roman" w:cs="Times New Roman"/>
                <w:sz w:val="24"/>
              </w:rPr>
              <w:t>signalling</w:t>
            </w:r>
            <w:proofErr w:type="spellEnd"/>
            <w:r>
              <w:rPr>
                <w:rFonts w:ascii="Times New Roman" w:hAnsi="Times New Roman" w:cs="Times New Roman"/>
                <w:sz w:val="24"/>
              </w:rPr>
              <w:t xml:space="preserve"> biomimicry</w:t>
            </w:r>
            <w:r>
              <w:rPr>
                <w:rFonts w:ascii="Times New Roman" w:hAnsi="Times New Roman" w:cs="Times New Roman" w:hint="eastAsia"/>
                <w:sz w:val="24"/>
              </w:rPr>
              <w:t>.</w:t>
            </w:r>
          </w:p>
        </w:tc>
        <w:tc>
          <w:tcPr>
            <w:tcW w:w="646" w:type="dxa"/>
          </w:tcPr>
          <w:p w14:paraId="67B6F5F3" w14:textId="704214F4" w:rsidR="00592116" w:rsidRPr="005E0EF8" w:rsidRDefault="00F75F54" w:rsidP="00775FE4">
            <w:pPr>
              <w:rPr>
                <w:rFonts w:ascii="Times New Roman" w:hAnsi="Times New Roman" w:cs="Times New Roman"/>
                <w:sz w:val="24"/>
              </w:rPr>
            </w:pPr>
            <w:r>
              <w:rPr>
                <w:rFonts w:ascii="Times New Roman" w:hAnsi="Times New Roman" w:cs="Times New Roman"/>
                <w:sz w:val="24"/>
              </w:rPr>
              <w:lastRenderedPageBreak/>
              <w:fldChar w:fldCharType="begin"/>
            </w:r>
            <w:r>
              <w:rPr>
                <w:rFonts w:ascii="Times New Roman" w:hAnsi="Times New Roman" w:cs="Times New Roman"/>
                <w:sz w:val="24"/>
              </w:rPr>
              <w:instrText xml:space="preserve"> ADDIN ZOTERO_ITEM CSL_CITATION {"citationID":"taND6sQb","properties":{"unsorted":false,"formattedCitation":"\\super 3\\nosupersub{}","plainCitation":"3","noteIndex":0},"citationItems":[{"id":5015,"uris":["http://zotero.org/users/14886177/items/RDTUFEKE"],"itemData":{"id":5015,"type":"article-journal","abstract":"Abstract\n            \n              Bone defect therapy frequently encounters bacterial infections and chronic inflammation, which impair bone regeneration and threaten implant stability. Iron </w:instrText>
            </w:r>
            <w:r>
              <w:rPr>
                <w:rFonts w:ascii="Times New Roman" w:hAnsi="Times New Roman" w:cs="Times New Roman" w:hint="eastAsia"/>
                <w:sz w:val="24"/>
              </w:rPr>
              <w:instrText>oxide nanoparticles have attracted attention due to cost</w:instrText>
            </w:r>
            <w:r>
              <w:rPr>
                <w:rFonts w:ascii="Times New Roman" w:hAnsi="Times New Roman" w:cs="Times New Roman" w:hint="eastAsia"/>
                <w:sz w:val="24"/>
              </w:rPr>
              <w:instrText>‐</w:instrText>
            </w:r>
            <w:r>
              <w:rPr>
                <w:rFonts w:ascii="Times New Roman" w:hAnsi="Times New Roman" w:cs="Times New Roman" w:hint="eastAsia"/>
                <w:sz w:val="24"/>
              </w:rPr>
              <w:instrText>effectiveness, biocompatibility, and metabolic safety. However, iron oxide nanoparticles still struggle to balance low</w:instrText>
            </w:r>
            <w:r>
              <w:rPr>
                <w:rFonts w:ascii="Times New Roman" w:hAnsi="Times New Roman" w:cs="Times New Roman" w:hint="eastAsia"/>
                <w:sz w:val="24"/>
              </w:rPr>
              <w:instrText>‐</w:instrText>
            </w:r>
            <w:r>
              <w:rPr>
                <w:rFonts w:ascii="Times New Roman" w:hAnsi="Times New Roman" w:cs="Times New Roman" w:hint="eastAsia"/>
                <w:sz w:val="24"/>
              </w:rPr>
              <w:instrText>temperature efficient antibacterial activity, effective immunomodulation, and bone regeneration. Therefore, inspired by diatoms, a multifunctional bone repair scaffold based on chitosan</w:instrText>
            </w:r>
            <w:r>
              <w:rPr>
                <w:rFonts w:ascii="Times New Roman" w:hAnsi="Times New Roman" w:cs="Times New Roman" w:hint="eastAsia"/>
                <w:sz w:val="24"/>
              </w:rPr>
              <w:instrText>‐</w:instrText>
            </w:r>
            <w:r>
              <w:rPr>
                <w:rFonts w:ascii="Times New Roman" w:hAnsi="Times New Roman" w:cs="Times New Roman" w:hint="eastAsia"/>
                <w:sz w:val="24"/>
              </w:rPr>
              <w:instrText>hydroxyapatite (CH) is developed by integrating the multifunctional properties of copper</w:instrText>
            </w:r>
            <w:r>
              <w:rPr>
                <w:rFonts w:ascii="Times New Roman" w:hAnsi="Times New Roman" w:cs="Times New Roman" w:hint="eastAsia"/>
                <w:sz w:val="24"/>
              </w:rPr>
              <w:instrText>‐</w:instrText>
            </w:r>
            <w:r>
              <w:rPr>
                <w:rFonts w:ascii="Times New Roman" w:hAnsi="Times New Roman" w:cs="Times New Roman" w:hint="eastAsia"/>
                <w:sz w:val="24"/>
              </w:rPr>
              <w:instrText>doped iron goethite (Fe(Cu)OOH) nanoparticles and a mesopor</w:instrText>
            </w:r>
            <w:r>
              <w:rPr>
                <w:rFonts w:ascii="Times New Roman" w:hAnsi="Times New Roman" w:cs="Times New Roman"/>
                <w:sz w:val="24"/>
              </w:rPr>
              <w:instrText xml:space="preserve">ous SiO\n              2\n              protective layer (CH/FeCu@SiO\n              2\n              ). The “cytoskeleton” CH scaffold stabilizes the nanoparticles and supports tissue growth. The “chloroplast” Fe(Cu)OOH and the “ frustule” SiO\n         </w:instrText>
            </w:r>
            <w:r>
              <w:rPr>
                <w:rFonts w:ascii="Times New Roman" w:hAnsi="Times New Roman" w:cs="Times New Roman" w:hint="eastAsia"/>
                <w:sz w:val="24"/>
              </w:rPr>
              <w:instrText xml:space="preserve">     2\n              layer synergistically capture near</w:instrText>
            </w:r>
            <w:r>
              <w:rPr>
                <w:rFonts w:ascii="Times New Roman" w:hAnsi="Times New Roman" w:cs="Times New Roman" w:hint="eastAsia"/>
                <w:sz w:val="24"/>
              </w:rPr>
              <w:instrText>‐</w:instrText>
            </w:r>
            <w:r>
              <w:rPr>
                <w:rFonts w:ascii="Times New Roman" w:hAnsi="Times New Roman" w:cs="Times New Roman" w:hint="eastAsia"/>
                <w:sz w:val="24"/>
              </w:rPr>
              <w:instrText>infrared (NIR) light to generate localized mild hyperthermia (</w:instrText>
            </w:r>
            <w:r>
              <w:rPr>
                <w:rFonts w:ascii="Times New Roman" w:hAnsi="Times New Roman" w:cs="Times New Roman" w:hint="eastAsia"/>
                <w:sz w:val="24"/>
              </w:rPr>
              <w:instrText>≈</w:instrText>
            </w:r>
            <w:r>
              <w:rPr>
                <w:rFonts w:ascii="Times New Roman" w:hAnsi="Times New Roman" w:cs="Times New Roman" w:hint="eastAsia"/>
                <w:sz w:val="24"/>
              </w:rPr>
              <w:instrText>42 </w:instrText>
            </w:r>
            <w:r>
              <w:rPr>
                <w:rFonts w:ascii="Times New Roman" w:hAnsi="Times New Roman" w:cs="Times New Roman" w:hint="eastAsia"/>
                <w:sz w:val="24"/>
              </w:rPr>
              <w:instrText>°</w:instrText>
            </w:r>
            <w:r>
              <w:rPr>
                <w:rFonts w:ascii="Times New Roman" w:hAnsi="Times New Roman" w:cs="Times New Roman" w:hint="eastAsia"/>
                <w:sz w:val="24"/>
              </w:rPr>
              <w:instrText>C), with the release of Cu\n              2+\n              to achieve antibacterial effects (&gt;99%). In addition, Fe(Cu)OOH exhibits enzyme</w:instrText>
            </w:r>
            <w:r>
              <w:rPr>
                <w:rFonts w:ascii="Times New Roman" w:hAnsi="Times New Roman" w:cs="Times New Roman" w:hint="eastAsia"/>
                <w:sz w:val="24"/>
              </w:rPr>
              <w:instrText>‐</w:instrText>
            </w:r>
            <w:r>
              <w:rPr>
                <w:rFonts w:ascii="Times New Roman" w:hAnsi="Times New Roman" w:cs="Times New Roman" w:hint="eastAsia"/>
                <w:sz w:val="24"/>
              </w:rPr>
              <w:instrText>like antioxidant activity, scavenging reactive oxygen species (ROS) (69.20%) and thereby promoting M2 macrophage polarization (1.64</w:instrText>
            </w:r>
            <w:r>
              <w:rPr>
                <w:rFonts w:ascii="Times New Roman" w:hAnsi="Times New Roman" w:cs="Times New Roman" w:hint="eastAsia"/>
                <w:sz w:val="24"/>
              </w:rPr>
              <w:instrText>‐</w:instrText>
            </w:r>
            <w:r>
              <w:rPr>
                <w:rFonts w:ascii="Times New Roman" w:hAnsi="Times New Roman" w:cs="Times New Roman" w:hint="eastAsia"/>
                <w:sz w:val="24"/>
              </w:rPr>
              <w:instrText>fold), which protects stem cells and creates osteogenic immune microenvironment. Moreover, the mild hyperthermia and ion release upregulate the TGF</w:instrText>
            </w:r>
            <w:r>
              <w:rPr>
                <w:rFonts w:ascii="Times New Roman" w:hAnsi="Times New Roman" w:cs="Times New Roman" w:hint="eastAsia"/>
                <w:sz w:val="24"/>
              </w:rPr>
              <w:instrText>‐β</w:instrText>
            </w:r>
            <w:r>
              <w:rPr>
                <w:rFonts w:ascii="Times New Roman" w:hAnsi="Times New Roman" w:cs="Times New Roman" w:hint="eastAsia"/>
                <w:sz w:val="24"/>
              </w:rPr>
              <w:instrText xml:space="preserve"> signaling pathway and inhibit osteoclast differentiation, promoting vascularized bone regeneration and defect repair (1.3</w:instrText>
            </w:r>
            <w:r>
              <w:rPr>
                <w:rFonts w:ascii="Times New Roman" w:hAnsi="Times New Roman" w:cs="Times New Roman" w:hint="eastAsia"/>
                <w:sz w:val="24"/>
              </w:rPr>
              <w:instrText>‐</w:instrText>
            </w:r>
            <w:r>
              <w:rPr>
                <w:rFonts w:ascii="Times New Roman" w:hAnsi="Times New Roman" w:cs="Times New Roman" w:hint="eastAsia"/>
                <w:sz w:val="24"/>
              </w:rPr>
              <w:instrText>fold). Overall, this biomimetic scaffold, enabling synergistic antibacterial, immunomodulatory, a</w:instrText>
            </w:r>
            <w:r>
              <w:rPr>
                <w:rFonts w:ascii="Times New Roman" w:hAnsi="Times New Roman" w:cs="Times New Roman"/>
                <w:sz w:val="24"/>
              </w:rPr>
              <w:instrText xml:space="preserve">nd osteogenic activities, offers a promising therapeutic strategy for infectious bone defects treatment.","container-title":"Advanced Materials","DOI":"10.1002/adma.202509997","ISSN":"0935-9648, 1521-4095","issue":"1","journalAbbreviation":"Adv. Mater.","language":"en","page":"e09997","source":"DOI.org (Crossref)","title":"Diatom-inspired scaffold for infected bone defect therapy: achieving stable photothermal properties and coordinated antibacterial-osteogenic functions","title-short":"Diatom-inspired scaffold for infected bone defect therapy","volume":"38","author":[{"family":"Li","given":"Xinyi"},{"family":"Yang","given":"Yifei"},{"family":"Chen","given":"Mingxuan"},{"family":"Liu","given":"Xinyang"},{"family":"Chen","given":"Tianyi"},{"family":"Luo","given":"Fang"},{"family":"Huang","given":"Yijie"},{"family":"Liu","given":"Yihua"},{"family":"Zhang","given":"Hongbo"},{"family":"Chen","given":"Song"},{"family":"Bai","given":"Ding"},{"family":"Ding","given":"Chunmei"},{"family":"Li","given":"Jianshu"}],"issued":{"date-parts":[["2026",1]]}}}],"schema":"https://github.com/citation-style-language/schema/raw/master/csl-citation.json"} </w:instrText>
            </w:r>
            <w:r>
              <w:rPr>
                <w:rFonts w:ascii="Times New Roman" w:hAnsi="Times New Roman" w:cs="Times New Roman"/>
                <w:sz w:val="24"/>
              </w:rPr>
              <w:fldChar w:fldCharType="separate"/>
            </w:r>
            <w:r w:rsidRPr="00F75F54">
              <w:rPr>
                <w:rFonts w:ascii="Times New Roman" w:hAnsi="Times New Roman" w:cs="Times New Roman"/>
                <w:kern w:val="0"/>
                <w:sz w:val="24"/>
                <w:vertAlign w:val="superscript"/>
              </w:rPr>
              <w:t>3</w:t>
            </w:r>
            <w:r>
              <w:rPr>
                <w:rFonts w:ascii="Times New Roman" w:hAnsi="Times New Roman" w:cs="Times New Roman"/>
                <w:sz w:val="24"/>
              </w:rPr>
              <w:fldChar w:fldCharType="end"/>
            </w:r>
          </w:p>
        </w:tc>
      </w:tr>
      <w:tr w:rsidR="00592116" w14:paraId="32679B82" w14:textId="77777777" w:rsidTr="00775FE4">
        <w:tc>
          <w:tcPr>
            <w:tcW w:w="1271" w:type="dxa"/>
          </w:tcPr>
          <w:p w14:paraId="1A009147"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AIE </w:t>
            </w:r>
            <w:proofErr w:type="spellStart"/>
            <w:r>
              <w:rPr>
                <w:rFonts w:ascii="Times New Roman" w:hAnsi="Times New Roman" w:cs="Times New Roman"/>
                <w:sz w:val="24"/>
              </w:rPr>
              <w:t>NPs@BP</w:t>
            </w:r>
            <w:proofErr w:type="spellEnd"/>
            <w:r>
              <w:rPr>
                <w:rFonts w:ascii="Times New Roman" w:hAnsi="Times New Roman" w:cs="Times New Roman"/>
                <w:sz w:val="24"/>
              </w:rPr>
              <w:t xml:space="preserve"> </w:t>
            </w:r>
            <w:proofErr w:type="spellStart"/>
            <w:r>
              <w:rPr>
                <w:rFonts w:ascii="Times New Roman" w:hAnsi="Times New Roman" w:cs="Times New Roman"/>
                <w:sz w:val="24"/>
              </w:rPr>
              <w:t>NSs@FSs</w:t>
            </w:r>
            <w:proofErr w:type="spellEnd"/>
          </w:p>
        </w:tc>
        <w:tc>
          <w:tcPr>
            <w:tcW w:w="1843" w:type="dxa"/>
          </w:tcPr>
          <w:p w14:paraId="22D215A7" w14:textId="77777777" w:rsidR="00592116" w:rsidRPr="00440A27" w:rsidRDefault="00592116" w:rsidP="00775FE4">
            <w:pPr>
              <w:rPr>
                <w:rFonts w:ascii="Times New Roman" w:hAnsi="Times New Roman" w:cs="Times New Roman"/>
                <w:sz w:val="24"/>
              </w:rPr>
            </w:pPr>
            <w:proofErr w:type="spellStart"/>
            <w:r>
              <w:rPr>
                <w:rFonts w:ascii="Times New Roman" w:hAnsi="Times New Roman" w:cs="Times New Roman"/>
                <w:sz w:val="24"/>
              </w:rPr>
              <w:t>AIEgens</w:t>
            </w:r>
            <w:proofErr w:type="spellEnd"/>
            <w:r>
              <w:rPr>
                <w:rFonts w:ascii="Times New Roman" w:hAnsi="Times New Roman" w:cs="Times New Roman"/>
                <w:sz w:val="24"/>
              </w:rPr>
              <w:t>-loaded nanoparticles, black phosphorus nanosheets, and PCL/PLGA polymer fibers</w:t>
            </w:r>
          </w:p>
        </w:tc>
        <w:tc>
          <w:tcPr>
            <w:tcW w:w="1984" w:type="dxa"/>
          </w:tcPr>
          <w:p w14:paraId="70957EBB"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Photothermal bacterial ablation by AIE NPs upon NIR-II irradiation; ROS scavenging and M2 macrophage polarization by BP NSs.</w:t>
            </w:r>
          </w:p>
        </w:tc>
        <w:tc>
          <w:tcPr>
            <w:tcW w:w="2552" w:type="dxa"/>
          </w:tcPr>
          <w:p w14:paraId="322BCEAF"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No external device stimulation required; antibiotic-loaded NPVs for more direct and efficient action in deep-seated infections; inhibiting osteoclasts while promoting osteogenesis.</w:t>
            </w:r>
          </w:p>
        </w:tc>
        <w:tc>
          <w:tcPr>
            <w:tcW w:w="646" w:type="dxa"/>
          </w:tcPr>
          <w:p w14:paraId="55A4E810" w14:textId="527F249E" w:rsidR="00592116" w:rsidRPr="005E0EF8" w:rsidRDefault="00F75F54" w:rsidP="00775FE4">
            <w:pP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{"citationID":"lxOgE9N1","properties":{"unsorted":false,"formattedCitation":"\\super 4\\nosupersub{}","plainCitation":"4","noteIndex":0},"citationItems":[{"id":5007,"uris":["http://zotero.org/users/14886177/items/VDV43IQ7"],"itemData":{"id":5007,"type":"article-journal","abstract":"Abstract\n            Infectious bone defects present dual challenges: eliminating bacteria and regenerating tissue, which are further complicated by biofilm formation, antibiotic resistance, and</w:instrText>
            </w:r>
            <w:r>
              <w:rPr>
                <w:rFonts w:ascii="Times New Roman" w:hAnsi="Times New Roman" w:cs="Times New Roman" w:hint="eastAsia"/>
                <w:sz w:val="24"/>
              </w:rPr>
              <w:instrText xml:space="preserve"> chronic inflammation. Here, a near</w:instrText>
            </w:r>
            <w:r>
              <w:rPr>
                <w:rFonts w:ascii="Times New Roman" w:hAnsi="Times New Roman" w:cs="Times New Roman" w:hint="eastAsia"/>
                <w:sz w:val="24"/>
              </w:rPr>
              <w:instrText>‐</w:instrText>
            </w:r>
            <w:r>
              <w:rPr>
                <w:rFonts w:ascii="Times New Roman" w:hAnsi="Times New Roman" w:cs="Times New Roman" w:hint="eastAsia"/>
                <w:sz w:val="24"/>
              </w:rPr>
              <w:instrText>infrared</w:instrText>
            </w:r>
            <w:r>
              <w:rPr>
                <w:rFonts w:ascii="Times New Roman" w:hAnsi="Times New Roman" w:cs="Times New Roman" w:hint="eastAsia"/>
                <w:sz w:val="24"/>
              </w:rPr>
              <w:instrText>‐</w:instrText>
            </w:r>
            <w:r>
              <w:rPr>
                <w:rFonts w:ascii="Times New Roman" w:hAnsi="Times New Roman" w:cs="Times New Roman" w:hint="eastAsia"/>
                <w:sz w:val="24"/>
              </w:rPr>
              <w:instrText>II (NIR</w:instrText>
            </w:r>
            <w:r>
              <w:rPr>
                <w:rFonts w:ascii="Times New Roman" w:hAnsi="Times New Roman" w:cs="Times New Roman" w:hint="eastAsia"/>
                <w:sz w:val="24"/>
              </w:rPr>
              <w:instrText>‐</w:instrText>
            </w:r>
            <w:r>
              <w:rPr>
                <w:rFonts w:ascii="Times New Roman" w:hAnsi="Times New Roman" w:cs="Times New Roman" w:hint="eastAsia"/>
                <w:sz w:val="24"/>
              </w:rPr>
              <w:instrText xml:space="preserve">II) responsive fibrous scaffold (AIE NPs@BP NSs@FSs) that employs a sequential </w:instrText>
            </w:r>
            <w:r>
              <w:rPr>
                <w:rFonts w:ascii="Times New Roman" w:hAnsi="Times New Roman" w:cs="Times New Roman" w:hint="eastAsia"/>
                <w:sz w:val="24"/>
              </w:rPr>
              <w:instrText>“</w:instrText>
            </w:r>
            <w:r>
              <w:rPr>
                <w:rFonts w:ascii="Times New Roman" w:hAnsi="Times New Roman" w:cs="Times New Roman" w:hint="eastAsia"/>
                <w:sz w:val="24"/>
              </w:rPr>
              <w:instrText>Kill</w:instrText>
            </w:r>
            <w:r>
              <w:rPr>
                <w:rFonts w:ascii="Times New Roman" w:hAnsi="Times New Roman" w:cs="Times New Roman" w:hint="eastAsia"/>
                <w:sz w:val="24"/>
              </w:rPr>
              <w:instrText>–</w:instrText>
            </w:r>
            <w:r>
              <w:rPr>
                <w:rFonts w:ascii="Times New Roman" w:hAnsi="Times New Roman" w:cs="Times New Roman" w:hint="eastAsia"/>
                <w:sz w:val="24"/>
              </w:rPr>
              <w:instrText>Modulation</w:instrText>
            </w:r>
            <w:r>
              <w:rPr>
                <w:rFonts w:ascii="Times New Roman" w:hAnsi="Times New Roman" w:cs="Times New Roman" w:hint="eastAsia"/>
                <w:sz w:val="24"/>
              </w:rPr>
              <w:instrText>–</w:instrText>
            </w:r>
            <w:r>
              <w:rPr>
                <w:rFonts w:ascii="Times New Roman" w:hAnsi="Times New Roman" w:cs="Times New Roman" w:hint="eastAsia"/>
                <w:sz w:val="24"/>
              </w:rPr>
              <w:instrText>Build</w:instrText>
            </w:r>
            <w:r>
              <w:rPr>
                <w:rFonts w:ascii="Times New Roman" w:hAnsi="Times New Roman" w:cs="Times New Roman" w:hint="eastAsia"/>
                <w:sz w:val="24"/>
              </w:rPr>
              <w:instrText>”</w:instrText>
            </w:r>
            <w:r>
              <w:rPr>
                <w:rFonts w:ascii="Times New Roman" w:hAnsi="Times New Roman" w:cs="Times New Roman" w:hint="eastAsia"/>
                <w:sz w:val="24"/>
              </w:rPr>
              <w:instrText xml:space="preserve"> therapeutic strategy</w:instrText>
            </w:r>
            <w:r>
              <w:rPr>
                <w:rFonts w:ascii="Times New Roman" w:hAnsi="Times New Roman" w:cs="Times New Roman" w:hint="eastAsia"/>
                <w:sz w:val="24"/>
              </w:rPr>
              <w:instrText>—</w:instrText>
            </w:r>
            <w:r>
              <w:rPr>
                <w:rFonts w:ascii="Times New Roman" w:hAnsi="Times New Roman" w:cs="Times New Roman" w:hint="eastAsia"/>
                <w:sz w:val="24"/>
              </w:rPr>
              <w:instrText>referring to infection clearance, immune regulation, and bone repair is developed. Upon NIR</w:instrText>
            </w:r>
            <w:r>
              <w:rPr>
                <w:rFonts w:ascii="Times New Roman" w:hAnsi="Times New Roman" w:cs="Times New Roman" w:hint="eastAsia"/>
                <w:sz w:val="24"/>
              </w:rPr>
              <w:instrText>‐</w:instrText>
            </w:r>
            <w:r>
              <w:rPr>
                <w:rFonts w:ascii="Times New Roman" w:hAnsi="Times New Roman" w:cs="Times New Roman" w:hint="eastAsia"/>
                <w:sz w:val="24"/>
              </w:rPr>
              <w:instrText>II irradiation, aggregation</w:instrText>
            </w:r>
            <w:r>
              <w:rPr>
                <w:rFonts w:ascii="Times New Roman" w:hAnsi="Times New Roman" w:cs="Times New Roman" w:hint="eastAsia"/>
                <w:sz w:val="24"/>
              </w:rPr>
              <w:instrText>‐</w:instrText>
            </w:r>
            <w:r>
              <w:rPr>
                <w:rFonts w:ascii="Times New Roman" w:hAnsi="Times New Roman" w:cs="Times New Roman" w:hint="eastAsia"/>
                <w:sz w:val="24"/>
              </w:rPr>
              <w:instrText>induced emission nanoparticles (AIE NPs) produce localized hyperthermia, which eliminates bacteria and biofilms, offering a non</w:instrText>
            </w:r>
            <w:r>
              <w:rPr>
                <w:rFonts w:ascii="Times New Roman" w:hAnsi="Times New Roman" w:cs="Times New Roman" w:hint="eastAsia"/>
                <w:sz w:val="24"/>
              </w:rPr>
              <w:instrText>‐</w:instrText>
            </w:r>
            <w:r>
              <w:rPr>
                <w:rFonts w:ascii="Times New Roman" w:hAnsi="Times New Roman" w:cs="Times New Roman" w:hint="eastAsia"/>
                <w:sz w:val="24"/>
              </w:rPr>
              <w:instrText>antibiotic solution that reduces the risk of resistance development. Moreover, black phosphorus nanosheets (BP NSs) scavenge reactive oxygen species (ROS) and reprogram macrophages toward a pro</w:instrText>
            </w:r>
            <w:r>
              <w:rPr>
                <w:rFonts w:ascii="Times New Roman" w:hAnsi="Times New Roman" w:cs="Times New Roman" w:hint="eastAsia"/>
                <w:sz w:val="24"/>
              </w:rPr>
              <w:instrText>‐</w:instrText>
            </w:r>
            <w:r>
              <w:rPr>
                <w:rFonts w:ascii="Times New Roman" w:hAnsi="Times New Roman" w:cs="Times New Roman" w:hint="eastAsia"/>
                <w:sz w:val="24"/>
              </w:rPr>
              <w:instrText xml:space="preserve">regenerative M2 phenotype. This immunomodulatory shift enhances endothelial migration, neovascularization, and osteogenic differentiation of bone </w:instrText>
            </w:r>
            <w:r>
              <w:rPr>
                <w:rFonts w:ascii="Times New Roman" w:hAnsi="Times New Roman" w:cs="Times New Roman"/>
                <w:sz w:val="24"/>
              </w:rPr>
              <w:instrText xml:space="preserve">marrow stem cells. With excellent biocompatibility and biomimetic architecture, the scaffold supports coordinated antibacterial, immunoregulatory, and osteoinductive responses. This work provides a promising platform for treating complex infected bone defects by combining photothermal therapy with immune and regenerative modulation.","container-title":"Advanced Science","DOI":"10.1002/advs.202508948","ISSN":"2198-3844, 2198-3844","issue":"47","journalAbbreviation":"Adv. Sci.","language":"en","page":"e08948","source":"DOI.org (Crossref)","title":"NIR-II responsive multifunctional scaffold enabling “kill-modulation-build” synergistic therapy for infectious bone defects","volume":"12","author":[{"family":"Yang","given":"Qifei"},{"family":"Lou","given":"Shu"},{"family":"Zhang","given":"Yuan"},{"family":"Fang","given":"Zhurun"},{"family":"Xing","given":"Changyue"},{"family":"Wang","given":"Wentao"},{"family":"Han","given":"Minxuan"},{"family":"Wang","given":"Zhendong"},{"family":"Tang","given":"Ben Zhong"},{"family":"Zhang","given":"Ming"}],"issued":{"date-parts":[["2025",12]]}}}],"schema":"https://github.com/citation-style-language/schema/raw/master/csl-citation.json"} </w:instrText>
            </w:r>
            <w:r>
              <w:rPr>
                <w:rFonts w:ascii="Times New Roman" w:hAnsi="Times New Roman" w:cs="Times New Roman"/>
                <w:sz w:val="24"/>
              </w:rPr>
              <w:fldChar w:fldCharType="separate"/>
            </w:r>
            <w:r w:rsidRPr="00F75F54">
              <w:rPr>
                <w:rFonts w:ascii="Times New Roman" w:hAnsi="Times New Roman" w:cs="Times New Roman"/>
                <w:kern w:val="0"/>
                <w:sz w:val="24"/>
                <w:vertAlign w:val="superscript"/>
              </w:rPr>
              <w:t>4</w:t>
            </w:r>
            <w:r>
              <w:rPr>
                <w:rFonts w:ascii="Times New Roman" w:hAnsi="Times New Roman" w:cs="Times New Roman"/>
                <w:sz w:val="24"/>
              </w:rPr>
              <w:fldChar w:fldCharType="end"/>
            </w:r>
          </w:p>
        </w:tc>
      </w:tr>
      <w:tr w:rsidR="00592116" w14:paraId="1AAB4A61" w14:textId="77777777" w:rsidTr="00775FE4">
        <w:tc>
          <w:tcPr>
            <w:tcW w:w="1271" w:type="dxa"/>
          </w:tcPr>
          <w:p w14:paraId="4BC5A111"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GPI hydrogels</w:t>
            </w:r>
          </w:p>
        </w:tc>
        <w:tc>
          <w:tcPr>
            <w:tcW w:w="1843" w:type="dxa"/>
          </w:tcPr>
          <w:p w14:paraId="77C0F704"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Cationic peptide bundles crosslinked with gelatin and oxidized sodium alginate via Schiff base reactions, supplemented with icariin</w:t>
            </w:r>
          </w:p>
        </w:tc>
        <w:tc>
          <w:tcPr>
            <w:tcW w:w="1984" w:type="dxa"/>
          </w:tcPr>
          <w:p w14:paraId="40D15F98"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pH-triggered release of peptide bundles disrupting bacterial membranes; the gel network recruiting osteoblasts; icariin promoting osteogenic differentiation of osteoblasts.</w:t>
            </w:r>
          </w:p>
        </w:tc>
        <w:tc>
          <w:tcPr>
            <w:tcW w:w="2552" w:type="dxa"/>
          </w:tcPr>
          <w:p w14:paraId="3B4D2FE6"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Providing bacterial targeting and low immunogenicity for enhanced clinical safety; enabling sustained Ca²⁺ release to actively drive osteogenic differentiation; suppressing infection-induced osteoclast overactivation and restoring the osteoblast-osteoclast balance.</w:t>
            </w:r>
          </w:p>
        </w:tc>
        <w:tc>
          <w:tcPr>
            <w:tcW w:w="646" w:type="dxa"/>
          </w:tcPr>
          <w:p w14:paraId="1B3350B1" w14:textId="53D390E3" w:rsidR="00592116" w:rsidRPr="005E0EF8" w:rsidRDefault="00F75F54" w:rsidP="00775FE4">
            <w:pP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{"citationID":"xmZGEgLt","properties":{"unsorted":false,"formattedCitation":"\\super 5\\nosupersub{}","plainCitation":"5","noteIndex":0},"citationItems":[{"id":5011,"uris":["http://zotero.org/users/14886177/items/QKEBPELV"],"itemData":{"id":5011,"type":"article-journal","abstract":"Due to bacterial resistance and the limited self-healing capacity, the treatment of infected mandibular defects remains great challenges. Cationic peptide bundles can kill bacteria more efficiently than the linear ones. However, they are hard to release from hydrogels because of the nonflexible structures, thus limiting its application. Inspired by the calcium-alginate reversible domain, we constructed an adaptive peptide bundlesloaded hydrogel with Schiff bases. The alginate was first oxidized to increase aldehyde groups. Gelatin (amino group) and icariin (hydroxyl group) were employed to stabilize the network. Interestingly, the peptide bundles significantly enhanced the mechanical strength, and hardly released from the hydrogels, revealing the stable bond with the network in neutral conditions. During infections, the peptide bundles were adaptively released in response to the bacteria-induced changes in acidic environment. Results showed that the peptide bundles could penetrate the bacteria membrane and lead to the ATP breakage. After immersing hydrogels in acidic solutions, cells could grow more deeply compared to the non-treated group, which promoted proliferation and osteogenesis. In vivo studies showed that the adaptive peptide bundles-loaded hydrogel could eliminate infections, decrease the formation of neutrophil extracellular networks and accelerate the healing process, leading to enhanced bone formation. This study provides a novel and promising approach for the clinical management of infectious maxillofacial bone defects.","container-title":"Biomaterials","DOI":"10.1016/j.biomaterials.2025.123613","ISSN":"01429612","journalAbbreviation":"Biomaterials","language":"en","page":"123613","source":"DOI.org (Crossref)","title":"Adaptive cationic peptide bundles hydrogel for the repair of infected mandibular defects","volume":"325","author":[{"family":"Sun","given":"Yimin"},{"family":"Yang","given":"Xuetao"},{"family":"Liu","given":"Yin"},{"family":"Zhang","given":"Chenxi"},{"family":"Feng","given":"Huiyu"},{"family":"Wu","given":"Dongdong"},{"family":"Ye","given":"Ling"},{"family":"Yu","given":"Fanyuan"},{"family":"Li","given":"Feifei"}],"issued":{"date-parts":[["2026",2]]}}}],"schema":"https://github.com/citation-style-language/schema/raw/master/csl-citation.json"} </w:instrText>
            </w:r>
            <w:r>
              <w:rPr>
                <w:rFonts w:ascii="Times New Roman" w:hAnsi="Times New Roman" w:cs="Times New Roman"/>
                <w:sz w:val="24"/>
              </w:rPr>
              <w:fldChar w:fldCharType="separate"/>
            </w:r>
            <w:r w:rsidRPr="00F75F54">
              <w:rPr>
                <w:rFonts w:ascii="Times New Roman" w:hAnsi="Times New Roman" w:cs="Times New Roman"/>
                <w:kern w:val="0"/>
                <w:sz w:val="24"/>
                <w:vertAlign w:val="superscript"/>
              </w:rPr>
              <w:t>5</w:t>
            </w:r>
            <w:r>
              <w:rPr>
                <w:rFonts w:ascii="Times New Roman" w:hAnsi="Times New Roman" w:cs="Times New Roman"/>
                <w:sz w:val="24"/>
              </w:rPr>
              <w:fldChar w:fldCharType="end"/>
            </w:r>
          </w:p>
        </w:tc>
      </w:tr>
      <w:tr w:rsidR="00592116" w14:paraId="3387EDEA" w14:textId="77777777" w:rsidTr="00775FE4">
        <w:tc>
          <w:tcPr>
            <w:tcW w:w="1271" w:type="dxa"/>
          </w:tcPr>
          <w:p w14:paraId="385127EE"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GHMs@G1-N-A/T</w:t>
            </w:r>
          </w:p>
        </w:tc>
        <w:tc>
          <w:tcPr>
            <w:tcW w:w="1843" w:type="dxa"/>
          </w:tcPr>
          <w:p w14:paraId="1C75B43F"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Vanillin-crosslinked gelatin microspheres with n-HA/MgO₂, linked via a gelatinase-cleavable peptide to aptamer-functionalized gelatin nanospheres carrying telavancin.</w:t>
            </w:r>
          </w:p>
        </w:tc>
        <w:tc>
          <w:tcPr>
            <w:tcW w:w="1984" w:type="dxa"/>
          </w:tcPr>
          <w:p w14:paraId="6A90A61B"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Aptamer-guided recognition of bacteria; acidic pH-triggered</w:t>
            </w:r>
            <w:r>
              <w:rPr>
                <w:rFonts w:ascii="Times New Roman" w:hAnsi="Times New Roman" w:cs="Times New Roman" w:hint="eastAsia"/>
                <w:sz w:val="24"/>
              </w:rPr>
              <w:t xml:space="preserve"> </w:t>
            </w:r>
            <w:r>
              <w:rPr>
                <w:rFonts w:ascii="Times New Roman" w:hAnsi="Times New Roman" w:cs="Times New Roman"/>
                <w:sz w:val="24"/>
              </w:rPr>
              <w:t>MgO₂-derived</w:t>
            </w:r>
            <w:r>
              <w:rPr>
                <w:rFonts w:ascii="Times New Roman" w:hAnsi="Times New Roman" w:cs="Times New Roman" w:hint="eastAsia"/>
                <w:sz w:val="24"/>
              </w:rPr>
              <w:t xml:space="preserve"> </w:t>
            </w:r>
            <w:r>
              <w:rPr>
                <w:rFonts w:ascii="Times New Roman" w:hAnsi="Times New Roman" w:cs="Times New Roman"/>
                <w:sz w:val="24"/>
              </w:rPr>
              <w:t>ROS generation; bacterial gelatinase-mediated cleavage of the peptide linker to release antibiotics; sustained release of Mg²⁺/Ca</w:t>
            </w:r>
            <w:r>
              <w:rPr>
                <w:rFonts w:ascii="Times New Roman" w:eastAsia="等线" w:hAnsi="Times New Roman" w:cs="Times New Roman"/>
                <w:sz w:val="24"/>
              </w:rPr>
              <w:t>²</w:t>
            </w:r>
            <w:r>
              <w:rPr>
                <w:rFonts w:ascii="Times New Roman" w:hAnsi="Times New Roman" w:cs="Times New Roman"/>
                <w:sz w:val="24"/>
              </w:rPr>
              <w:t>⁺ promoting angiogenesis and bone regeneration.</w:t>
            </w:r>
          </w:p>
        </w:tc>
        <w:tc>
          <w:tcPr>
            <w:tcW w:w="2552" w:type="dxa"/>
          </w:tcPr>
          <w:p w14:paraId="4A41561D"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Employing natural platelet-derived nanovesicles, eliminating the need for complex synthetic modifications; addressing the osteoblast-osteoclast imbalance characteristic of infectious bone defects; biomimetically recapitulating bone's natural composite and structure by in situ mineralized </w:t>
            </w:r>
            <w:proofErr w:type="spellStart"/>
            <w:r>
              <w:rPr>
                <w:rFonts w:ascii="Times New Roman" w:hAnsi="Times New Roman" w:cs="Times New Roman"/>
                <w:sz w:val="24"/>
              </w:rPr>
              <w:t>CaP.</w:t>
            </w:r>
            <w:proofErr w:type="spellEnd"/>
          </w:p>
        </w:tc>
        <w:tc>
          <w:tcPr>
            <w:tcW w:w="646" w:type="dxa"/>
          </w:tcPr>
          <w:p w14:paraId="47917D7D" w14:textId="033FE2C1" w:rsidR="00592116" w:rsidRPr="005E0EF8" w:rsidRDefault="00F75F54" w:rsidP="00775FE4">
            <w:pP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{"citationID":"kzey2xEn","properties":{"unsorted":false,"formattedCitation":"\\super 6\\nosupersub{}","plainCitation":"6","noteIndex":0},"citationItems":[{"id":3996,"uris":["http://zotero.org/users/14886177/items/RLCEFFHZ"],"itemData":{"id":3996,"type":"article-journal","abstract":"The treatment of infectious bone defects requires simultaneous resolution of bacteria-associated antibiotic resistance, inflammatory microenvironment dysregulation, and impaired bone regeneration. Here, we developed an injectable, self-assembling designed gelatin micro-/nano-sphere system (GHMs@G1-N-A/T) that addresses the tripartite challenges of infectious bone defects through innovative material engineering: Antibacterial module featuring aptamer-conjugated gelatin nanospheres (AGN-Apt/Te) for MRSA-specific targeting, coupled with dual enzyme/pH-responsive release mechanisms (gelatinase-triggered nanosphere detachment and MgO2derived ROS generation); A self-assembling microsphere scaffold (GHMs) constructed through vanillin-mediated crosslinking and nano-hydroxyapatite (n-HA)/MgO2 incorporation, enabling sequential release of Mg2+/Ca2+; and A gelatinase-sensitive peptide (G-1) interface that dynamically links these components, ensuring microenvironment-responsive functionality. Results demonstrated that gelatinase-triggered AGN-Apt/Te nanospheres detachment enabled bacteria-specific antibiotic delivery, achieving greater than 95 % eradication of S. aureus and MRSA through synergistic biofilm disruption (via MgO2-derived ROS bursts) and Te-mediated membrane damage. In vitro, self-assembling GHMs scaffold ensured sustained release of Mg2+/Ca2+, thereby promoting HUVEC tube formation (1.9-fold) and osteogenic differentiation of BMSCs. In a rat osteomyelitis model, GHMs@G1-N-A/T demonstrated sequential therapeutic efficacy: rapid infection control (greater than 95 % reduction within 7 days) followed by functional bone regeneration (46.32 % BV/TV at day 28). This work offers a new multifunctional biomaterial design that integrates hierarchical modular assembly, infection microenvironment-responsive logic and sequential transition from antibacterial to regenerative for the repair of complex infectious bone defects.","container-title":"Biomaterials","DOI":"10.1016/j.biomaterials.2025.123642","ISSN":"01429612","journalAbbreviation":"Biomaterials","language":"en","page":"123642","source":"DOI.org (Crossref)","title":"Multifunctional, enzyme/pH-responsive gelatin microspheres with aptamer-targeted antibacterial and ionic-mediated dual therapy for infected bone defects","volume":"326","author":[{"family":"Zhang","given":"Rui"},{"family":"Stehle","given":"Yijing"},{"family":"Chen","given":"Li"},{"family":"Zeng","given":"Ke"},{"family":"Lin","given":"Mingyue"},{"family":"Wang","given":"Chenxin"},{"family":"Zhang","given":"Huanshuo"},{"family":"Yang","given":"Jiehui"},{"family":"Hu","given":"Denglang"},{"family":"Huang","given":"Min"},{"family":"Yang","given":"Mao"},{"family":"Li","given":"Yubao"},{"family":"Zou","given":"Qin"}],"issued":{"date-parts":[["2026",3]]}}}],"schema":"https://github.com/citation-style-language/schema/raw/master/csl-citation.json"} </w:instrText>
            </w:r>
            <w:r>
              <w:rPr>
                <w:rFonts w:ascii="Times New Roman" w:hAnsi="Times New Roman" w:cs="Times New Roman"/>
                <w:sz w:val="24"/>
              </w:rPr>
              <w:fldChar w:fldCharType="separate"/>
            </w:r>
            <w:r w:rsidRPr="00F75F54">
              <w:rPr>
                <w:rFonts w:ascii="Times New Roman" w:hAnsi="Times New Roman" w:cs="Times New Roman"/>
                <w:kern w:val="0"/>
                <w:sz w:val="24"/>
                <w:vertAlign w:val="superscript"/>
              </w:rPr>
              <w:t>6</w:t>
            </w:r>
            <w:r>
              <w:rPr>
                <w:rFonts w:ascii="Times New Roman" w:hAnsi="Times New Roman" w:cs="Times New Roman"/>
                <w:sz w:val="24"/>
              </w:rPr>
              <w:fldChar w:fldCharType="end"/>
            </w:r>
          </w:p>
        </w:tc>
      </w:tr>
      <w:tr w:rsidR="00592116" w14:paraId="62588418" w14:textId="77777777" w:rsidTr="00775FE4">
        <w:tc>
          <w:tcPr>
            <w:tcW w:w="1271" w:type="dxa"/>
          </w:tcPr>
          <w:p w14:paraId="00BF0B1E"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CTMN@PTLH</w:t>
            </w:r>
          </w:p>
        </w:tc>
        <w:tc>
          <w:tcPr>
            <w:tcW w:w="1843" w:type="dxa"/>
          </w:tcPr>
          <w:p w14:paraId="3C1A40F6"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Polymer microspheres (PTMC/PLLA) </w:t>
            </w:r>
            <w:r>
              <w:rPr>
                <w:rFonts w:ascii="Times New Roman" w:hAnsi="Times New Roman" w:cs="Times New Roman"/>
                <w:sz w:val="24"/>
              </w:rPr>
              <w:lastRenderedPageBreak/>
              <w:t xml:space="preserve">incorporating tea polyphenol-magnesium (TP-Mg) nanoparticles stabilized by </w:t>
            </w:r>
            <w:r>
              <w:rPr>
                <w:rFonts w:ascii="Times New Roman" w:eastAsia="等线" w:hAnsi="Times New Roman" w:cs="Times New Roman"/>
                <w:sz w:val="24"/>
              </w:rPr>
              <w:t>γ</w:t>
            </w:r>
            <w:r>
              <w:rPr>
                <w:rFonts w:ascii="Times New Roman" w:hAnsi="Times New Roman" w:cs="Times New Roman"/>
                <w:sz w:val="24"/>
              </w:rPr>
              <w:t>-cyclodextrin</w:t>
            </w:r>
          </w:p>
        </w:tc>
        <w:tc>
          <w:tcPr>
            <w:tcW w:w="1984" w:type="dxa"/>
          </w:tcPr>
          <w:p w14:paraId="563AE6A6"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lastRenderedPageBreak/>
              <w:t>Providing structur</w:t>
            </w:r>
            <w:r>
              <w:rPr>
                <w:rFonts w:ascii="Times New Roman" w:hAnsi="Times New Roman" w:cs="Times New Roman" w:hint="eastAsia"/>
                <w:sz w:val="24"/>
              </w:rPr>
              <w:t>al</w:t>
            </w:r>
            <w:r>
              <w:rPr>
                <w:rFonts w:ascii="Times New Roman" w:hAnsi="Times New Roman" w:cs="Times New Roman"/>
                <w:sz w:val="24"/>
              </w:rPr>
              <w:t xml:space="preserve"> support for bone defect </w:t>
            </w:r>
            <w:r>
              <w:rPr>
                <w:rFonts w:ascii="Times New Roman" w:hAnsi="Times New Roman" w:cs="Times New Roman"/>
                <w:sz w:val="24"/>
              </w:rPr>
              <w:lastRenderedPageBreak/>
              <w:t>repair; releasing TP and Mg</w:t>
            </w:r>
            <w:r>
              <w:rPr>
                <w:rFonts w:ascii="Times New Roman" w:eastAsia="等线" w:hAnsi="Times New Roman" w:cs="Times New Roman"/>
                <w:sz w:val="24"/>
                <w:vertAlign w:val="superscript"/>
              </w:rPr>
              <w:t>2+</w:t>
            </w:r>
            <w:r>
              <w:rPr>
                <w:rFonts w:ascii="Times New Roman" w:hAnsi="Times New Roman" w:cs="Times New Roman"/>
                <w:sz w:val="24"/>
              </w:rPr>
              <w:t xml:space="preserve"> via surface degradation; promoting osteogenesis, antibacterial activity, and M2 macrophage polarization.</w:t>
            </w:r>
          </w:p>
        </w:tc>
        <w:tc>
          <w:tcPr>
            <w:tcW w:w="2552" w:type="dxa"/>
          </w:tcPr>
          <w:p w14:paraId="2CAF45F9"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lastRenderedPageBreak/>
              <w:t xml:space="preserve">Delivering antibiotic in a pathogen-specific way by NPVs; </w:t>
            </w:r>
            <w:r>
              <w:rPr>
                <w:rFonts w:ascii="Times New Roman" w:hAnsi="Times New Roman" w:cs="Times New Roman"/>
                <w:sz w:val="24"/>
              </w:rPr>
              <w:lastRenderedPageBreak/>
              <w:t>simultaneously enhancing osteogenesis while attenuating osteoclast-mediated bone resorption; minimizing immunogenicity and avoiding synthetic polymer-associated degradation concerns.</w:t>
            </w:r>
          </w:p>
        </w:tc>
        <w:tc>
          <w:tcPr>
            <w:tcW w:w="646" w:type="dxa"/>
          </w:tcPr>
          <w:p w14:paraId="5B1C28DD" w14:textId="52F8ED12" w:rsidR="00592116" w:rsidRPr="005E0EF8" w:rsidRDefault="00F75F54" w:rsidP="00775FE4">
            <w:pPr>
              <w:rPr>
                <w:rFonts w:ascii="Times New Roman" w:hAnsi="Times New Roman" w:cs="Times New Roman"/>
                <w:sz w:val="24"/>
              </w:rPr>
            </w:pPr>
            <w:r>
              <w:rPr>
                <w:rFonts w:ascii="Times New Roman" w:hAnsi="Times New Roman" w:cs="Times New Roman"/>
                <w:sz w:val="24"/>
              </w:rPr>
              <w:lastRenderedPageBreak/>
              <w:fldChar w:fldCharType="begin"/>
            </w:r>
            <w:r>
              <w:rPr>
                <w:rFonts w:ascii="Times New Roman" w:hAnsi="Times New Roman" w:cs="Times New Roman"/>
                <w:sz w:val="24"/>
              </w:rPr>
              <w:instrText xml:space="preserve"> ADDIN ZOTERO_ITEM CSL_CITATION {"citationID":"Rb1HF5yt","properties":{"unsorted":false,"formattedCitation":"\\super 7\\nosupersub{}","plainCitation":"7","noteIndex":0},"citationItems":[{"id":5013,"uris":["http://zotero.org/users/14886177/items/UPJTVIRK"],"itemData":{"id":5013,"type":"article-journal","abstract":"Conventional bone grafts face challenges in clinical applications, including donor shortages, immunological rejection, and mismatched degradation rates. This work introduces a porous microsphere scaffold loaded with self-assembled tea polyphenolic‑magnesium biomineralized nanoparticles to synergistically enhance antibacterial and osteogenic properties through a dual-factor spatiotemporal controlled release approach. Employing a biomimetic mineralization mechanism that mimics natural bone mineral formation, these nanoparticles integrate tea polyphenols with magnesium ions. This method achieves pH-responsive release kinetics: the antimicrobial component releases more effectively in mildly acidic infection microenvironments, while the mineral phase acts as a buffer against burst release, maintaining consistent local medication concentrations. Complementing this sustained-release behavior, polytrimethylene carbonate microspheres degrade via surface erosion, thereby extending therapeutic efficacy through dual “degradation-release” regulation. In vitro studies demonstrated effective eradication of methicillin-resistant Staphylococcus aureus biofilms, along with significant enhancement of osteoblast proliferation, differentiation, and mineralization activities by the scaffold. The scaffold’s porous structure mimics cancellous bone, providing an appropriate compression modulus (~195 MPa), supporting cell infiltration, and facilitating nutrient transport, thereby simulating the three-dimensional architecture of native bone tissue. Moreover, the scaffold modulates macrophage polarization toward the M2 phenotype and stimulates the secretion of anti-inflammatory cytokines (IL-37, IL-10), thereby fostering a favorable bone immune microenvironment. This work establishes a multifunctional bone tissue engineering platform by integrating spatiotemporal delivery (dual controlled release) with biomimetic mineral stabilization. By addressing infection control, promoting bone regeneration, and modulating immune responses simultaneously, this scaffold presents a promising solution for complicated infected bone defects.","container-title":"Journal of Controlled Release","DOI":"10.1016/j.jconrel.2025.114097","ISSN":"01683659","journalAbbreviation":"J. Controlled Release","language":"en","page":"114097","source":"DOI.org (Crossref)","title":"Synergistic integration of bio-mineralized nanoparticles and porous microsphere scaffolds for dual bioactive delivery in bone regeneration","volume":"386","author":[{"family":"He","given":"Jian"},{"family":"Qiao","given":"Liang"},{"family":"Fu","given":"Qizhi"},{"family":"Zhang","given":"Xiangchun"},{"family":"Liu","given":"Jiayu"},{"family":"Li","given":"Sanqiang"},{"family":"Hu","given":"Xulin"}],"issued":{"date-parts":[["2025",10]]}}}],"schema":"https://github.com/citation-style-language/schema/raw/master/csl-citation.json"} </w:instrText>
            </w:r>
            <w:r>
              <w:rPr>
                <w:rFonts w:ascii="Times New Roman" w:hAnsi="Times New Roman" w:cs="Times New Roman"/>
                <w:sz w:val="24"/>
              </w:rPr>
              <w:fldChar w:fldCharType="separate"/>
            </w:r>
            <w:r w:rsidRPr="00F75F54">
              <w:rPr>
                <w:rFonts w:ascii="Times New Roman" w:hAnsi="Times New Roman" w:cs="Times New Roman"/>
                <w:kern w:val="0"/>
                <w:sz w:val="24"/>
                <w:vertAlign w:val="superscript"/>
              </w:rPr>
              <w:t>7</w:t>
            </w:r>
            <w:r>
              <w:rPr>
                <w:rFonts w:ascii="Times New Roman" w:hAnsi="Times New Roman" w:cs="Times New Roman"/>
                <w:sz w:val="24"/>
              </w:rPr>
              <w:fldChar w:fldCharType="end"/>
            </w:r>
          </w:p>
        </w:tc>
      </w:tr>
      <w:tr w:rsidR="00592116" w14:paraId="2F5C5E01" w14:textId="77777777" w:rsidTr="00775FE4">
        <w:tc>
          <w:tcPr>
            <w:tcW w:w="1271" w:type="dxa"/>
          </w:tcPr>
          <w:p w14:paraId="78D07670" w14:textId="77777777" w:rsidR="00592116" w:rsidRPr="00440A27" w:rsidRDefault="00592116" w:rsidP="00775FE4">
            <w:pPr>
              <w:rPr>
                <w:rFonts w:ascii="Times New Roman" w:hAnsi="Times New Roman" w:cs="Times New Roman"/>
                <w:sz w:val="24"/>
              </w:rPr>
            </w:pPr>
            <w:proofErr w:type="spellStart"/>
            <w:r>
              <w:rPr>
                <w:rFonts w:ascii="Times New Roman" w:hAnsi="Times New Roman" w:cs="Times New Roman"/>
                <w:sz w:val="24"/>
              </w:rPr>
              <w:t>sp</w:t>
            </w:r>
            <w:proofErr w:type="spellEnd"/>
            <w:r>
              <w:rPr>
                <w:rFonts w:ascii="Times New Roman" w:hAnsi="Times New Roman" w:cs="Times New Roman"/>
                <w:sz w:val="24"/>
              </w:rPr>
              <w:t>-EMS</w:t>
            </w:r>
          </w:p>
        </w:tc>
        <w:tc>
          <w:tcPr>
            <w:tcW w:w="1843" w:type="dxa"/>
          </w:tcPr>
          <w:p w14:paraId="705CB234"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Biomimetic self-assembly of mineralized collagen fibrils and silver ultrathin nanowires (Ag </w:t>
            </w:r>
            <w:proofErr w:type="spellStart"/>
            <w:r>
              <w:rPr>
                <w:rFonts w:ascii="Times New Roman" w:hAnsi="Times New Roman" w:cs="Times New Roman"/>
                <w:sz w:val="24"/>
              </w:rPr>
              <w:t>uNWs</w:t>
            </w:r>
            <w:proofErr w:type="spellEnd"/>
            <w:r>
              <w:rPr>
                <w:rFonts w:ascii="Times New Roman" w:hAnsi="Times New Roman" w:cs="Times New Roman"/>
                <w:sz w:val="24"/>
              </w:rPr>
              <w:t>) to form self-promoted electroactive mineralized scaffold</w:t>
            </w:r>
          </w:p>
        </w:tc>
        <w:tc>
          <w:tcPr>
            <w:tcW w:w="1984" w:type="dxa"/>
          </w:tcPr>
          <w:p w14:paraId="2F2D571F"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Ag</w:t>
            </w:r>
            <w:r>
              <w:rPr>
                <w:rFonts w:ascii="Times New Roman" w:hAnsi="Times New Roman" w:cs="Times New Roman"/>
                <w:sz w:val="24"/>
                <w:vertAlign w:val="superscript"/>
              </w:rPr>
              <w:t>+</w:t>
            </w:r>
            <w:r>
              <w:rPr>
                <w:rFonts w:ascii="Times New Roman" w:hAnsi="Times New Roman" w:cs="Times New Roman"/>
                <w:sz w:val="24"/>
              </w:rPr>
              <w:t xml:space="preserve"> ions and ROS providing antibacterial activity; </w:t>
            </w:r>
            <w:r>
              <w:rPr>
                <w:rFonts w:ascii="Times New Roman" w:hAnsi="Times New Roman" w:cs="Times New Roman" w:hint="eastAsia"/>
                <w:sz w:val="24"/>
              </w:rPr>
              <w:t>e</w:t>
            </w:r>
            <w:r>
              <w:rPr>
                <w:rFonts w:ascii="Times New Roman" w:hAnsi="Times New Roman" w:cs="Times New Roman"/>
                <w:sz w:val="24"/>
              </w:rPr>
              <w:t xml:space="preserve">lectrical stimulation from Ag </w:t>
            </w:r>
            <w:proofErr w:type="spellStart"/>
            <w:r>
              <w:rPr>
                <w:rFonts w:ascii="Times New Roman" w:hAnsi="Times New Roman" w:cs="Times New Roman"/>
                <w:sz w:val="24"/>
              </w:rPr>
              <w:t>uNWs</w:t>
            </w:r>
            <w:proofErr w:type="spellEnd"/>
            <w:r>
              <w:rPr>
                <w:rFonts w:ascii="Times New Roman" w:hAnsi="Times New Roman" w:cs="Times New Roman"/>
                <w:sz w:val="24"/>
              </w:rPr>
              <w:t xml:space="preserve"> generating a sustained microcurrent that activates voltage</w:t>
            </w:r>
            <w:r>
              <w:rPr>
                <w:rFonts w:ascii="Times New Roman" w:hAnsi="Times New Roman" w:cs="Times New Roman"/>
                <w:sz w:val="24"/>
              </w:rPr>
              <w:noBreakHyphen/>
              <w:t>gated calcium channels (VGCCs), enhancing osteogenic differentiation.</w:t>
            </w:r>
          </w:p>
        </w:tc>
        <w:tc>
          <w:tcPr>
            <w:tcW w:w="2552" w:type="dxa"/>
          </w:tcPr>
          <w:p w14:paraId="79741F31"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Enabling more precise antibiotic delivery and potent biofilm eradication; counteracting the pathological osteoclast overactivation beyond promoting osteogenesis; avoiding the potential long-term tissue accumulation and toxicity risks of synthetic materials.</w:t>
            </w:r>
          </w:p>
        </w:tc>
        <w:tc>
          <w:tcPr>
            <w:tcW w:w="646" w:type="dxa"/>
          </w:tcPr>
          <w:p w14:paraId="76DDA052" w14:textId="0DFBEBB2" w:rsidR="00592116" w:rsidRPr="005E0EF8" w:rsidRDefault="00F75F54" w:rsidP="00775FE4">
            <w:pP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{"citationID":"I4v2LCTy","properties":{"unsorted":false,"formattedCitation":"\\super 8\\nosupersub{}","plainCitation":"8","noteIndex":0},"citationItems":[{"id":5012,"uris":["http://zotero.org/users/14886177/items/GNCIW9RY"],"itemData":{"id":5012,"type":"article-journal","abstract":"Abstract\n            \n              Infected bone defects are a major challenge in orthopedic treatment. Native bone tissue possesses an endogenous electroactive interface that induces stem cell differentiation and inhibits bacterial adhesion and activity. However, traditional bone substitutes have difficulty in reconstructing the electrical environment of bone. In this study, we develop a self-promoted electroactive mineralized scaffold (sp-EMS) that generates weak currents via spontaneous electrochemical reactions to activate voltage-gated Ca\n              2+\n              channels, enhance adenosine triphosphate-induced actin remodeling, and ultimately achieve osteogenic differentiation of mesenchymal stem cells by activating the BMP2/Smad5 pathway. Furthermore, we show that the electroactive interface provided by the sp-EMS inhibits bacterial adhesion and activity via electrochemical products and concomitantly generated reactive oxygen species. We find that the osteogenic and antibacterial dual functions of the sp-EMS depend on its self-promoting electrical stimulation. We demonstrate that in vivo, the sp-EMS achieves complete or nearly complete in situ infected bone healing, from a rat calvarial defect model with single bacterial infection, to a rabbit open alveolar bone defect model and a beagle dog vertical bone defect model with the complex oral bacterial microenvironment. This translational study demonstrates that the electroactive bone graft presents a promising therapeutic platform for complex defect repair.","container-title":"Nature Communications","DOI":"10.1038/s41467-023-42598-4","ISSN":"2041-1723","issue":"1","journalAbbreviation":"Nat. Commun.","language":"en","page":"6963","source":"DOI.org (Crossref)","title":"Self-promoted electroactive biomimetic mineralized scaffolds for bacteria-infected bone regeneration","volume":"14","author":[{"family":"Li","given":"Zixin"},{"family":"He","given":"Danqing"},{"family":"Guo","given":"Bowen"},{"family":"Wang","given":"Zekun"},{"family":"Yu","given":"Huajie"},{"family":"Wang","given":"Yu"},{"family":"Jin","given":"Shanshan"},{"family":"Yu","given":"Min"},{"family":"Zhu","given":"Lisha"},{"family":"Chen","given":"Liyuan"},{"family":"Ding","given":"Chengye"},{"family":"Wu","given":"Xiaolan"},{"family":"Wu","given":"Tianhao"},{"family":"Gong","given":"Shiqiang"},{"family":"Mao","given":"Jing"},{"family":"Zhou","given":"Yanheng"},{"family":"Luo","given":"Dan"},{"family":"Liu","given":"Yan"}],"issued":{"date-parts":[["2023",10,31]]}}}],"schema":"https://github.com/citation-style-language/schema/raw/master/csl-citation.json"} </w:instrText>
            </w:r>
            <w:r>
              <w:rPr>
                <w:rFonts w:ascii="Times New Roman" w:hAnsi="Times New Roman" w:cs="Times New Roman"/>
                <w:sz w:val="24"/>
              </w:rPr>
              <w:fldChar w:fldCharType="separate"/>
            </w:r>
            <w:r w:rsidRPr="00F75F54">
              <w:rPr>
                <w:rFonts w:ascii="Times New Roman" w:hAnsi="Times New Roman" w:cs="Times New Roman"/>
                <w:kern w:val="0"/>
                <w:sz w:val="24"/>
                <w:vertAlign w:val="superscript"/>
              </w:rPr>
              <w:t>8</w:t>
            </w:r>
            <w:r>
              <w:rPr>
                <w:rFonts w:ascii="Times New Roman" w:hAnsi="Times New Roman" w:cs="Times New Roman"/>
                <w:sz w:val="24"/>
              </w:rPr>
              <w:fldChar w:fldCharType="end"/>
            </w:r>
          </w:p>
        </w:tc>
      </w:tr>
      <w:tr w:rsidR="00592116" w14:paraId="365BEC3F" w14:textId="77777777" w:rsidTr="00775FE4">
        <w:tc>
          <w:tcPr>
            <w:tcW w:w="1271" w:type="dxa"/>
          </w:tcPr>
          <w:p w14:paraId="058F1BB7"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PEG-</w:t>
            </w:r>
            <w:proofErr w:type="spellStart"/>
            <w:r>
              <w:rPr>
                <w:rFonts w:ascii="Times New Roman" w:hAnsi="Times New Roman" w:cs="Times New Roman"/>
                <w:sz w:val="24"/>
              </w:rPr>
              <w:t>EGaIn</w:t>
            </w:r>
            <w:proofErr w:type="spellEnd"/>
            <w:r>
              <w:rPr>
                <w:rFonts w:ascii="Times New Roman" w:hAnsi="Times New Roman" w:cs="Times New Roman"/>
                <w:sz w:val="24"/>
              </w:rPr>
              <w:t>-Col-Ap-lamellar</w:t>
            </w:r>
          </w:p>
        </w:tc>
        <w:tc>
          <w:tcPr>
            <w:tcW w:w="1843" w:type="dxa"/>
          </w:tcPr>
          <w:p w14:paraId="5E26FCAB"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Gallium-indium liquid metal </w:t>
            </w:r>
            <w:proofErr w:type="spellStart"/>
            <w:r>
              <w:rPr>
                <w:rFonts w:ascii="Times New Roman" w:hAnsi="Times New Roman" w:cs="Times New Roman"/>
                <w:sz w:val="24"/>
              </w:rPr>
              <w:t>nanocapsules</w:t>
            </w:r>
            <w:proofErr w:type="spellEnd"/>
            <w:r>
              <w:rPr>
                <w:rFonts w:ascii="Times New Roman" w:hAnsi="Times New Roman" w:cs="Times New Roman"/>
                <w:sz w:val="24"/>
              </w:rPr>
              <w:t xml:space="preserve"> stabilized by PEG and coated onto a collagen-apatite lamellar matrix</w:t>
            </w:r>
          </w:p>
        </w:tc>
        <w:tc>
          <w:tcPr>
            <w:tcW w:w="1984" w:type="dxa"/>
          </w:tcPr>
          <w:p w14:paraId="18B80703" w14:textId="77777777" w:rsidR="00592116" w:rsidRPr="00342398" w:rsidRDefault="00592116" w:rsidP="00775FE4">
            <w:pPr>
              <w:rPr>
                <w:rFonts w:ascii="Times New Roman" w:hAnsi="Times New Roman" w:cs="Times New Roman"/>
                <w:sz w:val="24"/>
              </w:rPr>
            </w:pPr>
            <w:r>
              <w:rPr>
                <w:rFonts w:ascii="Times New Roman" w:hAnsi="Times New Roman" w:cs="Times New Roman"/>
                <w:sz w:val="24"/>
              </w:rPr>
              <w:t>Ga</w:t>
            </w:r>
            <w:r>
              <w:rPr>
                <w:rFonts w:ascii="Times New Roman" w:hAnsi="Times New Roman" w:cs="Times New Roman"/>
                <w:sz w:val="24"/>
                <w:vertAlign w:val="superscript"/>
              </w:rPr>
              <w:t>3+</w:t>
            </w:r>
            <w:r>
              <w:rPr>
                <w:rFonts w:ascii="Times New Roman" w:hAnsi="Times New Roman" w:cs="Times New Roman"/>
                <w:sz w:val="24"/>
              </w:rPr>
              <w:t xml:space="preserve"> potentially disrupting bacterial iron metabolism and physically damaging cell membranes; promoting osteogenesis via Ga</w:t>
            </w:r>
            <w:r>
              <w:rPr>
                <w:rFonts w:ascii="Times New Roman" w:hAnsi="Times New Roman" w:cs="Times New Roman"/>
                <w:sz w:val="24"/>
                <w:vertAlign w:val="superscript"/>
              </w:rPr>
              <w:t>3+</w:t>
            </w:r>
            <w:r>
              <w:rPr>
                <w:rFonts w:ascii="Times New Roman" w:hAnsi="Times New Roman" w:cs="Times New Roman"/>
                <w:sz w:val="24"/>
              </w:rPr>
              <w:t xml:space="preserve"> release.</w:t>
            </w:r>
          </w:p>
        </w:tc>
        <w:tc>
          <w:tcPr>
            <w:tcW w:w="2552" w:type="dxa"/>
          </w:tcPr>
          <w:p w14:paraId="66F1BE3A" w14:textId="77777777" w:rsidR="00592116" w:rsidRPr="00342398" w:rsidRDefault="00592116" w:rsidP="00775FE4">
            <w:pPr>
              <w:rPr>
                <w:rFonts w:ascii="Times New Roman" w:hAnsi="Times New Roman" w:cs="Times New Roman"/>
                <w:sz w:val="24"/>
              </w:rPr>
            </w:pPr>
            <w:r>
              <w:rPr>
                <w:rFonts w:ascii="Times New Roman" w:hAnsi="Times New Roman" w:cs="Times New Roman"/>
                <w:sz w:val="24"/>
              </w:rPr>
              <w:t xml:space="preserve">Offering </w:t>
            </w:r>
            <w:r>
              <w:rPr>
                <w:rFonts w:ascii="Times New Roman" w:hAnsi="Times New Roman" w:cs="Times New Roman" w:hint="eastAsia"/>
                <w:sz w:val="24"/>
              </w:rPr>
              <w:t xml:space="preserve">a </w:t>
            </w:r>
            <w:r>
              <w:rPr>
                <w:rFonts w:ascii="Times New Roman" w:hAnsi="Times New Roman" w:cs="Times New Roman"/>
                <w:sz w:val="24"/>
              </w:rPr>
              <w:t>natural system derived from platelets with high biosafety and potential for clinical translation; simultaneously suppressing osteoclast overactivation and promoting osteoblast differentiation; mimicking bone components and enabl</w:t>
            </w:r>
            <w:r>
              <w:rPr>
                <w:rFonts w:ascii="Times New Roman" w:hAnsi="Times New Roman" w:cs="Times New Roman" w:hint="eastAsia"/>
                <w:sz w:val="24"/>
              </w:rPr>
              <w:t>ing</w:t>
            </w:r>
            <w:r>
              <w:rPr>
                <w:rFonts w:ascii="Times New Roman" w:hAnsi="Times New Roman" w:cs="Times New Roman"/>
                <w:sz w:val="24"/>
              </w:rPr>
              <w:t xml:space="preserve"> sustained Ca</w:t>
            </w:r>
            <w:r>
              <w:rPr>
                <w:rFonts w:ascii="Times New Roman" w:hAnsi="Times New Roman" w:cs="Times New Roman"/>
                <w:sz w:val="24"/>
                <w:vertAlign w:val="superscript"/>
              </w:rPr>
              <w:t>2+</w:t>
            </w:r>
            <w:r>
              <w:rPr>
                <w:rFonts w:ascii="Times New Roman" w:hAnsi="Times New Roman" w:cs="Times New Roman"/>
                <w:sz w:val="24"/>
              </w:rPr>
              <w:t xml:space="preserve"> release to actively enhance osteogenesis.</w:t>
            </w:r>
          </w:p>
        </w:tc>
        <w:tc>
          <w:tcPr>
            <w:tcW w:w="646" w:type="dxa"/>
          </w:tcPr>
          <w:p w14:paraId="631BA37D" w14:textId="4CCC0D01" w:rsidR="00592116" w:rsidRPr="005E0EF8" w:rsidRDefault="00F75F54" w:rsidP="00775FE4">
            <w:pPr>
              <w:rPr>
                <w:rFonts w:ascii="Times New Roman" w:hAnsi="Times New Roman" w:cs="Times New Roman"/>
                <w:sz w:val="24"/>
                <w:vertAlign w:val="superscript"/>
              </w:rPr>
            </w:pPr>
            <w:r>
              <w:rPr>
                <w:rFonts w:ascii="Times New Roman" w:hAnsi="Times New Roman" w:cs="Times New Roman"/>
                <w:sz w:val="24"/>
                <w:vertAlign w:val="superscript"/>
              </w:rPr>
              <w:fldChar w:fldCharType="begin"/>
            </w:r>
            <w:r>
              <w:rPr>
                <w:rFonts w:ascii="Times New Roman" w:hAnsi="Times New Roman" w:cs="Times New Roman"/>
                <w:sz w:val="24"/>
                <w:vertAlign w:val="superscript"/>
              </w:rPr>
              <w:instrText xml:space="preserve"> ADDIN ZOTERO_ITEM CSL_CITATION {"citationID":"vqGBVXbB","properties":{"unsorted":false,"formattedCitation":"\\super 9\\nosupersub{}","plainCitation":"9","noteIndex":0},"citationItems":[{"id":5014,"uris":["http://zotero.org/users/14886177/items/FMN5568J"],"itemData":{"id":5014,"type":"article-journal","container-title":"npj Biofilms and Microbiomes","ISSN":"2055-5008","issue":"1","journalAbbreviation":"npj Biofilms Microbiomes","language":"en","page":"123-138","source":"DOI.org (Crossref)","title":"Microanatomy related biocidal activity at cellular resolution and bone reconstruction potential of PEG EGaIn nanocapsules","volume":"11","author":[{"family":"Mwangi","given":"Kevin H."},{"family":"Qu","given":"Yue"},{"family":"Hu","given":"Peilun"},{"family":"Nagayasu","given":"Toshitatsu"},{"family":"Liu","given":"Jia-Feng"},{"family":"Wang","given":"Xiumei"}],"issued":{"date-parts":[["2025",7,1]]}}}],"schema":"https://github.com/citation-style-language/schema/raw/master/csl-citation.json"} </w:instrText>
            </w:r>
            <w:r>
              <w:rPr>
                <w:rFonts w:ascii="Times New Roman" w:hAnsi="Times New Roman" w:cs="Times New Roman"/>
                <w:sz w:val="24"/>
                <w:vertAlign w:val="superscript"/>
              </w:rPr>
              <w:fldChar w:fldCharType="separate"/>
            </w:r>
            <w:r w:rsidRPr="00F75F54">
              <w:rPr>
                <w:rFonts w:ascii="Times New Roman" w:hAnsi="Times New Roman" w:cs="Times New Roman"/>
                <w:kern w:val="0"/>
                <w:sz w:val="24"/>
                <w:vertAlign w:val="superscript"/>
              </w:rPr>
              <w:t>9</w:t>
            </w:r>
            <w:r>
              <w:rPr>
                <w:rFonts w:ascii="Times New Roman" w:hAnsi="Times New Roman" w:cs="Times New Roman"/>
                <w:sz w:val="24"/>
                <w:vertAlign w:val="superscript"/>
              </w:rPr>
              <w:fldChar w:fldCharType="end"/>
            </w:r>
          </w:p>
        </w:tc>
      </w:tr>
      <w:tr w:rsidR="00592116" w14:paraId="79A03C30" w14:textId="77777777" w:rsidTr="00775FE4">
        <w:tc>
          <w:tcPr>
            <w:tcW w:w="1271" w:type="dxa"/>
          </w:tcPr>
          <w:p w14:paraId="7F82EDB2"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Oriented porous scaffolds with CS/HAP/CNT-TCNCs</w:t>
            </w:r>
          </w:p>
        </w:tc>
        <w:tc>
          <w:tcPr>
            <w:tcW w:w="1843" w:type="dxa"/>
          </w:tcPr>
          <w:p w14:paraId="5CE5CA70" w14:textId="77777777" w:rsidR="00592116" w:rsidRPr="00440A27" w:rsidRDefault="00592116" w:rsidP="00775FE4">
            <w:pPr>
              <w:rPr>
                <w:rFonts w:ascii="Times New Roman" w:hAnsi="Times New Roman" w:cs="Times New Roman"/>
                <w:sz w:val="24"/>
              </w:rPr>
            </w:pPr>
            <w:r>
              <w:rPr>
                <w:rFonts w:ascii="Times New Roman" w:hAnsi="Times New Roman" w:cs="Times New Roman"/>
                <w:sz w:val="24"/>
              </w:rPr>
              <w:t xml:space="preserve">CS/HAP matrix with CNTs dispersed by TCNCs. </w:t>
            </w:r>
          </w:p>
        </w:tc>
        <w:tc>
          <w:tcPr>
            <w:tcW w:w="1984" w:type="dxa"/>
          </w:tcPr>
          <w:p w14:paraId="7693FF6E" w14:textId="77777777" w:rsidR="00592116" w:rsidRPr="00342398" w:rsidRDefault="00592116" w:rsidP="00775FE4">
            <w:pPr>
              <w:rPr>
                <w:rFonts w:ascii="Times New Roman" w:hAnsi="Times New Roman" w:cs="Times New Roman"/>
                <w:sz w:val="24"/>
              </w:rPr>
            </w:pPr>
            <w:r>
              <w:rPr>
                <w:rFonts w:ascii="Times New Roman" w:hAnsi="Times New Roman" w:cs="Times New Roman"/>
                <w:sz w:val="24"/>
              </w:rPr>
              <w:t>CNT-mediated photothermal antibacterial effect; radial structure of the material mediating cell migration and infiltration.</w:t>
            </w:r>
          </w:p>
        </w:tc>
        <w:tc>
          <w:tcPr>
            <w:tcW w:w="2552" w:type="dxa"/>
          </w:tcPr>
          <w:p w14:paraId="26BB0983" w14:textId="77777777" w:rsidR="00592116" w:rsidRPr="00342398" w:rsidRDefault="00592116" w:rsidP="00775FE4">
            <w:pPr>
              <w:rPr>
                <w:rFonts w:ascii="Times New Roman" w:hAnsi="Times New Roman" w:cs="Times New Roman"/>
                <w:sz w:val="24"/>
              </w:rPr>
            </w:pPr>
            <w:r>
              <w:rPr>
                <w:rFonts w:ascii="Times New Roman" w:hAnsi="Times New Roman" w:cs="Times New Roman"/>
                <w:sz w:val="24"/>
              </w:rPr>
              <w:t xml:space="preserve">Enabling bacteria targeting and controlled antibiotic release; simultaneously suppressing osteoclast overactivation while promoting osteogenesis; exhibiting therapeutic action </w:t>
            </w:r>
            <w:r>
              <w:rPr>
                <w:rFonts w:ascii="Times New Roman" w:hAnsi="Times New Roman" w:cs="Times New Roman"/>
                <w:sz w:val="24"/>
              </w:rPr>
              <w:lastRenderedPageBreak/>
              <w:t>without external energy input.</w:t>
            </w:r>
          </w:p>
        </w:tc>
        <w:tc>
          <w:tcPr>
            <w:tcW w:w="646" w:type="dxa"/>
          </w:tcPr>
          <w:p w14:paraId="7068A574" w14:textId="39FFE65B" w:rsidR="00592116" w:rsidRPr="005E0EF8" w:rsidRDefault="00F75F54" w:rsidP="00775FE4">
            <w:pPr>
              <w:rPr>
                <w:rFonts w:ascii="Times New Roman" w:hAnsi="Times New Roman" w:cs="Times New Roman"/>
                <w:sz w:val="24"/>
                <w:vertAlign w:val="superscript"/>
              </w:rPr>
            </w:pPr>
            <w:r>
              <w:rPr>
                <w:rFonts w:ascii="Times New Roman" w:hAnsi="Times New Roman" w:cs="Times New Roman"/>
                <w:sz w:val="24"/>
                <w:vertAlign w:val="superscript"/>
              </w:rPr>
              <w:lastRenderedPageBreak/>
              <w:fldChar w:fldCharType="begin"/>
            </w:r>
            <w:r>
              <w:rPr>
                <w:rFonts w:ascii="Times New Roman" w:hAnsi="Times New Roman" w:cs="Times New Roman"/>
                <w:sz w:val="24"/>
                <w:vertAlign w:val="superscript"/>
              </w:rPr>
              <w:instrText xml:space="preserve"> ADDIN ZOTERO_ITEM CSL_CITATION {"citationID":"yZ2zYkfj","properties":{"unsorted":false,"formattedCitation":"\\super 10\\nosupersub{}","plainCitation":"10","noteIndex":0},"citationItems":[{"id":5009,"uris":["http://zotero.org/users/14886177/items/DWGGJ9Q3"],"itemData":{"id":5009,"type":"article-journal","abstract":"Bone tissue engineering still faces challenges in achieving sufficient osteoinductivity and osteoconductivity, particularly when relying on conventional organic–inorganic composites with poorly defined structures. Here, inspired by the anisotropic architecture of native bone, a nano-homogeneous, radially oriented hybrid scaffold was constructed through directional freezecasting technology for endogenous bone regeneration. Tunicate nanocellulose (TCNC) was employed as an efficient dispersant and mechanical reinforcer to achieve homogeneous dispersion of carbon nanotubes (CNT) within a chitosan (CS) matrix. Subsequent in situ biomimetic mineralization generated uniformly distributed hydroxyapatite (HAP), providing improved bioactivity. The incorporation of CNT endowed the scaffolds with strong photothermal antibacterial capability, achieving an antibacterial rate above 98% against S. aureus. Benefiting from the anisotropic channels, the oriented scaffolds promoted cell adhesion, alignment, and proliferation more effectively than random porous structures. In a rat cranial defect model, the oriented scaffold exhibited superior osteogenic performance, with bone mineral density reaching 0.688 g/cm3 after 3 months of implantation. Overall, this work demonstrates a structurally and functionally integrated biomimetic strategy for enhancing endogenous bone regeneration and underscores the importance of nano-homogeneous, anisotropic architectures in guiding tissue repair.","container-title":"Small","ISSN":"1613-6810, 1613-6829","journalAbbreviation":"Small","language":"en","page":"e14683","source":"DOI.org (Crossref)","title":"Oriented nano-homogeneous biomimetic scaffolds regulate cell alignment and promote endogenous bone regeneration","author":[{"family":"Yu","given":"Hui"},{"family":"Zhou","given":"Wutong"},{"family":"Hou","given":"Yage"},{"family":"Lv","given":"Xiaoyu"},{"family":"Han","given":"Jianing"},{"family":"Wang","given":"Lin"},{"family":"Guo","given":"Liangyu"},{"family":"Pan","given":"Panpan"},{"family":"Gong","given":"Ningji"},{"family":"Chen","given":"Jingdi"}],"issued":{"date-parts":[["2026",4,5]]}}}],"schema":"https://github.com/citation-style-language/schema/raw/master/csl-citation.json"} </w:instrText>
            </w:r>
            <w:r>
              <w:rPr>
                <w:rFonts w:ascii="Times New Roman" w:hAnsi="Times New Roman" w:cs="Times New Roman"/>
                <w:sz w:val="24"/>
                <w:vertAlign w:val="superscript"/>
              </w:rPr>
              <w:fldChar w:fldCharType="separate"/>
            </w:r>
            <w:r w:rsidRPr="00F75F54">
              <w:rPr>
                <w:rFonts w:ascii="Times New Roman" w:hAnsi="Times New Roman" w:cs="Times New Roman"/>
                <w:kern w:val="0"/>
                <w:sz w:val="24"/>
                <w:vertAlign w:val="superscript"/>
              </w:rPr>
              <w:t>10</w:t>
            </w:r>
            <w:r>
              <w:rPr>
                <w:rFonts w:ascii="Times New Roman" w:hAnsi="Times New Roman" w:cs="Times New Roman"/>
                <w:sz w:val="24"/>
                <w:vertAlign w:val="superscript"/>
              </w:rPr>
              <w:fldChar w:fldCharType="end"/>
            </w:r>
          </w:p>
        </w:tc>
      </w:tr>
    </w:tbl>
    <w:p w14:paraId="1331F0C1" w14:textId="77777777" w:rsidR="00592116" w:rsidRPr="00495163" w:rsidRDefault="00592116" w:rsidP="00592116">
      <w:pPr>
        <w:rPr>
          <w:rFonts w:ascii="Times New Roman" w:hAnsi="Times New Roman" w:cs="Times New Roman"/>
          <w:sz w:val="24"/>
        </w:rPr>
      </w:pPr>
      <w:r>
        <w:rPr>
          <w:rFonts w:ascii="Times New Roman" w:hAnsi="Times New Roman" w:cs="Times New Roman"/>
          <w:sz w:val="24"/>
        </w:rPr>
        <w:t>ZIF-8, Zeolitic imidazolate framework-8; PLGA, Poly(lactic-</w:t>
      </w:r>
      <w:r>
        <w:rPr>
          <w:rFonts w:ascii="Times New Roman" w:hAnsi="Times New Roman" w:cs="Times New Roman"/>
          <w:i/>
          <w:iCs/>
          <w:sz w:val="24"/>
        </w:rPr>
        <w:t>co</w:t>
      </w:r>
      <w:r>
        <w:rPr>
          <w:rFonts w:ascii="Times New Roman" w:hAnsi="Times New Roman" w:cs="Times New Roman"/>
          <w:sz w:val="24"/>
        </w:rPr>
        <w:t xml:space="preserve">-glycolic acid); NIR, near‐infrared; ROS, reactive oxygen species; PVA, polyvinyl alcohol; GG, </w:t>
      </w:r>
      <w:proofErr w:type="spellStart"/>
      <w:r>
        <w:rPr>
          <w:rFonts w:ascii="Times New Roman" w:hAnsi="Times New Roman" w:cs="Times New Roman"/>
          <w:sz w:val="24"/>
        </w:rPr>
        <w:t>gellan</w:t>
      </w:r>
      <w:proofErr w:type="spellEnd"/>
      <w:r>
        <w:rPr>
          <w:rFonts w:ascii="Times New Roman" w:hAnsi="Times New Roman" w:cs="Times New Roman"/>
          <w:sz w:val="24"/>
        </w:rPr>
        <w:t xml:space="preserve"> gum; BG, bioactive glasses; CH, chitosan-hydroxyapatite; </w:t>
      </w:r>
      <w:r>
        <w:rPr>
          <w:rFonts w:ascii="Times New Roman" w:hAnsi="Times New Roman" w:cs="Times New Roman" w:hint="eastAsia"/>
          <w:sz w:val="24"/>
        </w:rPr>
        <w:t>PCL</w:t>
      </w:r>
      <w:r>
        <w:rPr>
          <w:rFonts w:ascii="Times New Roman" w:hAnsi="Times New Roman" w:cs="Times New Roman"/>
          <w:sz w:val="24"/>
        </w:rPr>
        <w:t xml:space="preserve">, polycaprolactone; n-HA, nano-hydroxyapatite; PTMC, </w:t>
      </w:r>
      <w:proofErr w:type="spellStart"/>
      <w:r>
        <w:rPr>
          <w:rFonts w:ascii="Times New Roman" w:hAnsi="Times New Roman" w:cs="Times New Roman"/>
          <w:sz w:val="24"/>
        </w:rPr>
        <w:t>polytrimethylene</w:t>
      </w:r>
      <w:proofErr w:type="spellEnd"/>
      <w:r>
        <w:rPr>
          <w:rFonts w:ascii="Times New Roman" w:hAnsi="Times New Roman" w:cs="Times New Roman"/>
          <w:sz w:val="24"/>
        </w:rPr>
        <w:t xml:space="preserve"> carbonate; PLLA, polylactic acid; PEG, polyethylene glycol; CS, chitosan; HAP, hydroxyapatite; CNT, carbon nanotube; TCNC, tunicate cellulose nanocrystal</w:t>
      </w:r>
    </w:p>
    <w:p w14:paraId="7DEDE491" w14:textId="77777777" w:rsidR="00592116" w:rsidRPr="001506BA" w:rsidRDefault="00592116" w:rsidP="00592116">
      <w:pPr>
        <w:rPr>
          <w:rFonts w:ascii="Times New Roman" w:hAnsi="Times New Roman" w:cs="Times New Roman"/>
          <w:sz w:val="24"/>
        </w:rPr>
      </w:pPr>
      <w:r>
        <w:rPr>
          <w:rFonts w:ascii="Times New Roman" w:hAnsi="Times New Roman" w:cs="Times New Roman"/>
          <w:sz w:val="24"/>
        </w:rPr>
        <w:t>Table S</w:t>
      </w:r>
      <w:r>
        <w:rPr>
          <w:rFonts w:ascii="Times New Roman" w:hAnsi="Times New Roman" w:cs="Times New Roman" w:hint="eastAsia"/>
          <w:sz w:val="24"/>
        </w:rPr>
        <w:t>2</w:t>
      </w:r>
      <w:r>
        <w:rPr>
          <w:rFonts w:ascii="Times New Roman" w:hAnsi="Times New Roman" w:cs="Times New Roman"/>
          <w:sz w:val="24"/>
        </w:rPr>
        <w:t xml:space="preserve"> Summary of PCR primers.</w:t>
      </w:r>
    </w:p>
    <w:tbl>
      <w:tblPr>
        <w:tblW w:w="5812" w:type="dxa"/>
        <w:jc w:val="center"/>
        <w:tblLook w:val="04A0" w:firstRow="1" w:lastRow="0" w:firstColumn="1" w:lastColumn="0" w:noHBand="0" w:noVBand="1"/>
      </w:tblPr>
      <w:tblGrid>
        <w:gridCol w:w="1418"/>
        <w:gridCol w:w="4394"/>
      </w:tblGrid>
      <w:tr w:rsidR="00592116" w14:paraId="5EF2BA10" w14:textId="77777777" w:rsidTr="00775FE4">
        <w:trPr>
          <w:trHeight w:val="308"/>
          <w:jc w:val="center"/>
        </w:trPr>
        <w:tc>
          <w:tcPr>
            <w:tcW w:w="1418" w:type="dxa"/>
            <w:tcBorders>
              <w:top w:val="single" w:sz="4" w:space="0" w:color="auto"/>
              <w:left w:val="nil"/>
              <w:bottom w:val="single" w:sz="4" w:space="0" w:color="auto"/>
              <w:right w:val="nil"/>
            </w:tcBorders>
            <w:noWrap/>
            <w:vAlign w:val="center"/>
            <w:hideMark/>
          </w:tcPr>
          <w:p w14:paraId="2A668151" w14:textId="77777777" w:rsidR="00592116" w:rsidRPr="001506BA" w:rsidRDefault="00592116" w:rsidP="00775FE4">
            <w:pPr>
              <w:spacing w:after="0" w:line="240" w:lineRule="auto"/>
              <w:jc w:val="center"/>
              <w:rPr>
                <w:rFonts w:ascii="Times New Roman" w:eastAsia="等线" w:hAnsi="Times New Roman" w:cs="Times New Roman"/>
                <w:color w:val="000000"/>
                <w:sz w:val="24"/>
              </w:rPr>
            </w:pPr>
            <w:r>
              <w:rPr>
                <w:rFonts w:ascii="Times New Roman" w:eastAsia="等线" w:hAnsi="Times New Roman" w:cs="Times New Roman"/>
                <w:color w:val="000000"/>
                <w:sz w:val="24"/>
              </w:rPr>
              <w:t>Gene Name</w:t>
            </w:r>
          </w:p>
        </w:tc>
        <w:tc>
          <w:tcPr>
            <w:tcW w:w="4394" w:type="dxa"/>
            <w:tcBorders>
              <w:top w:val="single" w:sz="4" w:space="0" w:color="auto"/>
              <w:left w:val="nil"/>
              <w:bottom w:val="single" w:sz="4" w:space="0" w:color="auto"/>
              <w:right w:val="nil"/>
            </w:tcBorders>
            <w:noWrap/>
            <w:vAlign w:val="center"/>
            <w:hideMark/>
          </w:tcPr>
          <w:p w14:paraId="397BD6F8" w14:textId="77777777" w:rsidR="00592116" w:rsidRPr="001506BA" w:rsidRDefault="00592116" w:rsidP="00775FE4">
            <w:pPr>
              <w:spacing w:after="0" w:line="240" w:lineRule="auto"/>
              <w:jc w:val="center"/>
              <w:rPr>
                <w:rFonts w:ascii="Times New Roman" w:eastAsia="等线" w:hAnsi="Times New Roman" w:cs="Times New Roman"/>
                <w:color w:val="000000"/>
                <w:sz w:val="24"/>
              </w:rPr>
            </w:pPr>
            <w:r>
              <w:rPr>
                <w:rFonts w:ascii="Times New Roman" w:eastAsia="等线" w:hAnsi="Times New Roman" w:cs="Times New Roman"/>
                <w:color w:val="000000"/>
                <w:sz w:val="24"/>
              </w:rPr>
              <w:t>Primer sequence (5' to 3')</w:t>
            </w:r>
          </w:p>
        </w:tc>
      </w:tr>
      <w:tr w:rsidR="00592116" w14:paraId="0A1DD7FB" w14:textId="77777777" w:rsidTr="00775FE4">
        <w:trPr>
          <w:trHeight w:val="308"/>
          <w:jc w:val="center"/>
        </w:trPr>
        <w:tc>
          <w:tcPr>
            <w:tcW w:w="1418" w:type="dxa"/>
            <w:vMerge w:val="restart"/>
            <w:tcBorders>
              <w:top w:val="nil"/>
              <w:left w:val="nil"/>
              <w:bottom w:val="nil"/>
              <w:right w:val="nil"/>
            </w:tcBorders>
            <w:noWrap/>
            <w:vAlign w:val="center"/>
            <w:hideMark/>
          </w:tcPr>
          <w:p w14:paraId="20D8ED14"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β-actin</w:t>
            </w:r>
          </w:p>
        </w:tc>
        <w:tc>
          <w:tcPr>
            <w:tcW w:w="4394" w:type="dxa"/>
            <w:tcBorders>
              <w:top w:val="nil"/>
              <w:left w:val="nil"/>
              <w:bottom w:val="nil"/>
              <w:right w:val="nil"/>
            </w:tcBorders>
            <w:noWrap/>
            <w:vAlign w:val="center"/>
            <w:hideMark/>
          </w:tcPr>
          <w:p w14:paraId="3D0BD602"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GTGACGTTGACATCCGTAAAGA</w:t>
            </w:r>
          </w:p>
        </w:tc>
      </w:tr>
      <w:tr w:rsidR="00592116" w14:paraId="68C2585E" w14:textId="77777777" w:rsidTr="00775FE4">
        <w:trPr>
          <w:trHeight w:val="308"/>
          <w:jc w:val="center"/>
        </w:trPr>
        <w:tc>
          <w:tcPr>
            <w:tcW w:w="1418" w:type="dxa"/>
            <w:vMerge/>
            <w:tcBorders>
              <w:top w:val="nil"/>
              <w:left w:val="nil"/>
              <w:bottom w:val="nil"/>
              <w:right w:val="nil"/>
            </w:tcBorders>
            <w:vAlign w:val="center"/>
            <w:hideMark/>
          </w:tcPr>
          <w:p w14:paraId="35F37613"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noWrap/>
            <w:vAlign w:val="center"/>
            <w:hideMark/>
          </w:tcPr>
          <w:p w14:paraId="58059217"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GCCGGACTCATCGTACTCC</w:t>
            </w:r>
          </w:p>
        </w:tc>
      </w:tr>
      <w:tr w:rsidR="00592116" w14:paraId="782B1075" w14:textId="77777777" w:rsidTr="00775FE4">
        <w:trPr>
          <w:trHeight w:val="308"/>
          <w:jc w:val="center"/>
        </w:trPr>
        <w:tc>
          <w:tcPr>
            <w:tcW w:w="1418" w:type="dxa"/>
            <w:vMerge w:val="restart"/>
            <w:tcBorders>
              <w:top w:val="nil"/>
              <w:left w:val="nil"/>
              <w:bottom w:val="nil"/>
              <w:right w:val="nil"/>
            </w:tcBorders>
            <w:noWrap/>
            <w:vAlign w:val="center"/>
            <w:hideMark/>
          </w:tcPr>
          <w:p w14:paraId="02C4EA17"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Nfatc1</w:t>
            </w:r>
          </w:p>
        </w:tc>
        <w:tc>
          <w:tcPr>
            <w:tcW w:w="4394" w:type="dxa"/>
            <w:tcBorders>
              <w:top w:val="nil"/>
              <w:left w:val="nil"/>
              <w:bottom w:val="nil"/>
              <w:right w:val="nil"/>
            </w:tcBorders>
            <w:noWrap/>
            <w:vAlign w:val="center"/>
            <w:hideMark/>
          </w:tcPr>
          <w:p w14:paraId="575522F6"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GGAGAGTCCGAGAATCGAGAT</w:t>
            </w:r>
          </w:p>
        </w:tc>
      </w:tr>
      <w:tr w:rsidR="00592116" w14:paraId="1C9DB3EA" w14:textId="77777777" w:rsidTr="00775FE4">
        <w:trPr>
          <w:trHeight w:val="308"/>
          <w:jc w:val="center"/>
        </w:trPr>
        <w:tc>
          <w:tcPr>
            <w:tcW w:w="1418" w:type="dxa"/>
            <w:vMerge/>
            <w:tcBorders>
              <w:top w:val="nil"/>
              <w:left w:val="nil"/>
              <w:bottom w:val="nil"/>
              <w:right w:val="nil"/>
            </w:tcBorders>
            <w:vAlign w:val="center"/>
            <w:hideMark/>
          </w:tcPr>
          <w:p w14:paraId="27234839"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noWrap/>
            <w:vAlign w:val="center"/>
            <w:hideMark/>
          </w:tcPr>
          <w:p w14:paraId="0F9685F5"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TTGCAGCTAGGAAGTACGTCT</w:t>
            </w:r>
          </w:p>
        </w:tc>
      </w:tr>
      <w:tr w:rsidR="00592116" w14:paraId="1CFF5887" w14:textId="77777777" w:rsidTr="00775FE4">
        <w:trPr>
          <w:trHeight w:val="308"/>
          <w:jc w:val="center"/>
        </w:trPr>
        <w:tc>
          <w:tcPr>
            <w:tcW w:w="1418" w:type="dxa"/>
            <w:vMerge w:val="restart"/>
            <w:tcBorders>
              <w:top w:val="nil"/>
              <w:left w:val="nil"/>
              <w:bottom w:val="nil"/>
              <w:right w:val="nil"/>
            </w:tcBorders>
            <w:noWrap/>
            <w:vAlign w:val="center"/>
            <w:hideMark/>
          </w:tcPr>
          <w:p w14:paraId="690BDC6A"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Mmp9</w:t>
            </w:r>
          </w:p>
        </w:tc>
        <w:tc>
          <w:tcPr>
            <w:tcW w:w="4394" w:type="dxa"/>
            <w:tcBorders>
              <w:top w:val="nil"/>
              <w:left w:val="nil"/>
              <w:bottom w:val="nil"/>
              <w:right w:val="nil"/>
            </w:tcBorders>
            <w:noWrap/>
            <w:vAlign w:val="center"/>
            <w:hideMark/>
          </w:tcPr>
          <w:p w14:paraId="0713C87F"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GCAGAGGCATACTTGTACCG</w:t>
            </w:r>
          </w:p>
        </w:tc>
      </w:tr>
      <w:tr w:rsidR="00592116" w14:paraId="7B4577A7" w14:textId="77777777" w:rsidTr="00775FE4">
        <w:trPr>
          <w:trHeight w:val="308"/>
          <w:jc w:val="center"/>
        </w:trPr>
        <w:tc>
          <w:tcPr>
            <w:tcW w:w="1418" w:type="dxa"/>
            <w:vMerge/>
            <w:tcBorders>
              <w:top w:val="nil"/>
              <w:left w:val="nil"/>
              <w:bottom w:val="nil"/>
              <w:right w:val="nil"/>
            </w:tcBorders>
            <w:vAlign w:val="center"/>
            <w:hideMark/>
          </w:tcPr>
          <w:p w14:paraId="0AF3E2DA"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noWrap/>
            <w:vAlign w:val="center"/>
            <w:hideMark/>
          </w:tcPr>
          <w:p w14:paraId="49527453"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TGATGTTATGATGGTCCCACTTG</w:t>
            </w:r>
          </w:p>
        </w:tc>
      </w:tr>
      <w:tr w:rsidR="00592116" w14:paraId="36481B97" w14:textId="77777777" w:rsidTr="00775FE4">
        <w:trPr>
          <w:trHeight w:val="308"/>
          <w:jc w:val="center"/>
        </w:trPr>
        <w:tc>
          <w:tcPr>
            <w:tcW w:w="1418" w:type="dxa"/>
            <w:vMerge w:val="restart"/>
            <w:tcBorders>
              <w:top w:val="nil"/>
              <w:left w:val="nil"/>
              <w:bottom w:val="nil"/>
              <w:right w:val="nil"/>
            </w:tcBorders>
            <w:noWrap/>
            <w:vAlign w:val="center"/>
            <w:hideMark/>
          </w:tcPr>
          <w:p w14:paraId="330C4A43"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c-</w:t>
            </w:r>
            <w:proofErr w:type="spellStart"/>
            <w:r>
              <w:rPr>
                <w:rFonts w:ascii="Times New Roman" w:eastAsia="等线" w:hAnsi="Times New Roman" w:cs="Times New Roman"/>
                <w:i/>
                <w:iCs/>
                <w:sz w:val="24"/>
              </w:rPr>
              <w:t>fos</w:t>
            </w:r>
            <w:proofErr w:type="spellEnd"/>
          </w:p>
        </w:tc>
        <w:tc>
          <w:tcPr>
            <w:tcW w:w="4394" w:type="dxa"/>
            <w:tcBorders>
              <w:top w:val="nil"/>
              <w:left w:val="nil"/>
              <w:bottom w:val="nil"/>
              <w:right w:val="nil"/>
            </w:tcBorders>
            <w:noWrap/>
            <w:vAlign w:val="center"/>
            <w:hideMark/>
          </w:tcPr>
          <w:p w14:paraId="7989CB45"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CGGGTTTCAACGCCGACTA</w:t>
            </w:r>
          </w:p>
        </w:tc>
      </w:tr>
      <w:tr w:rsidR="00592116" w14:paraId="1491A521" w14:textId="77777777" w:rsidTr="00775FE4">
        <w:trPr>
          <w:trHeight w:val="308"/>
          <w:jc w:val="center"/>
        </w:trPr>
        <w:tc>
          <w:tcPr>
            <w:tcW w:w="1418" w:type="dxa"/>
            <w:vMerge/>
            <w:tcBorders>
              <w:top w:val="nil"/>
              <w:left w:val="nil"/>
              <w:bottom w:val="nil"/>
              <w:right w:val="nil"/>
            </w:tcBorders>
            <w:vAlign w:val="center"/>
            <w:hideMark/>
          </w:tcPr>
          <w:p w14:paraId="07573DB6"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noWrap/>
            <w:vAlign w:val="center"/>
            <w:hideMark/>
          </w:tcPr>
          <w:p w14:paraId="38E71807"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TGGCACTAGAGACGGACAGAT</w:t>
            </w:r>
          </w:p>
        </w:tc>
      </w:tr>
      <w:tr w:rsidR="00592116" w14:paraId="4C5C15C3" w14:textId="77777777" w:rsidTr="00775FE4">
        <w:trPr>
          <w:trHeight w:val="308"/>
          <w:jc w:val="center"/>
        </w:trPr>
        <w:tc>
          <w:tcPr>
            <w:tcW w:w="1418" w:type="dxa"/>
            <w:vMerge w:val="restart"/>
            <w:tcBorders>
              <w:top w:val="nil"/>
              <w:left w:val="nil"/>
              <w:bottom w:val="nil"/>
              <w:right w:val="nil"/>
            </w:tcBorders>
            <w:noWrap/>
            <w:vAlign w:val="center"/>
            <w:hideMark/>
          </w:tcPr>
          <w:p w14:paraId="32789BA3"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Atp6v0d2</w:t>
            </w:r>
          </w:p>
        </w:tc>
        <w:tc>
          <w:tcPr>
            <w:tcW w:w="4394" w:type="dxa"/>
            <w:tcBorders>
              <w:top w:val="nil"/>
              <w:left w:val="nil"/>
              <w:bottom w:val="nil"/>
              <w:right w:val="nil"/>
            </w:tcBorders>
            <w:noWrap/>
            <w:vAlign w:val="center"/>
            <w:hideMark/>
          </w:tcPr>
          <w:p w14:paraId="57F77BFA"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CTGGTTCGAGGATGCAAAGC</w:t>
            </w:r>
          </w:p>
        </w:tc>
      </w:tr>
      <w:tr w:rsidR="00592116" w14:paraId="24F0ADB8" w14:textId="77777777" w:rsidTr="00775FE4">
        <w:trPr>
          <w:trHeight w:val="308"/>
          <w:jc w:val="center"/>
        </w:trPr>
        <w:tc>
          <w:tcPr>
            <w:tcW w:w="1418" w:type="dxa"/>
            <w:vMerge/>
            <w:tcBorders>
              <w:top w:val="nil"/>
              <w:left w:val="nil"/>
              <w:bottom w:val="nil"/>
              <w:right w:val="nil"/>
            </w:tcBorders>
            <w:vAlign w:val="center"/>
            <w:hideMark/>
          </w:tcPr>
          <w:p w14:paraId="03BBC1EB"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noWrap/>
            <w:vAlign w:val="center"/>
            <w:hideMark/>
          </w:tcPr>
          <w:p w14:paraId="550B134F"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GTTGCCATAGTCCGTGGTCTG</w:t>
            </w:r>
          </w:p>
        </w:tc>
      </w:tr>
      <w:tr w:rsidR="00592116" w14:paraId="343EBD51" w14:textId="77777777" w:rsidTr="00775FE4">
        <w:trPr>
          <w:trHeight w:val="308"/>
          <w:jc w:val="center"/>
        </w:trPr>
        <w:tc>
          <w:tcPr>
            <w:tcW w:w="1418" w:type="dxa"/>
            <w:vMerge w:val="restart"/>
            <w:tcBorders>
              <w:top w:val="nil"/>
              <w:left w:val="nil"/>
              <w:bottom w:val="nil"/>
              <w:right w:val="nil"/>
            </w:tcBorders>
            <w:noWrap/>
            <w:vAlign w:val="center"/>
            <w:hideMark/>
          </w:tcPr>
          <w:p w14:paraId="40453486"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Acp5</w:t>
            </w:r>
          </w:p>
        </w:tc>
        <w:tc>
          <w:tcPr>
            <w:tcW w:w="4394" w:type="dxa"/>
            <w:tcBorders>
              <w:top w:val="nil"/>
              <w:left w:val="nil"/>
              <w:bottom w:val="nil"/>
              <w:right w:val="nil"/>
            </w:tcBorders>
            <w:noWrap/>
            <w:vAlign w:val="center"/>
            <w:hideMark/>
          </w:tcPr>
          <w:p w14:paraId="39FCD9DD"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CACTCCCACCCTGAGATTTGT</w:t>
            </w:r>
          </w:p>
        </w:tc>
      </w:tr>
      <w:tr w:rsidR="00592116" w14:paraId="45222271" w14:textId="77777777" w:rsidTr="00775FE4">
        <w:trPr>
          <w:trHeight w:val="308"/>
          <w:jc w:val="center"/>
        </w:trPr>
        <w:tc>
          <w:tcPr>
            <w:tcW w:w="1418" w:type="dxa"/>
            <w:vMerge/>
            <w:tcBorders>
              <w:top w:val="nil"/>
              <w:left w:val="nil"/>
              <w:bottom w:val="nil"/>
              <w:right w:val="nil"/>
            </w:tcBorders>
            <w:vAlign w:val="center"/>
            <w:hideMark/>
          </w:tcPr>
          <w:p w14:paraId="65F19195"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noWrap/>
            <w:vAlign w:val="center"/>
            <w:hideMark/>
          </w:tcPr>
          <w:p w14:paraId="7F6AF411"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CCCCAGAGACATGATGAAGTCA</w:t>
            </w:r>
          </w:p>
        </w:tc>
      </w:tr>
      <w:tr w:rsidR="00592116" w14:paraId="5A6B19AB" w14:textId="77777777" w:rsidTr="00775FE4">
        <w:trPr>
          <w:trHeight w:val="308"/>
          <w:jc w:val="center"/>
        </w:trPr>
        <w:tc>
          <w:tcPr>
            <w:tcW w:w="1418" w:type="dxa"/>
            <w:vMerge w:val="restart"/>
            <w:tcBorders>
              <w:top w:val="nil"/>
              <w:left w:val="nil"/>
              <w:bottom w:val="nil"/>
              <w:right w:val="nil"/>
            </w:tcBorders>
            <w:noWrap/>
            <w:vAlign w:val="center"/>
            <w:hideMark/>
          </w:tcPr>
          <w:p w14:paraId="4990230A" w14:textId="77777777" w:rsidR="00592116" w:rsidRPr="001506BA" w:rsidRDefault="00592116" w:rsidP="00775FE4">
            <w:pPr>
              <w:spacing w:after="0" w:line="240" w:lineRule="auto"/>
              <w:jc w:val="center"/>
              <w:rPr>
                <w:rFonts w:ascii="Times New Roman" w:eastAsia="等线" w:hAnsi="Times New Roman" w:cs="Times New Roman"/>
                <w:i/>
                <w:iCs/>
                <w:sz w:val="24"/>
              </w:rPr>
            </w:pPr>
            <w:proofErr w:type="spellStart"/>
            <w:r>
              <w:rPr>
                <w:rFonts w:ascii="Times New Roman" w:eastAsia="等线" w:hAnsi="Times New Roman" w:cs="Times New Roman"/>
                <w:i/>
                <w:iCs/>
                <w:sz w:val="24"/>
              </w:rPr>
              <w:t>Ctsk</w:t>
            </w:r>
            <w:proofErr w:type="spellEnd"/>
          </w:p>
        </w:tc>
        <w:tc>
          <w:tcPr>
            <w:tcW w:w="4394" w:type="dxa"/>
            <w:tcBorders>
              <w:top w:val="nil"/>
              <w:left w:val="nil"/>
              <w:bottom w:val="nil"/>
              <w:right w:val="nil"/>
            </w:tcBorders>
            <w:noWrap/>
            <w:vAlign w:val="center"/>
            <w:hideMark/>
          </w:tcPr>
          <w:p w14:paraId="399D163E"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CTCGGCGTTTAATTTGGGAGA</w:t>
            </w:r>
          </w:p>
        </w:tc>
      </w:tr>
      <w:tr w:rsidR="00592116" w14:paraId="7D3037E4" w14:textId="77777777" w:rsidTr="00775FE4">
        <w:trPr>
          <w:trHeight w:val="308"/>
          <w:jc w:val="center"/>
        </w:trPr>
        <w:tc>
          <w:tcPr>
            <w:tcW w:w="1418" w:type="dxa"/>
            <w:vMerge/>
            <w:tcBorders>
              <w:top w:val="nil"/>
              <w:left w:val="nil"/>
              <w:bottom w:val="nil"/>
              <w:right w:val="nil"/>
            </w:tcBorders>
            <w:vAlign w:val="center"/>
            <w:hideMark/>
          </w:tcPr>
          <w:p w14:paraId="59C4AA75"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noWrap/>
            <w:vAlign w:val="center"/>
            <w:hideMark/>
          </w:tcPr>
          <w:p w14:paraId="68CC3593"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TCGAGAGGGAGGTATTCTGAGT</w:t>
            </w:r>
          </w:p>
        </w:tc>
      </w:tr>
      <w:tr w:rsidR="00592116" w14:paraId="3D21C148" w14:textId="77777777" w:rsidTr="00775FE4">
        <w:trPr>
          <w:trHeight w:val="308"/>
          <w:jc w:val="center"/>
        </w:trPr>
        <w:tc>
          <w:tcPr>
            <w:tcW w:w="1418" w:type="dxa"/>
            <w:vMerge w:val="restart"/>
            <w:tcBorders>
              <w:top w:val="nil"/>
              <w:left w:val="nil"/>
              <w:bottom w:val="nil"/>
              <w:right w:val="nil"/>
            </w:tcBorders>
            <w:noWrap/>
            <w:vAlign w:val="center"/>
            <w:hideMark/>
          </w:tcPr>
          <w:p w14:paraId="3DDD30D2" w14:textId="77777777" w:rsidR="00592116" w:rsidRPr="001506BA" w:rsidRDefault="00592116" w:rsidP="00775FE4">
            <w:pPr>
              <w:spacing w:after="0" w:line="240" w:lineRule="auto"/>
              <w:jc w:val="center"/>
              <w:rPr>
                <w:rFonts w:ascii="Times New Roman" w:eastAsia="等线" w:hAnsi="Times New Roman" w:cs="Times New Roman"/>
                <w:i/>
                <w:iCs/>
                <w:sz w:val="24"/>
              </w:rPr>
            </w:pPr>
            <w:proofErr w:type="spellStart"/>
            <w:r>
              <w:rPr>
                <w:rFonts w:ascii="Times New Roman" w:eastAsia="等线" w:hAnsi="Times New Roman" w:cs="Times New Roman"/>
                <w:i/>
                <w:iCs/>
                <w:sz w:val="24"/>
              </w:rPr>
              <w:t>Alpl</w:t>
            </w:r>
            <w:proofErr w:type="spellEnd"/>
          </w:p>
        </w:tc>
        <w:tc>
          <w:tcPr>
            <w:tcW w:w="4394" w:type="dxa"/>
            <w:tcBorders>
              <w:top w:val="nil"/>
              <w:left w:val="nil"/>
              <w:bottom w:val="nil"/>
              <w:right w:val="nil"/>
            </w:tcBorders>
            <w:noWrap/>
            <w:vAlign w:val="center"/>
            <w:hideMark/>
          </w:tcPr>
          <w:p w14:paraId="69A6C007" w14:textId="77777777" w:rsidR="00592116" w:rsidRPr="001506BA" w:rsidRDefault="00592116" w:rsidP="00775FE4">
            <w:pPr>
              <w:spacing w:after="0" w:line="240" w:lineRule="auto"/>
              <w:rPr>
                <w:rFonts w:ascii="Times New Roman" w:eastAsia="等线" w:hAnsi="Times New Roman" w:cs="Times New Roman"/>
                <w:color w:val="000000"/>
                <w:sz w:val="24"/>
              </w:rPr>
            </w:pPr>
            <w:r>
              <w:rPr>
                <w:rFonts w:ascii="Times New Roman" w:eastAsia="等线" w:hAnsi="Times New Roman" w:cs="Times New Roman"/>
                <w:color w:val="000000"/>
                <w:sz w:val="24"/>
              </w:rPr>
              <w:t>F: GCTGATCATTCCCACGTTTT</w:t>
            </w:r>
          </w:p>
        </w:tc>
      </w:tr>
      <w:tr w:rsidR="00592116" w14:paraId="2C9C844F" w14:textId="77777777" w:rsidTr="00775FE4">
        <w:trPr>
          <w:trHeight w:val="308"/>
          <w:jc w:val="center"/>
        </w:trPr>
        <w:tc>
          <w:tcPr>
            <w:tcW w:w="1418" w:type="dxa"/>
            <w:vMerge/>
            <w:tcBorders>
              <w:top w:val="nil"/>
              <w:left w:val="nil"/>
              <w:bottom w:val="nil"/>
              <w:right w:val="nil"/>
            </w:tcBorders>
            <w:vAlign w:val="center"/>
            <w:hideMark/>
          </w:tcPr>
          <w:p w14:paraId="5300C0D8"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shd w:val="clear" w:color="000000" w:fill="FFFFFF"/>
            <w:noWrap/>
            <w:vAlign w:val="center"/>
            <w:hideMark/>
          </w:tcPr>
          <w:p w14:paraId="5EF30891"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CTGGGCCTGGTAGTTGTTGT</w:t>
            </w:r>
          </w:p>
        </w:tc>
      </w:tr>
      <w:tr w:rsidR="00592116" w14:paraId="1E4F5F45" w14:textId="77777777" w:rsidTr="00775FE4">
        <w:trPr>
          <w:trHeight w:val="308"/>
          <w:jc w:val="center"/>
        </w:trPr>
        <w:tc>
          <w:tcPr>
            <w:tcW w:w="1418" w:type="dxa"/>
            <w:vMerge w:val="restart"/>
            <w:tcBorders>
              <w:top w:val="nil"/>
              <w:left w:val="nil"/>
              <w:bottom w:val="nil"/>
              <w:right w:val="nil"/>
            </w:tcBorders>
            <w:noWrap/>
            <w:vAlign w:val="center"/>
            <w:hideMark/>
          </w:tcPr>
          <w:p w14:paraId="0B8C982E"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Runx2</w:t>
            </w:r>
          </w:p>
        </w:tc>
        <w:tc>
          <w:tcPr>
            <w:tcW w:w="4394" w:type="dxa"/>
            <w:tcBorders>
              <w:top w:val="nil"/>
              <w:left w:val="nil"/>
              <w:bottom w:val="nil"/>
              <w:right w:val="nil"/>
            </w:tcBorders>
            <w:shd w:val="clear" w:color="000000" w:fill="FFFFFF"/>
            <w:noWrap/>
            <w:vAlign w:val="center"/>
            <w:hideMark/>
          </w:tcPr>
          <w:p w14:paraId="2BB6C925"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GCCGGGAATGATGAGAACTA</w:t>
            </w:r>
          </w:p>
        </w:tc>
      </w:tr>
      <w:tr w:rsidR="00592116" w14:paraId="0D488134" w14:textId="77777777" w:rsidTr="00775FE4">
        <w:trPr>
          <w:trHeight w:val="308"/>
          <w:jc w:val="center"/>
        </w:trPr>
        <w:tc>
          <w:tcPr>
            <w:tcW w:w="1418" w:type="dxa"/>
            <w:vMerge/>
            <w:tcBorders>
              <w:top w:val="nil"/>
              <w:left w:val="nil"/>
              <w:bottom w:val="nil"/>
              <w:right w:val="nil"/>
            </w:tcBorders>
            <w:vAlign w:val="center"/>
            <w:hideMark/>
          </w:tcPr>
          <w:p w14:paraId="660690D6"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shd w:val="clear" w:color="000000" w:fill="FFFFFF"/>
            <w:noWrap/>
            <w:vAlign w:val="center"/>
            <w:hideMark/>
          </w:tcPr>
          <w:p w14:paraId="24EF597B"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GGACCGTCCACTGTCACTTT</w:t>
            </w:r>
          </w:p>
        </w:tc>
      </w:tr>
      <w:tr w:rsidR="00592116" w14:paraId="126C9293" w14:textId="77777777" w:rsidTr="00775FE4">
        <w:trPr>
          <w:trHeight w:val="308"/>
          <w:jc w:val="center"/>
        </w:trPr>
        <w:tc>
          <w:tcPr>
            <w:tcW w:w="1418" w:type="dxa"/>
            <w:vMerge w:val="restart"/>
            <w:tcBorders>
              <w:top w:val="nil"/>
              <w:left w:val="nil"/>
              <w:bottom w:val="nil"/>
              <w:right w:val="nil"/>
            </w:tcBorders>
            <w:noWrap/>
            <w:vAlign w:val="center"/>
            <w:hideMark/>
          </w:tcPr>
          <w:p w14:paraId="3191603D" w14:textId="77777777" w:rsidR="00592116" w:rsidRPr="001506BA" w:rsidRDefault="00592116" w:rsidP="00775FE4">
            <w:pPr>
              <w:spacing w:after="0" w:line="240" w:lineRule="auto"/>
              <w:jc w:val="center"/>
              <w:rPr>
                <w:rFonts w:ascii="Times New Roman" w:eastAsia="等线" w:hAnsi="Times New Roman" w:cs="Times New Roman"/>
                <w:i/>
                <w:iCs/>
                <w:sz w:val="24"/>
              </w:rPr>
            </w:pPr>
            <w:proofErr w:type="spellStart"/>
            <w:r>
              <w:rPr>
                <w:rFonts w:ascii="Times New Roman" w:eastAsia="等线" w:hAnsi="Times New Roman" w:cs="Times New Roman"/>
                <w:i/>
                <w:iCs/>
                <w:sz w:val="24"/>
              </w:rPr>
              <w:t>Bglap</w:t>
            </w:r>
            <w:proofErr w:type="spellEnd"/>
          </w:p>
        </w:tc>
        <w:tc>
          <w:tcPr>
            <w:tcW w:w="4394" w:type="dxa"/>
            <w:tcBorders>
              <w:top w:val="nil"/>
              <w:left w:val="nil"/>
              <w:bottom w:val="nil"/>
              <w:right w:val="nil"/>
            </w:tcBorders>
            <w:shd w:val="clear" w:color="000000" w:fill="FFFFFF"/>
            <w:noWrap/>
            <w:vAlign w:val="center"/>
            <w:hideMark/>
          </w:tcPr>
          <w:p w14:paraId="3125CE6A"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GCGCTCTGTCTCTCTGACCT</w:t>
            </w:r>
          </w:p>
        </w:tc>
      </w:tr>
      <w:tr w:rsidR="00592116" w14:paraId="59E18FF2" w14:textId="77777777" w:rsidTr="00775FE4">
        <w:trPr>
          <w:trHeight w:val="308"/>
          <w:jc w:val="center"/>
        </w:trPr>
        <w:tc>
          <w:tcPr>
            <w:tcW w:w="1418" w:type="dxa"/>
            <w:vMerge/>
            <w:tcBorders>
              <w:top w:val="nil"/>
              <w:left w:val="nil"/>
              <w:bottom w:val="nil"/>
              <w:right w:val="nil"/>
            </w:tcBorders>
            <w:vAlign w:val="center"/>
            <w:hideMark/>
          </w:tcPr>
          <w:p w14:paraId="6A3FD19D"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shd w:val="clear" w:color="000000" w:fill="FFFFFF"/>
            <w:noWrap/>
            <w:vAlign w:val="center"/>
            <w:hideMark/>
          </w:tcPr>
          <w:p w14:paraId="2D59676D"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TTTGTAGGCGGTCTTCAAGC</w:t>
            </w:r>
          </w:p>
        </w:tc>
      </w:tr>
      <w:tr w:rsidR="00592116" w14:paraId="14D0E367" w14:textId="77777777" w:rsidTr="00775FE4">
        <w:trPr>
          <w:trHeight w:val="308"/>
          <w:jc w:val="center"/>
        </w:trPr>
        <w:tc>
          <w:tcPr>
            <w:tcW w:w="1418" w:type="dxa"/>
            <w:vMerge w:val="restart"/>
            <w:tcBorders>
              <w:top w:val="nil"/>
              <w:left w:val="nil"/>
              <w:bottom w:val="nil"/>
              <w:right w:val="nil"/>
            </w:tcBorders>
            <w:noWrap/>
            <w:vAlign w:val="center"/>
            <w:hideMark/>
          </w:tcPr>
          <w:p w14:paraId="3D5C1E77"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Sp7</w:t>
            </w:r>
          </w:p>
        </w:tc>
        <w:tc>
          <w:tcPr>
            <w:tcW w:w="4394" w:type="dxa"/>
            <w:tcBorders>
              <w:top w:val="nil"/>
              <w:left w:val="nil"/>
              <w:bottom w:val="nil"/>
              <w:right w:val="nil"/>
            </w:tcBorders>
            <w:shd w:val="clear" w:color="000000" w:fill="FFFFFF"/>
            <w:noWrap/>
            <w:vAlign w:val="center"/>
            <w:hideMark/>
          </w:tcPr>
          <w:p w14:paraId="1209961F"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GAGGAAGAAGCCCATTCACA</w:t>
            </w:r>
          </w:p>
        </w:tc>
      </w:tr>
      <w:tr w:rsidR="00592116" w14:paraId="6D2D078E" w14:textId="77777777" w:rsidTr="00775FE4">
        <w:trPr>
          <w:trHeight w:val="308"/>
          <w:jc w:val="center"/>
        </w:trPr>
        <w:tc>
          <w:tcPr>
            <w:tcW w:w="1418" w:type="dxa"/>
            <w:vMerge/>
            <w:tcBorders>
              <w:top w:val="nil"/>
              <w:left w:val="nil"/>
              <w:bottom w:val="nil"/>
              <w:right w:val="nil"/>
            </w:tcBorders>
            <w:vAlign w:val="center"/>
            <w:hideMark/>
          </w:tcPr>
          <w:p w14:paraId="2CB0AC7A"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shd w:val="clear" w:color="000000" w:fill="FFFFFF"/>
            <w:noWrap/>
            <w:vAlign w:val="center"/>
            <w:hideMark/>
          </w:tcPr>
          <w:p w14:paraId="10D597CB"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GCAGGCAGGTGAACTTCTTC</w:t>
            </w:r>
          </w:p>
        </w:tc>
      </w:tr>
      <w:tr w:rsidR="00592116" w14:paraId="4F956AE1" w14:textId="77777777" w:rsidTr="00775FE4">
        <w:trPr>
          <w:trHeight w:val="308"/>
          <w:jc w:val="center"/>
        </w:trPr>
        <w:tc>
          <w:tcPr>
            <w:tcW w:w="1418" w:type="dxa"/>
            <w:vMerge w:val="restart"/>
            <w:tcBorders>
              <w:top w:val="nil"/>
              <w:left w:val="nil"/>
              <w:bottom w:val="nil"/>
              <w:right w:val="nil"/>
            </w:tcBorders>
            <w:noWrap/>
            <w:vAlign w:val="center"/>
            <w:hideMark/>
          </w:tcPr>
          <w:p w14:paraId="7387D75B" w14:textId="77777777" w:rsidR="00592116" w:rsidRPr="001506BA" w:rsidRDefault="00592116" w:rsidP="00775FE4">
            <w:pPr>
              <w:spacing w:after="0" w:line="240" w:lineRule="auto"/>
              <w:jc w:val="center"/>
              <w:rPr>
                <w:rFonts w:ascii="Times New Roman" w:eastAsia="等线" w:hAnsi="Times New Roman" w:cs="Times New Roman"/>
                <w:i/>
                <w:iCs/>
                <w:sz w:val="24"/>
              </w:rPr>
            </w:pPr>
            <w:r>
              <w:rPr>
                <w:rFonts w:ascii="Times New Roman" w:eastAsia="等线" w:hAnsi="Times New Roman" w:cs="Times New Roman"/>
                <w:i/>
                <w:iCs/>
                <w:sz w:val="24"/>
              </w:rPr>
              <w:t>Col1a1</w:t>
            </w:r>
          </w:p>
        </w:tc>
        <w:tc>
          <w:tcPr>
            <w:tcW w:w="4394" w:type="dxa"/>
            <w:tcBorders>
              <w:top w:val="nil"/>
              <w:left w:val="nil"/>
              <w:bottom w:val="nil"/>
              <w:right w:val="nil"/>
            </w:tcBorders>
            <w:shd w:val="clear" w:color="000000" w:fill="FFFFFF"/>
            <w:noWrap/>
            <w:vAlign w:val="center"/>
            <w:hideMark/>
          </w:tcPr>
          <w:p w14:paraId="3D5DB92B"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GAGCGGAGAGTACTGGATCG</w:t>
            </w:r>
          </w:p>
        </w:tc>
      </w:tr>
      <w:tr w:rsidR="00592116" w14:paraId="63DCB382" w14:textId="77777777" w:rsidTr="00775FE4">
        <w:trPr>
          <w:trHeight w:val="308"/>
          <w:jc w:val="center"/>
        </w:trPr>
        <w:tc>
          <w:tcPr>
            <w:tcW w:w="1418" w:type="dxa"/>
            <w:vMerge/>
            <w:tcBorders>
              <w:top w:val="nil"/>
              <w:left w:val="nil"/>
              <w:bottom w:val="nil"/>
              <w:right w:val="nil"/>
            </w:tcBorders>
            <w:vAlign w:val="center"/>
            <w:hideMark/>
          </w:tcPr>
          <w:p w14:paraId="323225C9" w14:textId="77777777" w:rsidR="00592116" w:rsidRPr="001506BA" w:rsidRDefault="00592116" w:rsidP="00775FE4">
            <w:pPr>
              <w:spacing w:after="0" w:line="240" w:lineRule="auto"/>
              <w:rPr>
                <w:rFonts w:ascii="Times New Roman" w:eastAsia="等线" w:hAnsi="Times New Roman" w:cs="Times New Roman"/>
                <w:i/>
                <w:iCs/>
                <w:sz w:val="24"/>
              </w:rPr>
            </w:pPr>
          </w:p>
        </w:tc>
        <w:tc>
          <w:tcPr>
            <w:tcW w:w="4394" w:type="dxa"/>
            <w:tcBorders>
              <w:top w:val="nil"/>
              <w:left w:val="nil"/>
              <w:bottom w:val="nil"/>
              <w:right w:val="nil"/>
            </w:tcBorders>
            <w:shd w:val="clear" w:color="000000" w:fill="FFFFFF"/>
            <w:noWrap/>
            <w:vAlign w:val="center"/>
            <w:hideMark/>
          </w:tcPr>
          <w:p w14:paraId="48E06703"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TACTCGAACGGGAATCCATC</w:t>
            </w:r>
          </w:p>
        </w:tc>
      </w:tr>
      <w:tr w:rsidR="00592116" w14:paraId="37C24749" w14:textId="77777777" w:rsidTr="00775FE4">
        <w:trPr>
          <w:trHeight w:val="308"/>
          <w:jc w:val="center"/>
        </w:trPr>
        <w:tc>
          <w:tcPr>
            <w:tcW w:w="1418" w:type="dxa"/>
            <w:vMerge w:val="restart"/>
            <w:tcBorders>
              <w:top w:val="nil"/>
              <w:left w:val="nil"/>
              <w:bottom w:val="single" w:sz="4" w:space="0" w:color="000000"/>
              <w:right w:val="nil"/>
            </w:tcBorders>
            <w:noWrap/>
            <w:vAlign w:val="center"/>
            <w:hideMark/>
          </w:tcPr>
          <w:p w14:paraId="24DF5EC4" w14:textId="77777777" w:rsidR="00592116" w:rsidRPr="001506BA" w:rsidRDefault="00592116" w:rsidP="00775FE4">
            <w:pPr>
              <w:spacing w:after="0" w:line="240" w:lineRule="auto"/>
              <w:jc w:val="center"/>
              <w:rPr>
                <w:rFonts w:ascii="Times New Roman" w:eastAsia="等线" w:hAnsi="Times New Roman" w:cs="Times New Roman"/>
                <w:i/>
                <w:iCs/>
                <w:color w:val="000000"/>
                <w:sz w:val="24"/>
              </w:rPr>
            </w:pPr>
            <w:r>
              <w:rPr>
                <w:rFonts w:ascii="Times New Roman" w:eastAsia="等线" w:hAnsi="Times New Roman" w:cs="Times New Roman"/>
                <w:i/>
                <w:iCs/>
                <w:color w:val="000000"/>
                <w:sz w:val="24"/>
              </w:rPr>
              <w:t>Spp1</w:t>
            </w:r>
          </w:p>
        </w:tc>
        <w:tc>
          <w:tcPr>
            <w:tcW w:w="4394" w:type="dxa"/>
            <w:tcBorders>
              <w:top w:val="nil"/>
              <w:left w:val="nil"/>
              <w:bottom w:val="nil"/>
              <w:right w:val="nil"/>
            </w:tcBorders>
            <w:shd w:val="clear" w:color="000000" w:fill="FFFFFF"/>
            <w:noWrap/>
            <w:vAlign w:val="center"/>
            <w:hideMark/>
          </w:tcPr>
          <w:p w14:paraId="28434532"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F: TGCACCCAGATCCTATAGCC</w:t>
            </w:r>
          </w:p>
        </w:tc>
      </w:tr>
      <w:tr w:rsidR="00592116" w14:paraId="1AB01561" w14:textId="77777777" w:rsidTr="00775FE4">
        <w:trPr>
          <w:trHeight w:val="308"/>
          <w:jc w:val="center"/>
        </w:trPr>
        <w:tc>
          <w:tcPr>
            <w:tcW w:w="1418" w:type="dxa"/>
            <w:vMerge/>
            <w:tcBorders>
              <w:top w:val="nil"/>
              <w:left w:val="nil"/>
              <w:bottom w:val="single" w:sz="4" w:space="0" w:color="000000"/>
              <w:right w:val="nil"/>
            </w:tcBorders>
            <w:vAlign w:val="center"/>
            <w:hideMark/>
          </w:tcPr>
          <w:p w14:paraId="3335973C" w14:textId="77777777" w:rsidR="00592116" w:rsidRPr="001506BA" w:rsidRDefault="00592116" w:rsidP="00775FE4">
            <w:pPr>
              <w:spacing w:after="0" w:line="240" w:lineRule="auto"/>
              <w:rPr>
                <w:rFonts w:ascii="Times New Roman" w:eastAsia="等线" w:hAnsi="Times New Roman" w:cs="Times New Roman"/>
                <w:i/>
                <w:iCs/>
                <w:color w:val="000000"/>
                <w:sz w:val="24"/>
              </w:rPr>
            </w:pPr>
          </w:p>
        </w:tc>
        <w:tc>
          <w:tcPr>
            <w:tcW w:w="4394" w:type="dxa"/>
            <w:tcBorders>
              <w:top w:val="nil"/>
              <w:left w:val="nil"/>
              <w:bottom w:val="single" w:sz="4" w:space="0" w:color="auto"/>
              <w:right w:val="nil"/>
            </w:tcBorders>
            <w:shd w:val="clear" w:color="000000" w:fill="FFFFFF"/>
            <w:noWrap/>
            <w:vAlign w:val="center"/>
            <w:hideMark/>
          </w:tcPr>
          <w:p w14:paraId="29F798DD" w14:textId="77777777" w:rsidR="00592116" w:rsidRPr="001506BA" w:rsidRDefault="00592116" w:rsidP="00775FE4">
            <w:pPr>
              <w:spacing w:after="0" w:line="240" w:lineRule="auto"/>
              <w:rPr>
                <w:rFonts w:ascii="Times New Roman" w:eastAsia="等线" w:hAnsi="Times New Roman" w:cs="Times New Roman"/>
                <w:sz w:val="24"/>
              </w:rPr>
            </w:pPr>
            <w:r>
              <w:rPr>
                <w:rFonts w:ascii="Times New Roman" w:eastAsia="等线" w:hAnsi="Times New Roman" w:cs="Times New Roman"/>
                <w:sz w:val="24"/>
              </w:rPr>
              <w:t>R: CTCCATCGTCATCATCATCG</w:t>
            </w:r>
          </w:p>
        </w:tc>
      </w:tr>
    </w:tbl>
    <w:p w14:paraId="7030DB77" w14:textId="77777777" w:rsidR="00592116" w:rsidRPr="001506BA" w:rsidRDefault="00592116" w:rsidP="00592116">
      <w:pPr>
        <w:spacing w:line="360" w:lineRule="auto"/>
        <w:jc w:val="both"/>
        <w:rPr>
          <w:rFonts w:ascii="Times New Roman" w:hAnsi="Times New Roman" w:cs="Times New Roman"/>
          <w:sz w:val="24"/>
        </w:rPr>
      </w:pPr>
    </w:p>
    <w:p w14:paraId="1D604B09" w14:textId="48306514" w:rsidR="0020732F" w:rsidRDefault="00F75F54">
      <w:pPr>
        <w:rPr>
          <w:rFonts w:ascii="Times New Roman" w:hAnsi="Times New Roman" w:cs="Times New Roman"/>
          <w:sz w:val="24"/>
          <w:szCs w:val="24"/>
          <w:lang w:eastAsia="zh-CN"/>
        </w:rPr>
      </w:pPr>
      <w:r w:rsidRPr="00F75F54">
        <w:rPr>
          <w:rFonts w:ascii="Times New Roman" w:hAnsi="Times New Roman" w:cs="Times New Roman"/>
          <w:sz w:val="24"/>
          <w:szCs w:val="24"/>
          <w:lang w:eastAsia="zh-CN"/>
        </w:rPr>
        <w:t>Reference</w:t>
      </w:r>
    </w:p>
    <w:p w14:paraId="7586C213"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Pr>
          <w:szCs w:val="24"/>
        </w:rPr>
        <w:fldChar w:fldCharType="begin"/>
      </w:r>
      <w:r>
        <w:rPr>
          <w:szCs w:val="24"/>
        </w:rPr>
        <w:instrText xml:space="preserve"> ADDIN ZOTERO_BIBL {"uncited":[],"omitted":[],"custom":[]} CSL_BIBLIOGRAPHY </w:instrText>
      </w:r>
      <w:r>
        <w:rPr>
          <w:szCs w:val="24"/>
        </w:rPr>
        <w:fldChar w:fldCharType="separate"/>
      </w:r>
      <w:r w:rsidRPr="00F75F54">
        <w:t>1.</w:t>
      </w:r>
      <w:r w:rsidRPr="00F75F54">
        <w:tab/>
      </w:r>
      <w:r w:rsidRPr="002B0849">
        <w:rPr>
          <w:rFonts w:ascii="Times New Roman" w:hAnsi="Times New Roman" w:cs="Times New Roman"/>
          <w:sz w:val="24"/>
          <w:szCs w:val="24"/>
        </w:rPr>
        <w:t xml:space="preserve">Li, W.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Intelligent responsive zeolitic imidazolate framework-8@copper oxide nanocomposite 3D-printed scaffolds for efficient repair of infected bone defects. </w:t>
      </w:r>
      <w:r w:rsidRPr="002B0849">
        <w:rPr>
          <w:rFonts w:ascii="Times New Roman" w:hAnsi="Times New Roman" w:cs="Times New Roman"/>
          <w:i/>
          <w:iCs/>
          <w:sz w:val="24"/>
          <w:szCs w:val="24"/>
        </w:rPr>
        <w:t>ACS Nano</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19</w:t>
      </w:r>
      <w:r w:rsidRPr="002B0849">
        <w:rPr>
          <w:rFonts w:ascii="Times New Roman" w:hAnsi="Times New Roman" w:cs="Times New Roman"/>
          <w:sz w:val="24"/>
          <w:szCs w:val="24"/>
        </w:rPr>
        <w:t>, 35154–35180 (2025).</w:t>
      </w:r>
    </w:p>
    <w:p w14:paraId="4DD04D69"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lastRenderedPageBreak/>
        <w:t>2.</w:t>
      </w:r>
      <w:r w:rsidRPr="002B0849">
        <w:rPr>
          <w:rFonts w:ascii="Times New Roman" w:hAnsi="Times New Roman" w:cs="Times New Roman"/>
          <w:sz w:val="24"/>
          <w:szCs w:val="24"/>
        </w:rPr>
        <w:tab/>
        <w:t xml:space="preserve">Loukelis, K.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3D bioprinted constructs enriched with zinc-doped bioactive glass promote antibacterial activity and osteochondral tissue regeneration. </w:t>
      </w:r>
      <w:r w:rsidRPr="002B0849">
        <w:rPr>
          <w:rFonts w:ascii="Times New Roman" w:hAnsi="Times New Roman" w:cs="Times New Roman"/>
          <w:i/>
          <w:iCs/>
          <w:sz w:val="24"/>
          <w:szCs w:val="24"/>
        </w:rPr>
        <w:t>Adv. Healthcare Mater.</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15</w:t>
      </w:r>
      <w:r w:rsidRPr="002B0849">
        <w:rPr>
          <w:rFonts w:ascii="Times New Roman" w:hAnsi="Times New Roman" w:cs="Times New Roman"/>
          <w:sz w:val="24"/>
          <w:szCs w:val="24"/>
        </w:rPr>
        <w:t>, e03186 (2026).</w:t>
      </w:r>
    </w:p>
    <w:p w14:paraId="4B368E62"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t>3.</w:t>
      </w:r>
      <w:r w:rsidRPr="002B0849">
        <w:rPr>
          <w:rFonts w:ascii="Times New Roman" w:hAnsi="Times New Roman" w:cs="Times New Roman"/>
          <w:sz w:val="24"/>
          <w:szCs w:val="24"/>
        </w:rPr>
        <w:tab/>
        <w:t xml:space="preserve">Li, X.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Diatom-inspired scaffold for infected bone defect therapy: achieving stable photothermal properties and coordinated antibacterial-osteogenic functions. </w:t>
      </w:r>
      <w:r w:rsidRPr="002B0849">
        <w:rPr>
          <w:rFonts w:ascii="Times New Roman" w:hAnsi="Times New Roman" w:cs="Times New Roman"/>
          <w:i/>
          <w:iCs/>
          <w:sz w:val="24"/>
          <w:szCs w:val="24"/>
        </w:rPr>
        <w:t>Adv. Mater.</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38</w:t>
      </w:r>
      <w:r w:rsidRPr="002B0849">
        <w:rPr>
          <w:rFonts w:ascii="Times New Roman" w:hAnsi="Times New Roman" w:cs="Times New Roman"/>
          <w:sz w:val="24"/>
          <w:szCs w:val="24"/>
        </w:rPr>
        <w:t>, e09997 (2026).</w:t>
      </w:r>
    </w:p>
    <w:p w14:paraId="07012C42"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t>4.</w:t>
      </w:r>
      <w:r w:rsidRPr="002B0849">
        <w:rPr>
          <w:rFonts w:ascii="Times New Roman" w:hAnsi="Times New Roman" w:cs="Times New Roman"/>
          <w:sz w:val="24"/>
          <w:szCs w:val="24"/>
        </w:rPr>
        <w:tab/>
        <w:t xml:space="preserve">Yang, Q.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NIR-II responsive multifunctional scaffold enabling “kill-modulation-build” synergistic therapy for infectious bone defects. </w:t>
      </w:r>
      <w:r w:rsidRPr="002B0849">
        <w:rPr>
          <w:rFonts w:ascii="Times New Roman" w:hAnsi="Times New Roman" w:cs="Times New Roman"/>
          <w:i/>
          <w:iCs/>
          <w:sz w:val="24"/>
          <w:szCs w:val="24"/>
        </w:rPr>
        <w:t>Adv. Sci.</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12</w:t>
      </w:r>
      <w:r w:rsidRPr="002B0849">
        <w:rPr>
          <w:rFonts w:ascii="Times New Roman" w:hAnsi="Times New Roman" w:cs="Times New Roman"/>
          <w:sz w:val="24"/>
          <w:szCs w:val="24"/>
        </w:rPr>
        <w:t>, e08948 (2025).</w:t>
      </w:r>
    </w:p>
    <w:p w14:paraId="530B8D9B"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t>5.</w:t>
      </w:r>
      <w:r w:rsidRPr="002B0849">
        <w:rPr>
          <w:rFonts w:ascii="Times New Roman" w:hAnsi="Times New Roman" w:cs="Times New Roman"/>
          <w:sz w:val="24"/>
          <w:szCs w:val="24"/>
        </w:rPr>
        <w:tab/>
        <w:t xml:space="preserve">Sun, Y.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Adaptive cationic peptide bundles hydrogel for the repair of infected mandibular defects. </w:t>
      </w:r>
      <w:r w:rsidRPr="002B0849">
        <w:rPr>
          <w:rFonts w:ascii="Times New Roman" w:hAnsi="Times New Roman" w:cs="Times New Roman"/>
          <w:i/>
          <w:iCs/>
          <w:sz w:val="24"/>
          <w:szCs w:val="24"/>
        </w:rPr>
        <w:t>Biomaterials</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325</w:t>
      </w:r>
      <w:r w:rsidRPr="002B0849">
        <w:rPr>
          <w:rFonts w:ascii="Times New Roman" w:hAnsi="Times New Roman" w:cs="Times New Roman"/>
          <w:sz w:val="24"/>
          <w:szCs w:val="24"/>
        </w:rPr>
        <w:t>, 123613 (2026).</w:t>
      </w:r>
    </w:p>
    <w:p w14:paraId="7D4464E5"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t>6.</w:t>
      </w:r>
      <w:r w:rsidRPr="002B0849">
        <w:rPr>
          <w:rFonts w:ascii="Times New Roman" w:hAnsi="Times New Roman" w:cs="Times New Roman"/>
          <w:sz w:val="24"/>
          <w:szCs w:val="24"/>
        </w:rPr>
        <w:tab/>
        <w:t xml:space="preserve">Zhang, R.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Multifunctional, enzyme/pH-responsive gelatin microspheres with aptamer-targeted antibacterial and ionic-mediated dual therapy for infected bone defects. </w:t>
      </w:r>
      <w:r w:rsidRPr="002B0849">
        <w:rPr>
          <w:rFonts w:ascii="Times New Roman" w:hAnsi="Times New Roman" w:cs="Times New Roman"/>
          <w:i/>
          <w:iCs/>
          <w:sz w:val="24"/>
          <w:szCs w:val="24"/>
        </w:rPr>
        <w:t>Biomaterials</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326</w:t>
      </w:r>
      <w:r w:rsidRPr="002B0849">
        <w:rPr>
          <w:rFonts w:ascii="Times New Roman" w:hAnsi="Times New Roman" w:cs="Times New Roman"/>
          <w:sz w:val="24"/>
          <w:szCs w:val="24"/>
        </w:rPr>
        <w:t>, 123642 (2026).</w:t>
      </w:r>
    </w:p>
    <w:p w14:paraId="43DFB37B"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t>7.</w:t>
      </w:r>
      <w:r w:rsidRPr="002B0849">
        <w:rPr>
          <w:rFonts w:ascii="Times New Roman" w:hAnsi="Times New Roman" w:cs="Times New Roman"/>
          <w:sz w:val="24"/>
          <w:szCs w:val="24"/>
        </w:rPr>
        <w:tab/>
        <w:t xml:space="preserve">He, J.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Synergistic integration of bio-mineralized nanoparticles and porous microsphere scaffolds for dual bioactive delivery in bone regeneration. </w:t>
      </w:r>
      <w:r w:rsidRPr="002B0849">
        <w:rPr>
          <w:rFonts w:ascii="Times New Roman" w:hAnsi="Times New Roman" w:cs="Times New Roman"/>
          <w:i/>
          <w:iCs/>
          <w:sz w:val="24"/>
          <w:szCs w:val="24"/>
        </w:rPr>
        <w:t>J. Controlled Release</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386</w:t>
      </w:r>
      <w:r w:rsidRPr="002B0849">
        <w:rPr>
          <w:rFonts w:ascii="Times New Roman" w:hAnsi="Times New Roman" w:cs="Times New Roman"/>
          <w:sz w:val="24"/>
          <w:szCs w:val="24"/>
        </w:rPr>
        <w:t>, 114097 (2025).</w:t>
      </w:r>
    </w:p>
    <w:p w14:paraId="77F54D1F"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t>8.</w:t>
      </w:r>
      <w:r w:rsidRPr="002B0849">
        <w:rPr>
          <w:rFonts w:ascii="Times New Roman" w:hAnsi="Times New Roman" w:cs="Times New Roman"/>
          <w:sz w:val="24"/>
          <w:szCs w:val="24"/>
        </w:rPr>
        <w:tab/>
        <w:t xml:space="preserve">Li, Z.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Self-promoted electroactive biomimetic mineralized scaffolds for bacteria-infected bone regeneration. </w:t>
      </w:r>
      <w:r w:rsidRPr="002B0849">
        <w:rPr>
          <w:rFonts w:ascii="Times New Roman" w:hAnsi="Times New Roman" w:cs="Times New Roman"/>
          <w:i/>
          <w:iCs/>
          <w:sz w:val="24"/>
          <w:szCs w:val="24"/>
        </w:rPr>
        <w:t>Nat. Commun.</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14</w:t>
      </w:r>
      <w:r w:rsidRPr="002B0849">
        <w:rPr>
          <w:rFonts w:ascii="Times New Roman" w:hAnsi="Times New Roman" w:cs="Times New Roman"/>
          <w:sz w:val="24"/>
          <w:szCs w:val="24"/>
        </w:rPr>
        <w:t>, 6963 (2023).</w:t>
      </w:r>
    </w:p>
    <w:p w14:paraId="189C9D7E"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t>9.</w:t>
      </w:r>
      <w:r w:rsidRPr="002B0849">
        <w:rPr>
          <w:rFonts w:ascii="Times New Roman" w:hAnsi="Times New Roman" w:cs="Times New Roman"/>
          <w:sz w:val="24"/>
          <w:szCs w:val="24"/>
        </w:rPr>
        <w:tab/>
        <w:t xml:space="preserve">Mwangi, K. H.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Microanatomy related biocidal activity at cellular resolution and bone reconstruction potential of PEG EGaIn nanocapsules. </w:t>
      </w:r>
      <w:r w:rsidRPr="002B0849">
        <w:rPr>
          <w:rFonts w:ascii="Times New Roman" w:hAnsi="Times New Roman" w:cs="Times New Roman"/>
          <w:i/>
          <w:iCs/>
          <w:sz w:val="24"/>
          <w:szCs w:val="24"/>
        </w:rPr>
        <w:t>npj Biofilms Microbiomes</w:t>
      </w:r>
      <w:r w:rsidRPr="002B0849">
        <w:rPr>
          <w:rFonts w:ascii="Times New Roman" w:hAnsi="Times New Roman" w:cs="Times New Roman"/>
          <w:sz w:val="24"/>
          <w:szCs w:val="24"/>
        </w:rPr>
        <w:t xml:space="preserve"> </w:t>
      </w:r>
      <w:r w:rsidRPr="002B0849">
        <w:rPr>
          <w:rFonts w:ascii="Times New Roman" w:hAnsi="Times New Roman" w:cs="Times New Roman"/>
          <w:b/>
          <w:bCs/>
          <w:sz w:val="24"/>
          <w:szCs w:val="24"/>
        </w:rPr>
        <w:t>11</w:t>
      </w:r>
      <w:r w:rsidRPr="002B0849">
        <w:rPr>
          <w:rFonts w:ascii="Times New Roman" w:hAnsi="Times New Roman" w:cs="Times New Roman"/>
          <w:sz w:val="24"/>
          <w:szCs w:val="24"/>
        </w:rPr>
        <w:t>, 123–138 (2025).</w:t>
      </w:r>
    </w:p>
    <w:p w14:paraId="4B52AEBC" w14:textId="77777777" w:rsidR="00F75F54" w:rsidRPr="002B0849" w:rsidRDefault="00F75F54" w:rsidP="002B0849">
      <w:pPr>
        <w:pStyle w:val="a8"/>
        <w:spacing w:line="240" w:lineRule="auto"/>
        <w:ind w:left="386" w:hanging="386"/>
        <w:rPr>
          <w:rFonts w:ascii="Times New Roman" w:hAnsi="Times New Roman" w:cs="Times New Roman"/>
          <w:sz w:val="24"/>
          <w:szCs w:val="24"/>
        </w:rPr>
      </w:pPr>
      <w:r w:rsidRPr="002B0849">
        <w:rPr>
          <w:rFonts w:ascii="Times New Roman" w:hAnsi="Times New Roman" w:cs="Times New Roman"/>
          <w:sz w:val="24"/>
          <w:szCs w:val="24"/>
        </w:rPr>
        <w:t>10.</w:t>
      </w:r>
      <w:r w:rsidRPr="002B0849">
        <w:rPr>
          <w:rFonts w:ascii="Times New Roman" w:hAnsi="Times New Roman" w:cs="Times New Roman"/>
          <w:sz w:val="24"/>
          <w:szCs w:val="24"/>
        </w:rPr>
        <w:tab/>
        <w:t xml:space="preserve">Yu, H. </w:t>
      </w:r>
      <w:r w:rsidRPr="002B0849">
        <w:rPr>
          <w:rFonts w:ascii="Times New Roman" w:hAnsi="Times New Roman" w:cs="Times New Roman"/>
          <w:i/>
          <w:iCs/>
          <w:sz w:val="24"/>
          <w:szCs w:val="24"/>
        </w:rPr>
        <w:t>et al.</w:t>
      </w:r>
      <w:r w:rsidRPr="002B0849">
        <w:rPr>
          <w:rFonts w:ascii="Times New Roman" w:hAnsi="Times New Roman" w:cs="Times New Roman"/>
          <w:sz w:val="24"/>
          <w:szCs w:val="24"/>
        </w:rPr>
        <w:t xml:space="preserve"> Oriented nano-homogeneous biomimetic scaffolds regulate cell alignment and promote endogenous bone regeneration. </w:t>
      </w:r>
      <w:r w:rsidRPr="002B0849">
        <w:rPr>
          <w:rFonts w:ascii="Times New Roman" w:hAnsi="Times New Roman" w:cs="Times New Roman"/>
          <w:i/>
          <w:iCs/>
          <w:sz w:val="24"/>
          <w:szCs w:val="24"/>
        </w:rPr>
        <w:t>Small</w:t>
      </w:r>
      <w:r w:rsidRPr="002B0849">
        <w:rPr>
          <w:rFonts w:ascii="Times New Roman" w:hAnsi="Times New Roman" w:cs="Times New Roman"/>
          <w:sz w:val="24"/>
          <w:szCs w:val="24"/>
        </w:rPr>
        <w:t xml:space="preserve"> e14683 (2026).</w:t>
      </w:r>
    </w:p>
    <w:p w14:paraId="10037289" w14:textId="1EC13F76" w:rsidR="00F75F54" w:rsidRPr="00F75F54" w:rsidRDefault="00F75F54">
      <w:pPr>
        <w:rPr>
          <w:rFonts w:ascii="Times New Roman" w:hAnsi="Times New Roman" w:cs="Times New Roman"/>
          <w:sz w:val="24"/>
          <w:szCs w:val="24"/>
        </w:rPr>
      </w:pPr>
      <w:r>
        <w:rPr>
          <w:rFonts w:ascii="Times New Roman" w:hAnsi="Times New Roman" w:cs="Times New Roman"/>
          <w:sz w:val="24"/>
          <w:szCs w:val="24"/>
        </w:rPr>
        <w:fldChar w:fldCharType="end"/>
      </w:r>
    </w:p>
    <w:sectPr w:rsidR="00F75F54" w:rsidRPr="00F75F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EF2BA" w14:textId="77777777" w:rsidR="008E374A" w:rsidRDefault="008E374A" w:rsidP="00F75F54">
      <w:pPr>
        <w:spacing w:after="0" w:line="240" w:lineRule="auto"/>
      </w:pPr>
      <w:r>
        <w:separator/>
      </w:r>
    </w:p>
  </w:endnote>
  <w:endnote w:type="continuationSeparator" w:id="0">
    <w:p w14:paraId="09BC1FDE" w14:textId="77777777" w:rsidR="008E374A" w:rsidRDefault="008E374A" w:rsidP="00F7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A3213" w14:textId="77777777" w:rsidR="008E374A" w:rsidRDefault="008E374A" w:rsidP="00F75F54">
      <w:pPr>
        <w:spacing w:after="0" w:line="240" w:lineRule="auto"/>
      </w:pPr>
      <w:r>
        <w:separator/>
      </w:r>
    </w:p>
  </w:footnote>
  <w:footnote w:type="continuationSeparator" w:id="0">
    <w:p w14:paraId="2104BD7B" w14:textId="77777777" w:rsidR="008E374A" w:rsidRDefault="008E374A" w:rsidP="00F75F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116"/>
    <w:rsid w:val="0016449F"/>
    <w:rsid w:val="0020732F"/>
    <w:rsid w:val="002B0849"/>
    <w:rsid w:val="00592116"/>
    <w:rsid w:val="005F47D8"/>
    <w:rsid w:val="0071653A"/>
    <w:rsid w:val="007A3B53"/>
    <w:rsid w:val="00842D2F"/>
    <w:rsid w:val="008E374A"/>
    <w:rsid w:val="00970A5D"/>
    <w:rsid w:val="009F19E7"/>
    <w:rsid w:val="00BE3504"/>
    <w:rsid w:val="00F75F5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15A502"/>
  <w15:chartTrackingRefBased/>
  <w15:docId w15:val="{4C75C1B1-CB2A-4A04-9485-9B32BD20B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65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2116"/>
    <w:pPr>
      <w:spacing w:after="0" w:line="240" w:lineRule="auto"/>
    </w:pPr>
    <w:rPr>
      <w:kern w:val="2"/>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75F54"/>
    <w:pP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F75F54"/>
    <w:rPr>
      <w:sz w:val="18"/>
      <w:szCs w:val="18"/>
    </w:rPr>
  </w:style>
  <w:style w:type="paragraph" w:styleId="a6">
    <w:name w:val="footer"/>
    <w:basedOn w:val="a"/>
    <w:link w:val="a7"/>
    <w:uiPriority w:val="99"/>
    <w:unhideWhenUsed/>
    <w:rsid w:val="00F75F54"/>
    <w:pPr>
      <w:tabs>
        <w:tab w:val="center" w:pos="4153"/>
        <w:tab w:val="right" w:pos="8306"/>
      </w:tabs>
      <w:snapToGrid w:val="0"/>
      <w:spacing w:line="240" w:lineRule="auto"/>
    </w:pPr>
    <w:rPr>
      <w:sz w:val="18"/>
      <w:szCs w:val="18"/>
    </w:rPr>
  </w:style>
  <w:style w:type="character" w:customStyle="1" w:styleId="a7">
    <w:name w:val="页脚 字符"/>
    <w:basedOn w:val="a0"/>
    <w:link w:val="a6"/>
    <w:uiPriority w:val="99"/>
    <w:rsid w:val="00F75F54"/>
    <w:rPr>
      <w:sz w:val="18"/>
      <w:szCs w:val="18"/>
    </w:rPr>
  </w:style>
  <w:style w:type="paragraph" w:styleId="a8">
    <w:name w:val="Bibliography"/>
    <w:basedOn w:val="a"/>
    <w:next w:val="a"/>
    <w:uiPriority w:val="37"/>
    <w:unhideWhenUsed/>
    <w:rsid w:val="00F75F54"/>
    <w:pPr>
      <w:tabs>
        <w:tab w:val="left" w:pos="384"/>
      </w:tabs>
      <w:spacing w:after="0"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11</Pages>
  <Words>5355</Words>
  <Characters>35401</Characters>
  <Application>Microsoft Office Word</Application>
  <DocSecurity>0</DocSecurity>
  <Lines>1685</Lines>
  <Paragraphs>411</Paragraphs>
  <ScaleCrop>false</ScaleCrop>
  <Company/>
  <LinksUpToDate>false</LinksUpToDate>
  <CharactersWithSpaces>40345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Aswin Jawahar</dc:creator>
  <cp:keywords/>
  <dc:description/>
  <cp:lastModifiedBy>Zijie Wang</cp:lastModifiedBy>
  <cp:revision>5</cp:revision>
  <dcterms:created xsi:type="dcterms:W3CDTF">2026-07-07T03:38:00Z</dcterms:created>
  <dcterms:modified xsi:type="dcterms:W3CDTF">2026-07-10T07:01:00Z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id="kPK4DJhY"/&gt;&lt;style id="http://www.zotero.org/styles/nature" hasBibliography="1" bibliographyStyleHasBeenSet="1"/&gt;&lt;prefs&gt;&lt;pref name="fieldType" value="Field"/&gt;&lt;/prefs&gt;&lt;/data&gt;</vt:lpwstr>
  </property>
</Properties>
</file>