
<file path=[Content_Types].xml><?xml version="1.0" encoding="utf-8"?>
<Types xmlns="http://schemas.openxmlformats.org/package/2006/content-types">
  <Default Extension="jpeg" ContentType="image/jpeg"/>
  <Default Extension="JPG" ContentType="image/.jp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0AF32">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eastAsiaTheme="minorEastAsia"/>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Supplementary Figure 1</w:t>
      </w:r>
    </w:p>
    <w:p w14:paraId="796A7D3D">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lang w:val="en-US" w:eastAsia="zh-CN"/>
        </w:rPr>
      </w:pPr>
      <w:r>
        <w:rPr>
          <w:rFonts w:hint="default"/>
          <w:lang w:val="en-US" w:eastAsia="zh-CN"/>
        </w:rPr>
        <w:drawing>
          <wp:inline distT="0" distB="0" distL="114300" distR="114300">
            <wp:extent cx="5273040" cy="3475990"/>
            <wp:effectExtent l="0" t="0" r="3810" b="635"/>
            <wp:docPr id="3" name="图片 3"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1"/>
                    <pic:cNvPicPr>
                      <a:picLocks noChangeAspect="1"/>
                    </pic:cNvPicPr>
                  </pic:nvPicPr>
                  <pic:blipFill>
                    <a:blip r:embed="rId4"/>
                    <a:stretch>
                      <a:fillRect/>
                    </a:stretch>
                  </pic:blipFill>
                  <pic:spPr>
                    <a:xfrm>
                      <a:off x="0" y="0"/>
                      <a:ext cx="5273040" cy="3475990"/>
                    </a:xfrm>
                    <a:prstGeom prst="rect">
                      <a:avLst/>
                    </a:prstGeom>
                  </pic:spPr>
                </pic:pic>
              </a:graphicData>
            </a:graphic>
          </wp:inline>
        </w:drawing>
      </w:r>
    </w:p>
    <w:p w14:paraId="2F2ABB98">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 xml:space="preserve">S1. ELISPOT analysis of antigen-specific T cell responses in mice. </w:t>
      </w:r>
      <w:r>
        <w:rPr>
          <w:rFonts w:hint="default" w:ascii="Times New Roman" w:hAnsi="Times New Roman" w:cs="Times New Roman"/>
          <w:sz w:val="21"/>
          <w:szCs w:val="21"/>
          <w:lang w:val="en-US" w:eastAsia="zh-CN"/>
        </w:rPr>
        <w:t>(A) Representative images showing IFN-γ secretion by cytotoxic T lymphocytes (CTLs) upon peptide stimulation. (B) IL-4 secretion profiles of helper T lymphocytes (HTLs). (C) Comparative spot formation between LBEs and CBEs. (D-F) Quantitative analysis of spot‑forming units (SFU) per 10⁶ CTLs (D), HTLs (E), and LBEs/CBEs (F). (G-I) Correlation of CTL, HTL, and LBE/CBE responses between human and mice samples. Data are mean ± SD (n = 6).</w:t>
      </w:r>
    </w:p>
    <w:p w14:paraId="5047172C">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sz w:val="21"/>
          <w:szCs w:val="21"/>
          <w:lang w:val="en-US" w:eastAsia="zh-CN"/>
        </w:rPr>
      </w:pPr>
    </w:p>
    <w:p w14:paraId="010AA252">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 xml:space="preserve">Supplementary Figure </w:t>
      </w:r>
      <w:r>
        <w:rPr>
          <w:rFonts w:hint="eastAsia" w:ascii="Times New Roman" w:hAnsi="Times New Roman" w:cs="Times New Roman"/>
          <w:b/>
          <w:bCs/>
          <w:i w:val="0"/>
          <w:iCs w:val="0"/>
          <w:kern w:val="2"/>
          <w:sz w:val="24"/>
          <w:szCs w:val="24"/>
          <w:lang w:val="en-US" w:eastAsia="zh-CN" w:bidi="ar-SA"/>
        </w:rPr>
        <w:t>2</w:t>
      </w:r>
    </w:p>
    <w:p w14:paraId="6EBAEFEE">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i w:val="0"/>
          <w:iCs w:val="0"/>
          <w:kern w:val="2"/>
          <w:sz w:val="21"/>
          <w:szCs w:val="21"/>
          <w:lang w:val="en-US" w:eastAsia="zh-CN" w:bidi="ar-SA"/>
        </w:rPr>
      </w:pPr>
      <w:r>
        <w:rPr>
          <w:rFonts w:hint="eastAsia" w:ascii="Times New Roman" w:hAnsi="Times New Roman" w:cs="Times New Roman"/>
          <w:b/>
          <w:bCs/>
          <w:i w:val="0"/>
          <w:iCs w:val="0"/>
          <w:kern w:val="2"/>
          <w:sz w:val="21"/>
          <w:szCs w:val="21"/>
          <w:lang w:val="en-US" w:eastAsia="zh-CN" w:bidi="ar-SA"/>
        </w:rPr>
        <w:drawing>
          <wp:inline distT="0" distB="0" distL="114300" distR="114300">
            <wp:extent cx="5114925" cy="1924050"/>
            <wp:effectExtent l="0" t="0" r="0" b="0"/>
            <wp:docPr id="4" name="图片 4"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2"/>
                    <pic:cNvPicPr>
                      <a:picLocks noChangeAspect="1"/>
                    </pic:cNvPicPr>
                  </pic:nvPicPr>
                  <pic:blipFill>
                    <a:blip r:embed="rId5"/>
                    <a:stretch>
                      <a:fillRect/>
                    </a:stretch>
                  </pic:blipFill>
                  <pic:spPr>
                    <a:xfrm>
                      <a:off x="0" y="0"/>
                      <a:ext cx="5114925" cy="1924050"/>
                    </a:xfrm>
                    <a:prstGeom prst="rect">
                      <a:avLst/>
                    </a:prstGeom>
                  </pic:spPr>
                </pic:pic>
              </a:graphicData>
            </a:graphic>
          </wp:inline>
        </w:drawing>
      </w:r>
    </w:p>
    <w:p w14:paraId="1D5632A9">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S2. Biophysical surface properties of the vaccine protein.</w:t>
      </w:r>
      <w:r>
        <w:rPr>
          <w:rFonts w:hint="eastAsia" w:ascii="Times New Roman" w:hAnsi="Times New Roman" w:cs="Times New Roman"/>
          <w:b w:val="0"/>
          <w:bCs w:val="0"/>
          <w:sz w:val="21"/>
          <w:szCs w:val="21"/>
          <w:lang w:val="en-US" w:eastAsia="zh-CN"/>
        </w:rPr>
        <w:t xml:space="preserve"> (A) </w:t>
      </w:r>
      <w:r>
        <w:rPr>
          <w:rFonts w:hint="default" w:ascii="Times New Roman" w:hAnsi="Times New Roman" w:cs="Times New Roman"/>
          <w:sz w:val="21"/>
          <w:szCs w:val="21"/>
          <w:lang w:val="en-US" w:eastAsia="zh-CN"/>
        </w:rPr>
        <w:t>Solubility validation: comparison of experimental and predicted solubility. The red dashed line marks the classification threshold (58%); the gray band indicates the population benchmark (PopAvrSol = 0.45); the QuerySol gradient (warmer hues &gt;0.45) is displayed.</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(B) Molecular surface mapping: electrostatic potential (blue: &gt; +0.5 kT·e⁻¹; red: &lt; –0.5 kT·e⁻¹) and hydrophobicity (yellow: &gt; 3.0 on the Wimley‑White scale).</w:t>
      </w:r>
    </w:p>
    <w:p w14:paraId="22D9BFBF">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sz w:val="21"/>
          <w:szCs w:val="21"/>
          <w:lang w:val="en-US" w:eastAsia="zh-CN"/>
        </w:rPr>
      </w:pPr>
    </w:p>
    <w:p w14:paraId="512F4D92">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Supplementary Text S3: Molecular dynamics simulation and binding free energy analysis of CKS9-MEV-DCpep with TLRs</w:t>
      </w:r>
    </w:p>
    <w:p w14:paraId="5F03D217">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sz w:val="21"/>
          <w:szCs w:val="21"/>
          <w:highlight w:val="none"/>
          <w:lang w:val="en-US" w:eastAsia="zh-CN"/>
        </w:rPr>
      </w:pPr>
      <w:r>
        <w:rPr>
          <w:rFonts w:hint="eastAsia" w:ascii="Times New Roman" w:hAnsi="Times New Roman" w:cs="Times New Roman"/>
          <w:b/>
          <w:bCs/>
          <w:sz w:val="21"/>
          <w:szCs w:val="21"/>
          <w:highlight w:val="none"/>
          <w:lang w:val="en-US" w:eastAsia="zh-CN"/>
        </w:rPr>
        <w:t>RMSD, Rg, and SASA analysis</w:t>
      </w:r>
    </w:p>
    <w:p w14:paraId="512C2A74">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All systems reached equilibrium within the first 50 ns of simulation. During the final 50 ns, RMSD fluctuations were larger for TLR-2 (0.76 nm) and TLR‑9 (0.75 nm), while TLR‑4 exhibited the smallest fluctuation (0.49 nm), indicating that the CKS9‑MEV‑DCpep/TLR‑4 complex had the most stable conformation </w:t>
      </w:r>
      <w:r>
        <w:rPr>
          <w:rFonts w:hint="default" w:ascii="Times New Roman" w:hAnsi="Times New Roman" w:cs="Times New Roman"/>
          <w:color w:val="0000FF"/>
          <w:sz w:val="21"/>
          <w:szCs w:val="21"/>
          <w:highlight w:val="none"/>
          <w:lang w:val="en-US" w:eastAsia="zh-CN"/>
        </w:rPr>
        <w:t>(S3‑A)</w:t>
      </w:r>
      <w:r>
        <w:rPr>
          <w:rFonts w:hint="default" w:ascii="Times New Roman" w:hAnsi="Times New Roman" w:cs="Times New Roman"/>
          <w:sz w:val="21"/>
          <w:szCs w:val="21"/>
          <w:highlight w:val="none"/>
          <w:lang w:val="en-US" w:eastAsia="zh-CN"/>
        </w:rPr>
        <w:t xml:space="preserve">. The radius of gyration (Rg) remained within narrow ranges throughout the simulation; the TLR‑4 complex showed the smallest variation (0.15) compared to TLR‑2 (0.25) and TLR‑9 (0.21) </w:t>
      </w:r>
      <w:r>
        <w:rPr>
          <w:rFonts w:hint="default" w:ascii="Times New Roman" w:hAnsi="Times New Roman" w:cs="Times New Roman"/>
          <w:color w:val="0000FF"/>
          <w:sz w:val="21"/>
          <w:szCs w:val="21"/>
          <w:highlight w:val="none"/>
          <w:lang w:val="en-US" w:eastAsia="zh-CN"/>
        </w:rPr>
        <w:t>(S3‑B)</w:t>
      </w:r>
      <w:r>
        <w:rPr>
          <w:rFonts w:hint="default" w:ascii="Times New Roman" w:hAnsi="Times New Roman" w:cs="Times New Roman"/>
          <w:sz w:val="21"/>
          <w:szCs w:val="21"/>
          <w:highlight w:val="none"/>
          <w:lang w:val="en-US" w:eastAsia="zh-CN"/>
        </w:rPr>
        <w:t xml:space="preserve">. Solvent‑accessible surface area (SASA) analysis revealed a similar trend: the SASA value for TLR‑4 (62.54 nm²) was lower than those for TLR‑2 (74.98 nm²) and TLR‑9 (82.60 nm²), suggesting a more compact complex without significant structural expansion or aggregation </w:t>
      </w:r>
      <w:r>
        <w:rPr>
          <w:rFonts w:hint="default" w:ascii="Times New Roman" w:hAnsi="Times New Roman" w:cs="Times New Roman"/>
          <w:color w:val="0000FF"/>
          <w:sz w:val="21"/>
          <w:szCs w:val="21"/>
          <w:highlight w:val="none"/>
          <w:lang w:val="en-US" w:eastAsia="zh-CN"/>
        </w:rPr>
        <w:t>(S3‑C)</w:t>
      </w:r>
      <w:r>
        <w:rPr>
          <w:rFonts w:hint="default" w:ascii="Times New Roman" w:hAnsi="Times New Roman" w:cs="Times New Roman"/>
          <w:sz w:val="21"/>
          <w:szCs w:val="21"/>
          <w:highlight w:val="none"/>
          <w:lang w:val="en-US" w:eastAsia="zh-CN"/>
        </w:rPr>
        <w:t>.</w:t>
      </w:r>
    </w:p>
    <w:p w14:paraId="6F48B77F">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sz w:val="21"/>
          <w:szCs w:val="21"/>
          <w:highlight w:val="none"/>
          <w:lang w:val="en-US" w:eastAsia="zh-CN"/>
        </w:rPr>
      </w:pPr>
      <w:r>
        <w:rPr>
          <w:rFonts w:hint="eastAsia" w:ascii="Times New Roman" w:hAnsi="Times New Roman" w:cs="Times New Roman"/>
          <w:b/>
          <w:bCs/>
          <w:sz w:val="21"/>
          <w:szCs w:val="21"/>
          <w:highlight w:val="none"/>
          <w:lang w:val="en-US" w:eastAsia="zh-CN"/>
        </w:rPr>
        <w:t>Hydrogen bond analysis</w:t>
      </w:r>
    </w:p>
    <w:p w14:paraId="08BDB22F">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The average number of hydrogen bonds during the 100‑ns simulation was highest for TLR‑4 (21.77), followed by TLR‑2 (17.96) and TLR‑9 (11.05), indicating a more robust hydrogen‑bond network in the TLR‑4 complex</w:t>
      </w:r>
      <w:r>
        <w:rPr>
          <w:rFonts w:hint="default" w:ascii="Times New Roman" w:hAnsi="Times New Roman" w:cs="Times New Roman"/>
          <w:color w:val="0000FF"/>
          <w:sz w:val="21"/>
          <w:szCs w:val="21"/>
          <w:highlight w:val="none"/>
          <w:lang w:val="en-US" w:eastAsia="zh-CN"/>
        </w:rPr>
        <w:t xml:space="preserve"> (S3‑D)</w:t>
      </w:r>
      <w:r>
        <w:rPr>
          <w:rFonts w:hint="default" w:ascii="Times New Roman" w:hAnsi="Times New Roman" w:cs="Times New Roman"/>
          <w:sz w:val="21"/>
          <w:szCs w:val="21"/>
          <w:highlight w:val="none"/>
          <w:lang w:val="en-US" w:eastAsia="zh-CN"/>
        </w:rPr>
        <w:t>.</w:t>
      </w:r>
    </w:p>
    <w:p w14:paraId="538BB624">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b/>
          <w:bCs/>
          <w:sz w:val="21"/>
          <w:szCs w:val="21"/>
          <w:highlight w:val="none"/>
          <w:lang w:val="en-US" w:eastAsia="zh-CN"/>
        </w:rPr>
      </w:pPr>
      <w:r>
        <w:rPr>
          <w:rFonts w:hint="default" w:ascii="Times New Roman" w:hAnsi="Times New Roman" w:cs="Times New Roman"/>
          <w:b/>
          <w:bCs/>
          <w:sz w:val="21"/>
          <w:szCs w:val="21"/>
          <w:highlight w:val="none"/>
          <w:lang w:val="en-US" w:eastAsia="zh-CN"/>
        </w:rPr>
        <w:t>Free‑energy landscape and 3D energy maps</w:t>
      </w:r>
    </w:p>
    <w:p w14:paraId="0C18B6E3">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Free‑energy landscape plots based on RMSD, Rg, and Gibbs free energy showed dominant low‑energy regions (blue) for all three systems, confirming stable dominant conformations. However, the shape and location of these low‑energy regions differed: TLR‑2 displayed a concentrated low‑energy basin (limited conformational diversity), TLR‑4 showed a relatively focused yet slightly more diverse ensemble, and TLR‑9 exhibited a dispersed low‑energy region (highest conformational variability), reflecting differences in conformational dynamics upon ligand binding </w:t>
      </w:r>
      <w:r>
        <w:rPr>
          <w:rFonts w:hint="default" w:ascii="Times New Roman" w:hAnsi="Times New Roman" w:cs="Times New Roman"/>
          <w:color w:val="0000FF"/>
          <w:sz w:val="21"/>
          <w:szCs w:val="21"/>
          <w:highlight w:val="none"/>
          <w:lang w:val="en-US" w:eastAsia="zh-CN"/>
        </w:rPr>
        <w:t>(S3‑E).</w:t>
      </w:r>
      <w:r>
        <w:rPr>
          <w:rFonts w:hint="default" w:ascii="Times New Roman" w:hAnsi="Times New Roman" w:cs="Times New Roman"/>
          <w:sz w:val="21"/>
          <w:szCs w:val="21"/>
          <w:highlight w:val="none"/>
          <w:lang w:val="en-US" w:eastAsia="zh-CN"/>
        </w:rPr>
        <w:t xml:space="preserve"> Corresponding 3D energy maps visually illustrated this heterogeneity </w:t>
      </w:r>
      <w:r>
        <w:rPr>
          <w:rFonts w:hint="default" w:ascii="Times New Roman" w:hAnsi="Times New Roman" w:cs="Times New Roman"/>
          <w:color w:val="0000FF"/>
          <w:sz w:val="21"/>
          <w:szCs w:val="21"/>
          <w:highlight w:val="none"/>
          <w:lang w:val="en-US" w:eastAsia="zh-CN"/>
        </w:rPr>
        <w:t>(S3‑F)</w:t>
      </w:r>
      <w:r>
        <w:rPr>
          <w:rFonts w:hint="default" w:ascii="Times New Roman" w:hAnsi="Times New Roman" w:cs="Times New Roman"/>
          <w:sz w:val="21"/>
          <w:szCs w:val="21"/>
          <w:highlight w:val="none"/>
          <w:lang w:val="en-US" w:eastAsia="zh-CN"/>
        </w:rPr>
        <w:t>.</w:t>
      </w:r>
    </w:p>
    <w:p w14:paraId="343ACD26">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b/>
          <w:bCs/>
          <w:sz w:val="21"/>
          <w:szCs w:val="21"/>
          <w:highlight w:val="none"/>
          <w:lang w:val="en-US" w:eastAsia="zh-CN"/>
        </w:rPr>
      </w:pPr>
      <w:r>
        <w:rPr>
          <w:rFonts w:hint="default" w:ascii="Times New Roman" w:hAnsi="Times New Roman" w:cs="Times New Roman"/>
          <w:b/>
          <w:bCs/>
          <w:sz w:val="21"/>
          <w:szCs w:val="21"/>
          <w:highlight w:val="none"/>
          <w:lang w:val="en-US" w:eastAsia="zh-CN"/>
        </w:rPr>
        <w:t>MMPBSA binding free energy and residue decomposition</w:t>
      </w:r>
    </w:p>
    <w:p w14:paraId="4E9C2439">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MMPBSA calculations on the last 20 ns of the trajectories yielded binding free energies of –170.16 kcal/mol (TLR‑2), –184.26 kcal/mol (TLR‑4), and –126.17 kcal/mol (TLR‑9) </w:t>
      </w:r>
      <w:r>
        <w:rPr>
          <w:rFonts w:hint="default" w:ascii="Times New Roman" w:hAnsi="Times New Roman" w:cs="Times New Roman"/>
          <w:color w:val="0000FF"/>
          <w:sz w:val="21"/>
          <w:szCs w:val="21"/>
          <w:highlight w:val="none"/>
          <w:lang w:val="en-US" w:eastAsia="zh-CN"/>
        </w:rPr>
        <w:t>(S3‑G)</w:t>
      </w:r>
      <w:r>
        <w:rPr>
          <w:rFonts w:hint="default" w:ascii="Times New Roman" w:hAnsi="Times New Roman" w:cs="Times New Roman"/>
          <w:sz w:val="21"/>
          <w:szCs w:val="21"/>
          <w:highlight w:val="none"/>
          <w:lang w:val="en-US" w:eastAsia="zh-CN"/>
        </w:rPr>
        <w:t xml:space="preserve">. The strongly negative values confirm high binding affinity for all three TLRs, with the lowest (most favorable) energy for TLR‑4, indicating the strongest affinity. Residue‑wise energy decomposition further supported this conclusion: TLR‑4 possesses more residues with substantial contributions to binding, providing a molecular‑level explanation for its superior binding capability </w:t>
      </w:r>
      <w:r>
        <w:rPr>
          <w:rFonts w:hint="default" w:ascii="Times New Roman" w:hAnsi="Times New Roman" w:cs="Times New Roman"/>
          <w:color w:val="0000FF"/>
          <w:sz w:val="21"/>
          <w:szCs w:val="21"/>
          <w:highlight w:val="none"/>
          <w:lang w:val="en-US" w:eastAsia="zh-CN"/>
        </w:rPr>
        <w:t>(S3‑H)</w:t>
      </w:r>
      <w:r>
        <w:rPr>
          <w:rFonts w:hint="default" w:ascii="Times New Roman" w:hAnsi="Times New Roman" w:cs="Times New Roman"/>
          <w:sz w:val="21"/>
          <w:szCs w:val="21"/>
          <w:highlight w:val="none"/>
          <w:lang w:val="en-US" w:eastAsia="zh-CN"/>
        </w:rPr>
        <w:t>. Collectively, CKS9‑MEV‑DCpep can stably bind to TLR‑2, TLR‑4, and TLR‑9 and possesses the potential to activate innate immune responses.</w:t>
      </w:r>
    </w:p>
    <w:p w14:paraId="0D13F812">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 xml:space="preserve">Supplementary Figure </w:t>
      </w:r>
      <w:r>
        <w:rPr>
          <w:rFonts w:hint="eastAsia" w:ascii="Times New Roman" w:hAnsi="Times New Roman" w:cs="Times New Roman"/>
          <w:b/>
          <w:bCs/>
          <w:i w:val="0"/>
          <w:iCs w:val="0"/>
          <w:kern w:val="2"/>
          <w:sz w:val="24"/>
          <w:szCs w:val="24"/>
          <w:lang w:val="en-US" w:eastAsia="zh-CN" w:bidi="ar-SA"/>
        </w:rPr>
        <w:t>3</w:t>
      </w:r>
    </w:p>
    <w:p w14:paraId="3DE512FA">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b/>
          <w:bCs/>
          <w:i w:val="0"/>
          <w:iCs w:val="0"/>
          <w:kern w:val="2"/>
          <w:sz w:val="21"/>
          <w:szCs w:val="21"/>
          <w:lang w:val="en-US" w:eastAsia="zh-CN" w:bidi="ar-SA"/>
        </w:rPr>
      </w:pPr>
      <w:r>
        <w:rPr>
          <w:rFonts w:hint="default" w:ascii="Times New Roman" w:hAnsi="Times New Roman" w:cs="Times New Roman"/>
          <w:b/>
          <w:bCs/>
          <w:i w:val="0"/>
          <w:iCs w:val="0"/>
          <w:kern w:val="2"/>
          <w:sz w:val="21"/>
          <w:szCs w:val="21"/>
          <w:lang w:val="en-US" w:eastAsia="zh-CN" w:bidi="ar-SA"/>
        </w:rPr>
        <w:drawing>
          <wp:inline distT="0" distB="0" distL="114300" distR="114300">
            <wp:extent cx="5060950" cy="4779010"/>
            <wp:effectExtent l="0" t="0" r="6350" b="2540"/>
            <wp:docPr id="5" name="图片 5"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3"/>
                    <pic:cNvPicPr>
                      <a:picLocks noChangeAspect="1"/>
                    </pic:cNvPicPr>
                  </pic:nvPicPr>
                  <pic:blipFill>
                    <a:blip r:embed="rId6"/>
                    <a:stretch>
                      <a:fillRect/>
                    </a:stretch>
                  </pic:blipFill>
                  <pic:spPr>
                    <a:xfrm>
                      <a:off x="0" y="0"/>
                      <a:ext cx="5060950" cy="4779010"/>
                    </a:xfrm>
                    <a:prstGeom prst="rect">
                      <a:avLst/>
                    </a:prstGeom>
                  </pic:spPr>
                </pic:pic>
              </a:graphicData>
            </a:graphic>
          </wp:inline>
        </w:drawing>
      </w:r>
    </w:p>
    <w:p w14:paraId="47F471BA">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b w:val="0"/>
          <w:bCs w:val="0"/>
          <w:sz w:val="21"/>
          <w:szCs w:val="21"/>
          <w:lang w:val="en-US" w:eastAsia="zh-CN"/>
        </w:rPr>
      </w:pPr>
      <w:r>
        <w:rPr>
          <w:rFonts w:hint="default" w:ascii="Times New Roman" w:hAnsi="Times New Roman" w:cs="Times New Roman"/>
          <w:b/>
          <w:bCs/>
          <w:sz w:val="21"/>
          <w:szCs w:val="21"/>
          <w:highlight w:val="none"/>
          <w:lang w:val="en-US" w:eastAsia="zh-CN"/>
        </w:rPr>
        <w:t>S3. Bioinformatics analysis of the Brucella candidate vaccine CKS9‑MEV‑DCpep.</w:t>
      </w:r>
      <w:r>
        <w:rPr>
          <w:rFonts w:hint="eastAsia" w:ascii="Times New Roman" w:hAnsi="Times New Roman" w:cs="Times New Roman"/>
          <w:b/>
          <w:bCs/>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(A) RMSD curve: conformational fluctuations of the vaccine molecule over simulation time.</w:t>
      </w:r>
      <w:r>
        <w:rPr>
          <w:rFonts w:hint="eastAsia" w:ascii="Times New Roman" w:hAnsi="Times New Roman" w:cs="Times New Roman"/>
          <w:b w:val="0"/>
          <w:bCs w:val="0"/>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(B) Radius of gyration (Rg) curve: changes in overall structural compactness.</w:t>
      </w:r>
      <w:r>
        <w:rPr>
          <w:rFonts w:hint="eastAsia" w:ascii="Times New Roman" w:hAnsi="Times New Roman" w:cs="Times New Roman"/>
          <w:b w:val="0"/>
          <w:bCs w:val="0"/>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(C) SASA curve: dynamic changes in solvent‑accessible surface area.</w:t>
      </w:r>
      <w:r>
        <w:rPr>
          <w:rFonts w:hint="eastAsia" w:ascii="Times New Roman" w:hAnsi="Times New Roman" w:cs="Times New Roman"/>
          <w:b w:val="0"/>
          <w:bCs w:val="0"/>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(D) Ligand‑protein hydrogen bond number curve: stability of hydrogen bond interactions during receptor binding.</w:t>
      </w:r>
      <w:r>
        <w:rPr>
          <w:rFonts w:hint="eastAsia" w:ascii="Times New Roman" w:hAnsi="Times New Roman" w:cs="Times New Roman"/>
          <w:b w:val="0"/>
          <w:bCs w:val="0"/>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(E) 2D free energy landscape: thermodynamic distribution of vaccine conformations (red: high free energy; blue: low free energy).</w:t>
      </w:r>
      <w:r>
        <w:rPr>
          <w:rFonts w:hint="eastAsia" w:ascii="Times New Roman" w:hAnsi="Times New Roman" w:cs="Times New Roman"/>
          <w:b w:val="0"/>
          <w:bCs w:val="0"/>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(F) 3D free energy landscape: three‑dimensional thermodynamic distribution of dominant conformations.</w:t>
      </w:r>
      <w:r>
        <w:rPr>
          <w:rFonts w:hint="eastAsia" w:ascii="Times New Roman" w:hAnsi="Times New Roman" w:cs="Times New Roman"/>
          <w:b w:val="0"/>
          <w:bCs w:val="0"/>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(G) MMPBSA binding energy component plot: contributions of individual energy components to vaccine‑receptor complex formation.</w:t>
      </w:r>
      <w:r>
        <w:rPr>
          <w:rFonts w:hint="eastAsia" w:ascii="Times New Roman" w:hAnsi="Times New Roman" w:cs="Times New Roman"/>
          <w:b w:val="0"/>
          <w:bCs w:val="0"/>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(H) MMPBSA residue energy decomposition plot: energy contributions of each amino acid residue to binding interactions.</w:t>
      </w:r>
    </w:p>
    <w:p w14:paraId="4700C47D">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eastAsiaTheme="minorEastAsia"/>
          <w:b/>
          <w:bCs/>
          <w:i w:val="0"/>
          <w:iCs w:val="0"/>
          <w:kern w:val="2"/>
          <w:sz w:val="21"/>
          <w:szCs w:val="21"/>
          <w:lang w:val="en-US" w:eastAsia="zh-CN" w:bidi="ar-SA"/>
        </w:rPr>
      </w:pPr>
    </w:p>
    <w:p w14:paraId="0DF008CE">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bCs/>
          <w:i w:val="0"/>
          <w:iCs w:val="0"/>
          <w:kern w:val="2"/>
          <w:sz w:val="21"/>
          <w:szCs w:val="21"/>
          <w:lang w:val="en-US" w:eastAsia="zh-CN" w:bidi="ar-SA"/>
        </w:rPr>
      </w:pPr>
      <w:r>
        <w:rPr>
          <w:rFonts w:hint="default" w:ascii="Times New Roman" w:hAnsi="Times New Roman" w:cs="Times New Roman" w:eastAsiaTheme="minorEastAsia"/>
          <w:b/>
          <w:bCs/>
          <w:i w:val="0"/>
          <w:iCs w:val="0"/>
          <w:kern w:val="2"/>
          <w:sz w:val="24"/>
          <w:szCs w:val="24"/>
          <w:lang w:val="en-US" w:eastAsia="zh-CN" w:bidi="ar-SA"/>
        </w:rPr>
        <w:t>Supplementary Text S4. Computational immune simulation of CKS9‑MEV‑DCpep over 350 days</w:t>
      </w:r>
    </w:p>
    <w:p w14:paraId="232AC750">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val="0"/>
          <w:bCs w:val="0"/>
          <w:i w:val="0"/>
          <w:iCs w:val="0"/>
          <w:kern w:val="2"/>
          <w:sz w:val="21"/>
          <w:szCs w:val="21"/>
          <w:lang w:val="en-US" w:eastAsia="zh-CN" w:bidi="ar-SA"/>
        </w:rPr>
      </w:pPr>
      <w:r>
        <w:rPr>
          <w:rFonts w:hint="default" w:ascii="Times New Roman" w:hAnsi="Times New Roman" w:cs="Times New Roman" w:eastAsiaTheme="minorEastAsia"/>
          <w:b w:val="0"/>
          <w:bCs w:val="0"/>
          <w:i w:val="0"/>
          <w:iCs w:val="0"/>
          <w:kern w:val="2"/>
          <w:sz w:val="21"/>
          <w:szCs w:val="21"/>
          <w:lang w:val="en-US" w:eastAsia="zh-CN" w:bidi="ar-SA"/>
        </w:rPr>
        <w:t>A 350‑day computational immune simulation was performed to model the host immune response to CKS9‑MEV</w:t>
      </w:r>
      <w:r>
        <w:rPr>
          <w:rFonts w:hint="eastAsia" w:ascii="Times New Roman" w:hAnsi="Times New Roman" w:cs="Times New Roman"/>
          <w:b w:val="0"/>
          <w:bCs w:val="0"/>
          <w:i w:val="0"/>
          <w:iCs w:val="0"/>
          <w:kern w:val="2"/>
          <w:sz w:val="21"/>
          <w:szCs w:val="21"/>
          <w:lang w:val="en-US" w:eastAsia="zh-CN" w:bidi="ar-SA"/>
        </w:rPr>
        <w:t>-</w:t>
      </w:r>
      <w:r>
        <w:rPr>
          <w:rFonts w:hint="default" w:ascii="Times New Roman" w:hAnsi="Times New Roman" w:cs="Times New Roman" w:eastAsiaTheme="minorEastAsia"/>
          <w:b w:val="0"/>
          <w:bCs w:val="0"/>
          <w:i w:val="0"/>
          <w:iCs w:val="0"/>
          <w:kern w:val="2"/>
          <w:sz w:val="21"/>
          <w:szCs w:val="21"/>
          <w:lang w:val="en-US" w:eastAsia="zh-CN" w:bidi="ar-SA"/>
        </w:rPr>
        <w:t>DCpep, encompassing B cells, T cell subsets (Th, Tc), antibodies, cytokines, and antigen‑presenting cells (macrophages and dendritic cells).</w:t>
      </w:r>
    </w:p>
    <w:p w14:paraId="223B53FE">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bCs/>
          <w:i w:val="0"/>
          <w:iCs w:val="0"/>
          <w:kern w:val="2"/>
          <w:sz w:val="21"/>
          <w:szCs w:val="21"/>
          <w:lang w:val="en-US" w:eastAsia="zh-CN" w:bidi="ar-SA"/>
        </w:rPr>
      </w:pPr>
      <w:r>
        <w:rPr>
          <w:rFonts w:hint="default" w:ascii="Times New Roman" w:hAnsi="Times New Roman" w:cs="Times New Roman" w:eastAsiaTheme="minorEastAsia"/>
          <w:b/>
          <w:bCs/>
          <w:i w:val="0"/>
          <w:iCs w:val="0"/>
          <w:kern w:val="2"/>
          <w:sz w:val="21"/>
          <w:szCs w:val="21"/>
          <w:lang w:val="en-US" w:eastAsia="zh-CN" w:bidi="ar-SA"/>
        </w:rPr>
        <w:t>B cell dynamics</w:t>
      </w:r>
    </w:p>
    <w:p w14:paraId="0E2A43BF">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val="0"/>
          <w:bCs w:val="0"/>
          <w:i w:val="0"/>
          <w:iCs w:val="0"/>
          <w:kern w:val="2"/>
          <w:sz w:val="21"/>
          <w:szCs w:val="21"/>
          <w:lang w:val="en-US" w:eastAsia="zh-CN" w:bidi="ar-SA"/>
        </w:rPr>
      </w:pPr>
      <w:r>
        <w:rPr>
          <w:rFonts w:hint="default" w:ascii="Times New Roman" w:hAnsi="Times New Roman" w:cs="Times New Roman" w:eastAsiaTheme="minorEastAsia"/>
          <w:b w:val="0"/>
          <w:bCs w:val="0"/>
          <w:i w:val="0"/>
          <w:iCs w:val="0"/>
          <w:kern w:val="2"/>
          <w:sz w:val="21"/>
          <w:szCs w:val="21"/>
          <w:lang w:val="en-US" w:eastAsia="zh-CN" w:bidi="ar-SA"/>
        </w:rPr>
        <w:t xml:space="preserve">B‑cell populations exhibited complex fluctuating changes: they peaked around day 50, gradually declined, and then showed minor oscillations, reflecting a cyclic “activation‑proliferation‑depletion” process </w:t>
      </w:r>
      <w:r>
        <w:rPr>
          <w:rFonts w:hint="default" w:ascii="Times New Roman" w:hAnsi="Times New Roman" w:cs="Times New Roman"/>
          <w:color w:val="0000FF"/>
          <w:sz w:val="21"/>
          <w:szCs w:val="21"/>
          <w:highlight w:val="none"/>
          <w:lang w:val="en-US" w:eastAsia="zh-CN"/>
        </w:rPr>
        <w:t>(S4‑A)</w:t>
      </w:r>
      <w:r>
        <w:rPr>
          <w:rFonts w:hint="default" w:ascii="Times New Roman" w:hAnsi="Times New Roman" w:cs="Times New Roman" w:eastAsiaTheme="minorEastAsia"/>
          <w:b w:val="0"/>
          <w:bCs w:val="0"/>
          <w:i w:val="0"/>
          <w:iCs w:val="0"/>
          <w:kern w:val="2"/>
          <w:sz w:val="21"/>
          <w:szCs w:val="21"/>
          <w:lang w:val="en-US" w:eastAsia="zh-CN" w:bidi="ar-SA"/>
        </w:rPr>
        <w:t xml:space="preserve">. Regarding state transitions, the “active state” dominated the early stage, while the “internalized state,” “presenting state‑1,” and “presenting state‑2” displayed a fluctuating upward trend in the later stage; changes in the “proliferative state” directly mirrored B‑cell proliferative activity </w:t>
      </w:r>
      <w:r>
        <w:rPr>
          <w:rFonts w:hint="default" w:ascii="Times New Roman" w:hAnsi="Times New Roman" w:cs="Times New Roman"/>
          <w:color w:val="0000FF"/>
          <w:sz w:val="21"/>
          <w:szCs w:val="21"/>
          <w:highlight w:val="none"/>
          <w:lang w:val="en-US" w:eastAsia="zh-CN"/>
        </w:rPr>
        <w:t>(S4‑B)</w:t>
      </w:r>
      <w:r>
        <w:rPr>
          <w:rFonts w:hint="default" w:ascii="Times New Roman" w:hAnsi="Times New Roman" w:cs="Times New Roman" w:eastAsiaTheme="minorEastAsia"/>
          <w:b w:val="0"/>
          <w:bCs w:val="0"/>
          <w:i w:val="0"/>
          <w:iCs w:val="0"/>
          <w:kern w:val="2"/>
          <w:sz w:val="21"/>
          <w:szCs w:val="21"/>
          <w:lang w:val="en-US" w:eastAsia="zh-CN" w:bidi="ar-SA"/>
        </w:rPr>
        <w:t>.</w:t>
      </w:r>
    </w:p>
    <w:p w14:paraId="5F0E5121">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bCs/>
          <w:i w:val="0"/>
          <w:iCs w:val="0"/>
          <w:kern w:val="2"/>
          <w:sz w:val="21"/>
          <w:szCs w:val="21"/>
          <w:lang w:val="en-US" w:eastAsia="zh-CN" w:bidi="ar-SA"/>
        </w:rPr>
      </w:pPr>
      <w:r>
        <w:rPr>
          <w:rFonts w:hint="default" w:ascii="Times New Roman" w:hAnsi="Times New Roman" w:cs="Times New Roman" w:eastAsiaTheme="minorEastAsia"/>
          <w:b/>
          <w:bCs/>
          <w:i w:val="0"/>
          <w:iCs w:val="0"/>
          <w:kern w:val="2"/>
          <w:sz w:val="21"/>
          <w:szCs w:val="21"/>
          <w:lang w:val="en-US" w:eastAsia="zh-CN" w:bidi="ar-SA"/>
        </w:rPr>
        <w:t>Antibody kinetics</w:t>
      </w:r>
    </w:p>
    <w:p w14:paraId="66A6E60B">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val="0"/>
          <w:bCs w:val="0"/>
          <w:i w:val="0"/>
          <w:iCs w:val="0"/>
          <w:kern w:val="2"/>
          <w:sz w:val="21"/>
          <w:szCs w:val="21"/>
          <w:lang w:val="en-US" w:eastAsia="zh-CN" w:bidi="ar-SA"/>
        </w:rPr>
      </w:pPr>
      <w:r>
        <w:rPr>
          <w:rFonts w:hint="default" w:ascii="Times New Roman" w:hAnsi="Times New Roman" w:cs="Times New Roman" w:eastAsiaTheme="minorEastAsia"/>
          <w:b w:val="0"/>
          <w:bCs w:val="0"/>
          <w:i w:val="0"/>
          <w:iCs w:val="0"/>
          <w:kern w:val="2"/>
          <w:sz w:val="21"/>
          <w:szCs w:val="21"/>
          <w:lang w:val="en-US" w:eastAsia="zh-CN" w:bidi="ar-SA"/>
        </w:rPr>
        <w:t xml:space="preserve">Antibody kinetic analysis showed an initial rapid increase in IgM, followed by a gradual rise in IgG subclasses, consistent with antibody class switching during B‑cell differentiation and maturation </w:t>
      </w:r>
      <w:r>
        <w:rPr>
          <w:rFonts w:hint="default" w:ascii="Times New Roman" w:hAnsi="Times New Roman" w:cs="Times New Roman"/>
          <w:color w:val="0000FF"/>
          <w:sz w:val="21"/>
          <w:szCs w:val="21"/>
          <w:highlight w:val="none"/>
          <w:lang w:val="en-US" w:eastAsia="zh-CN"/>
        </w:rPr>
        <w:t>(S4‑C)</w:t>
      </w:r>
      <w:r>
        <w:rPr>
          <w:rFonts w:hint="default" w:ascii="Times New Roman" w:hAnsi="Times New Roman" w:cs="Times New Roman" w:eastAsiaTheme="minorEastAsia"/>
          <w:b w:val="0"/>
          <w:bCs w:val="0"/>
          <w:i w:val="0"/>
          <w:iCs w:val="0"/>
          <w:kern w:val="2"/>
          <w:sz w:val="21"/>
          <w:szCs w:val="21"/>
          <w:lang w:val="en-US" w:eastAsia="zh-CN" w:bidi="ar-SA"/>
        </w:rPr>
        <w:t>.</w:t>
      </w:r>
    </w:p>
    <w:p w14:paraId="56766F6F">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bCs/>
          <w:i w:val="0"/>
          <w:iCs w:val="0"/>
          <w:kern w:val="2"/>
          <w:sz w:val="21"/>
          <w:szCs w:val="21"/>
          <w:lang w:val="en-US" w:eastAsia="zh-CN" w:bidi="ar-SA"/>
        </w:rPr>
      </w:pPr>
      <w:r>
        <w:rPr>
          <w:rFonts w:hint="default" w:ascii="Times New Roman" w:hAnsi="Times New Roman" w:cs="Times New Roman" w:eastAsiaTheme="minorEastAsia"/>
          <w:b/>
          <w:bCs/>
          <w:i w:val="0"/>
          <w:iCs w:val="0"/>
          <w:kern w:val="2"/>
          <w:sz w:val="21"/>
          <w:szCs w:val="21"/>
          <w:lang w:val="en-US" w:eastAsia="zh-CN" w:bidi="ar-SA"/>
        </w:rPr>
        <w:t>T helper cell responses</w:t>
      </w:r>
    </w:p>
    <w:p w14:paraId="08154CBA">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val="0"/>
          <w:bCs w:val="0"/>
          <w:i w:val="0"/>
          <w:iCs w:val="0"/>
          <w:kern w:val="2"/>
          <w:sz w:val="21"/>
          <w:szCs w:val="21"/>
          <w:lang w:val="en-US" w:eastAsia="zh-CN" w:bidi="ar-SA"/>
        </w:rPr>
      </w:pPr>
      <w:r>
        <w:rPr>
          <w:rFonts w:hint="default" w:ascii="Times New Roman" w:hAnsi="Times New Roman" w:cs="Times New Roman" w:eastAsiaTheme="minorEastAsia"/>
          <w:b w:val="0"/>
          <w:bCs w:val="0"/>
          <w:i w:val="0"/>
          <w:iCs w:val="0"/>
          <w:kern w:val="2"/>
          <w:sz w:val="21"/>
          <w:szCs w:val="21"/>
          <w:lang w:val="en-US" w:eastAsia="zh-CN" w:bidi="ar-SA"/>
        </w:rPr>
        <w:t xml:space="preserve">Th cell counts first expanded rapidly, then contracted, and finally stabilized. The “active state” and “proliferative state” peaked early and then underwent gradual adaptive regulation </w:t>
      </w:r>
      <w:r>
        <w:rPr>
          <w:rFonts w:hint="default" w:ascii="Times New Roman" w:hAnsi="Times New Roman" w:cs="Times New Roman"/>
          <w:color w:val="0000FF"/>
          <w:sz w:val="21"/>
          <w:szCs w:val="21"/>
          <w:highlight w:val="none"/>
          <w:lang w:val="en-US" w:eastAsia="zh-CN"/>
        </w:rPr>
        <w:t>(S4‑D, E)</w:t>
      </w:r>
      <w:r>
        <w:rPr>
          <w:rFonts w:hint="default" w:ascii="Times New Roman" w:hAnsi="Times New Roman" w:cs="Times New Roman" w:eastAsiaTheme="minorEastAsia"/>
          <w:b w:val="0"/>
          <w:bCs w:val="0"/>
          <w:i w:val="0"/>
          <w:iCs w:val="0"/>
          <w:kern w:val="2"/>
          <w:sz w:val="21"/>
          <w:szCs w:val="21"/>
          <w:lang w:val="en-US" w:eastAsia="zh-CN" w:bidi="ar-SA"/>
        </w:rPr>
        <w:t xml:space="preserve">. Cytokine levels (IFN‑γ, IL‑4) peaked early and then exhibited an oscillating downward trend, reflecting their regulatory roles in immune cell crosstalk and Th‑cell differentiation </w:t>
      </w:r>
      <w:r>
        <w:rPr>
          <w:rFonts w:hint="default" w:ascii="Times New Roman" w:hAnsi="Times New Roman" w:cs="Times New Roman"/>
          <w:color w:val="0000FF"/>
          <w:sz w:val="21"/>
          <w:szCs w:val="21"/>
          <w:highlight w:val="none"/>
          <w:lang w:val="en-US" w:eastAsia="zh-CN"/>
        </w:rPr>
        <w:t>(S4‑F)</w:t>
      </w:r>
      <w:r>
        <w:rPr>
          <w:rFonts w:hint="default" w:ascii="Times New Roman" w:hAnsi="Times New Roman" w:cs="Times New Roman" w:eastAsiaTheme="minorEastAsia"/>
          <w:b w:val="0"/>
          <w:bCs w:val="0"/>
          <w:i w:val="0"/>
          <w:iCs w:val="0"/>
          <w:kern w:val="2"/>
          <w:sz w:val="21"/>
          <w:szCs w:val="21"/>
          <w:lang w:val="en-US" w:eastAsia="zh-CN" w:bidi="ar-SA"/>
        </w:rPr>
        <w:t xml:space="preserve">. Analysis of Th subset proportions revealed a gradual enrichment of the Th1 phenotype </w:t>
      </w:r>
      <w:r>
        <w:rPr>
          <w:rFonts w:hint="default" w:ascii="Times New Roman" w:hAnsi="Times New Roman" w:cs="Times New Roman"/>
          <w:color w:val="0000FF"/>
          <w:sz w:val="21"/>
          <w:szCs w:val="21"/>
          <w:highlight w:val="none"/>
          <w:lang w:val="en-US" w:eastAsia="zh-CN"/>
        </w:rPr>
        <w:t>(S4‑G)</w:t>
      </w:r>
      <w:r>
        <w:rPr>
          <w:rFonts w:hint="default" w:ascii="Times New Roman" w:hAnsi="Times New Roman" w:cs="Times New Roman" w:eastAsiaTheme="minorEastAsia"/>
          <w:b w:val="0"/>
          <w:bCs w:val="0"/>
          <w:i w:val="0"/>
          <w:iCs w:val="0"/>
          <w:kern w:val="2"/>
          <w:sz w:val="21"/>
          <w:szCs w:val="21"/>
          <w:lang w:val="en-US" w:eastAsia="zh-CN" w:bidi="ar-SA"/>
        </w:rPr>
        <w:t>.</w:t>
      </w:r>
    </w:p>
    <w:p w14:paraId="30020223">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bCs/>
          <w:i w:val="0"/>
          <w:iCs w:val="0"/>
          <w:kern w:val="2"/>
          <w:sz w:val="21"/>
          <w:szCs w:val="21"/>
          <w:lang w:val="en-US" w:eastAsia="zh-CN" w:bidi="ar-SA"/>
        </w:rPr>
      </w:pPr>
      <w:r>
        <w:rPr>
          <w:rFonts w:hint="default" w:ascii="Times New Roman" w:hAnsi="Times New Roman" w:cs="Times New Roman" w:eastAsiaTheme="minorEastAsia"/>
          <w:b/>
          <w:bCs/>
          <w:i w:val="0"/>
          <w:iCs w:val="0"/>
          <w:kern w:val="2"/>
          <w:sz w:val="21"/>
          <w:szCs w:val="21"/>
          <w:lang w:val="en-US" w:eastAsia="zh-CN" w:bidi="ar-SA"/>
        </w:rPr>
        <w:t>Cytotoxic T cell responses</w:t>
      </w:r>
    </w:p>
    <w:p w14:paraId="34218E5A">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val="0"/>
          <w:bCs w:val="0"/>
          <w:i w:val="0"/>
          <w:iCs w:val="0"/>
          <w:kern w:val="2"/>
          <w:sz w:val="21"/>
          <w:szCs w:val="21"/>
          <w:lang w:val="en-US" w:eastAsia="zh-CN" w:bidi="ar-SA"/>
        </w:rPr>
      </w:pPr>
      <w:r>
        <w:rPr>
          <w:rFonts w:hint="default" w:ascii="Times New Roman" w:hAnsi="Times New Roman" w:cs="Times New Roman" w:eastAsiaTheme="minorEastAsia"/>
          <w:b w:val="0"/>
          <w:bCs w:val="0"/>
          <w:i w:val="0"/>
          <w:iCs w:val="0"/>
          <w:kern w:val="2"/>
          <w:sz w:val="21"/>
          <w:szCs w:val="21"/>
          <w:lang w:val="en-US" w:eastAsia="zh-CN" w:bidi="ar-SA"/>
        </w:rPr>
        <w:t xml:space="preserve">Tc cell populations remained stable with small fluctuations, and no significant changes in cell states were observed </w:t>
      </w:r>
      <w:r>
        <w:rPr>
          <w:rFonts w:hint="default" w:ascii="Times New Roman" w:hAnsi="Times New Roman" w:cs="Times New Roman"/>
          <w:color w:val="0000FF"/>
          <w:sz w:val="21"/>
          <w:szCs w:val="21"/>
          <w:highlight w:val="none"/>
          <w:lang w:val="en-US" w:eastAsia="zh-CN"/>
        </w:rPr>
        <w:t>(S4‑H, I)</w:t>
      </w:r>
      <w:r>
        <w:rPr>
          <w:rFonts w:hint="default" w:ascii="Times New Roman" w:hAnsi="Times New Roman" w:cs="Times New Roman" w:eastAsiaTheme="minorEastAsia"/>
          <w:b w:val="0"/>
          <w:bCs w:val="0"/>
          <w:i w:val="0"/>
          <w:iCs w:val="0"/>
          <w:kern w:val="2"/>
          <w:sz w:val="21"/>
          <w:szCs w:val="21"/>
          <w:lang w:val="en-US" w:eastAsia="zh-CN" w:bidi="ar-SA"/>
        </w:rPr>
        <w:t>.</w:t>
      </w:r>
    </w:p>
    <w:p w14:paraId="1E4D3525">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bCs/>
          <w:i w:val="0"/>
          <w:iCs w:val="0"/>
          <w:kern w:val="2"/>
          <w:sz w:val="21"/>
          <w:szCs w:val="21"/>
          <w:lang w:val="en-US" w:eastAsia="zh-CN" w:bidi="ar-SA"/>
        </w:rPr>
      </w:pPr>
      <w:r>
        <w:rPr>
          <w:rFonts w:hint="default" w:ascii="Times New Roman" w:hAnsi="Times New Roman" w:cs="Times New Roman" w:eastAsiaTheme="minorEastAsia"/>
          <w:b/>
          <w:bCs/>
          <w:i w:val="0"/>
          <w:iCs w:val="0"/>
          <w:kern w:val="2"/>
          <w:sz w:val="21"/>
          <w:szCs w:val="21"/>
          <w:lang w:val="en-US" w:eastAsia="zh-CN" w:bidi="ar-SA"/>
        </w:rPr>
        <w:t>Antigen‑presenting cells (macrophages and dendritic cells)</w:t>
      </w:r>
    </w:p>
    <w:p w14:paraId="788E98E3">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val="0"/>
          <w:bCs w:val="0"/>
          <w:i w:val="0"/>
          <w:iCs w:val="0"/>
          <w:kern w:val="2"/>
          <w:sz w:val="21"/>
          <w:szCs w:val="21"/>
          <w:lang w:val="en-US" w:eastAsia="zh-CN" w:bidi="ar-SA"/>
        </w:rPr>
      </w:pPr>
      <w:r>
        <w:rPr>
          <w:rFonts w:hint="default" w:ascii="Times New Roman" w:hAnsi="Times New Roman" w:cs="Times New Roman" w:eastAsiaTheme="minorEastAsia"/>
          <w:b w:val="0"/>
          <w:bCs w:val="0"/>
          <w:i w:val="0"/>
          <w:iCs w:val="0"/>
          <w:kern w:val="2"/>
          <w:sz w:val="21"/>
          <w:szCs w:val="21"/>
          <w:lang w:val="en-US" w:eastAsia="zh-CN" w:bidi="ar-SA"/>
        </w:rPr>
        <w:t xml:space="preserve">For APCs, the “internalized state,” “presenting state‑1,” and “presenting state‑2” all increased in the early stage, underscoring their core role in antigen processing and presentation. Subsequent state changes suggest that macrophages and dendritic cells contribute to maintaining immune homeostasis through functional adaptive adjustments </w:t>
      </w:r>
      <w:r>
        <w:rPr>
          <w:rFonts w:hint="default" w:ascii="Times New Roman" w:hAnsi="Times New Roman" w:cs="Times New Roman"/>
          <w:color w:val="0000FF"/>
          <w:sz w:val="21"/>
          <w:szCs w:val="21"/>
          <w:highlight w:val="none"/>
          <w:lang w:val="en-US" w:eastAsia="zh-CN"/>
        </w:rPr>
        <w:t>(S4‑J, K)</w:t>
      </w:r>
      <w:r>
        <w:rPr>
          <w:rFonts w:hint="default" w:ascii="Times New Roman" w:hAnsi="Times New Roman" w:cs="Times New Roman" w:eastAsiaTheme="minorEastAsia"/>
          <w:b w:val="0"/>
          <w:bCs w:val="0"/>
          <w:i w:val="0"/>
          <w:iCs w:val="0"/>
          <w:kern w:val="2"/>
          <w:sz w:val="21"/>
          <w:szCs w:val="21"/>
          <w:lang w:val="en-US" w:eastAsia="zh-CN" w:bidi="ar-SA"/>
        </w:rPr>
        <w:t>.</w:t>
      </w:r>
    </w:p>
    <w:p w14:paraId="2CFC1891">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 xml:space="preserve">Supplementary Figure </w:t>
      </w:r>
      <w:r>
        <w:rPr>
          <w:rFonts w:hint="eastAsia" w:ascii="Times New Roman" w:hAnsi="Times New Roman" w:cs="Times New Roman"/>
          <w:b/>
          <w:bCs/>
          <w:i w:val="0"/>
          <w:iCs w:val="0"/>
          <w:kern w:val="2"/>
          <w:sz w:val="24"/>
          <w:szCs w:val="24"/>
          <w:lang w:val="en-US" w:eastAsia="zh-CN" w:bidi="ar-SA"/>
        </w:rPr>
        <w:t>4</w:t>
      </w:r>
    </w:p>
    <w:p w14:paraId="55D44839">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drawing>
          <wp:inline distT="0" distB="0" distL="114300" distR="114300">
            <wp:extent cx="5262880" cy="5353050"/>
            <wp:effectExtent l="0" t="0" r="4445" b="0"/>
            <wp:docPr id="6" name="图片 6" descr="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4"/>
                    <pic:cNvPicPr>
                      <a:picLocks noChangeAspect="1"/>
                    </pic:cNvPicPr>
                  </pic:nvPicPr>
                  <pic:blipFill>
                    <a:blip r:embed="rId7"/>
                    <a:stretch>
                      <a:fillRect/>
                    </a:stretch>
                  </pic:blipFill>
                  <pic:spPr>
                    <a:xfrm>
                      <a:off x="0" y="0"/>
                      <a:ext cx="5262880" cy="5353050"/>
                    </a:xfrm>
                    <a:prstGeom prst="rect">
                      <a:avLst/>
                    </a:prstGeom>
                  </pic:spPr>
                </pic:pic>
              </a:graphicData>
            </a:graphic>
          </wp:inline>
        </w:drawing>
      </w:r>
    </w:p>
    <w:p w14:paraId="64AEB9AB">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 xml:space="preserve">S4. </w:t>
      </w:r>
      <w:r>
        <w:rPr>
          <w:rFonts w:hint="default" w:ascii="Times New Roman" w:hAnsi="Times New Roman" w:cs="Times New Roman"/>
          <w:b/>
          <w:bCs/>
          <w:sz w:val="21"/>
          <w:szCs w:val="21"/>
          <w:lang w:val="en-US" w:eastAsia="zh-CN"/>
        </w:rPr>
        <w:t>Longitudinal immune profiling based on a 350‑day computational simulation.</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eastAsiaTheme="minorEastAsia"/>
          <w:kern w:val="2"/>
          <w:sz w:val="21"/>
          <w:szCs w:val="21"/>
          <w:lang w:val="en-US" w:eastAsia="zh-CN" w:bidi="ar-SA"/>
        </w:rPr>
        <w:t>(A)</w:t>
      </w:r>
      <w:r>
        <w:rPr>
          <w:rFonts w:hint="eastAsia" w:ascii="Times New Roman" w:hAnsi="Times New Roman" w:cs="Times New Roman"/>
          <w:kern w:val="2"/>
          <w:sz w:val="21"/>
          <w:szCs w:val="21"/>
          <w:lang w:val="en-US" w:eastAsia="zh-CN" w:bidi="ar-SA"/>
        </w:rPr>
        <w:t xml:space="preserve"> </w:t>
      </w:r>
      <w:r>
        <w:rPr>
          <w:rFonts w:hint="default" w:ascii="Times New Roman" w:hAnsi="Times New Roman" w:cs="Times New Roman"/>
          <w:sz w:val="21"/>
          <w:szCs w:val="21"/>
          <w:lang w:val="en-US" w:eastAsia="zh-CN"/>
        </w:rPr>
        <w:t>B cell dynamics: total density, memory subset distribution, and isotype (IgM/IgG1/IgG2) profile. (B) B cell state distribution: active (Act), MHC‑II‑presenting (Pres II), antigen‑internalized (Intern), duplicating (Dup), and anergic. (C) Antibody kinetics: serum immunoglobulin levels and antigen‑binding capacity over time. (D) CD4⁺ T cell dynamics: total count and memory subset distribution. (E) CD4⁺ T cell state distribution: active (Act), resting, anergic, and duplicating (Dup). (F) Cytokine flux (IL‑2, IL‑4, IL‑6, IFN‑γ, TNF‑α; pg/mL); inset shows danger signal D. (G) CD8⁺ T cell dynamics: absolute counts and memory differentiation. (H) CD8⁺ T cell state distribution: active (Act), resting, anergic, and duplicating (Dup). (I) T cell heterogeneity: naïve/effector/memory subset ratios and counts. (J) Macrophage activity: population density and functional state distribution (Intern, Pres II, active, resting). (K) Dendritic cell function: MHC‑I/II presentation efficiency and activation status.</w:t>
      </w:r>
    </w:p>
    <w:p w14:paraId="3327F7D4">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0" w:leftChars="0"/>
        <w:jc w:val="both"/>
        <w:textAlignment w:val="auto"/>
        <w:rPr>
          <w:rFonts w:hint="default" w:ascii="Times New Roman" w:hAnsi="Times New Roman" w:cs="Times New Roman"/>
          <w:sz w:val="18"/>
          <w:szCs w:val="18"/>
          <w:lang w:val="en-US" w:eastAsia="zh-CN"/>
        </w:rPr>
      </w:pPr>
    </w:p>
    <w:p w14:paraId="6E3D6B85">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Supplementary Figure</w:t>
      </w:r>
      <w:r>
        <w:rPr>
          <w:rFonts w:hint="eastAsia" w:ascii="Times New Roman" w:hAnsi="Times New Roman" w:cs="Times New Roman"/>
          <w:b/>
          <w:bCs/>
          <w:i w:val="0"/>
          <w:iCs w:val="0"/>
          <w:kern w:val="2"/>
          <w:sz w:val="24"/>
          <w:szCs w:val="24"/>
          <w:lang w:val="en-US" w:eastAsia="zh-CN" w:bidi="ar-SA"/>
        </w:rPr>
        <w:t xml:space="preserve"> 5</w:t>
      </w:r>
    </w:p>
    <w:p w14:paraId="541C554D">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b/>
          <w:bCs/>
          <w:i w:val="0"/>
          <w:iCs w:val="0"/>
          <w:kern w:val="2"/>
          <w:sz w:val="21"/>
          <w:szCs w:val="21"/>
          <w:lang w:val="en-US" w:eastAsia="zh-CN" w:bidi="ar-SA"/>
        </w:rPr>
      </w:pPr>
      <w:r>
        <w:rPr>
          <w:rFonts w:hint="default" w:ascii="Times New Roman" w:hAnsi="Times New Roman" w:cs="Times New Roman"/>
          <w:b/>
          <w:bCs/>
          <w:i w:val="0"/>
          <w:iCs w:val="0"/>
          <w:kern w:val="2"/>
          <w:sz w:val="21"/>
          <w:szCs w:val="21"/>
          <w:lang w:val="en-US" w:eastAsia="zh-CN" w:bidi="ar-SA"/>
        </w:rPr>
        <w:drawing>
          <wp:inline distT="0" distB="0" distL="114300" distR="114300">
            <wp:extent cx="5247640" cy="1104900"/>
            <wp:effectExtent l="0" t="0" r="635" b="0"/>
            <wp:docPr id="7" name="图片 7" descr="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5"/>
                    <pic:cNvPicPr>
                      <a:picLocks noChangeAspect="1"/>
                    </pic:cNvPicPr>
                  </pic:nvPicPr>
                  <pic:blipFill>
                    <a:blip r:embed="rId8"/>
                    <a:stretch>
                      <a:fillRect/>
                    </a:stretch>
                  </pic:blipFill>
                  <pic:spPr>
                    <a:xfrm>
                      <a:off x="0" y="0"/>
                      <a:ext cx="5247640" cy="1104900"/>
                    </a:xfrm>
                    <a:prstGeom prst="rect">
                      <a:avLst/>
                    </a:prstGeom>
                  </pic:spPr>
                </pic:pic>
              </a:graphicData>
            </a:graphic>
          </wp:inline>
        </w:drawing>
      </w:r>
    </w:p>
    <w:p w14:paraId="07D8601E">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b/>
          <w:bCs/>
          <w:i w:val="0"/>
          <w:iCs w:val="0"/>
          <w:caps w:val="0"/>
          <w:color w:val="1F2329"/>
          <w:spacing w:val="0"/>
          <w:sz w:val="21"/>
          <w:szCs w:val="21"/>
          <w:shd w:val="clear" w:fill="FFFFFF"/>
        </w:rPr>
      </w:pPr>
      <w:r>
        <w:rPr>
          <w:rFonts w:hint="eastAsia" w:ascii="Times New Roman" w:hAnsi="Times New Roman" w:eastAsia="宋体" w:cs="Times New Roman"/>
          <w:b/>
          <w:bCs/>
          <w:i w:val="0"/>
          <w:iCs w:val="0"/>
          <w:caps w:val="0"/>
          <w:color w:val="1F2329"/>
          <w:spacing w:val="0"/>
          <w:sz w:val="21"/>
          <w:szCs w:val="21"/>
          <w:shd w:val="clear" w:fill="FFFFFF"/>
          <w:lang w:val="en-US" w:eastAsia="zh-CN"/>
        </w:rPr>
        <w:t xml:space="preserve">S5. The </w:t>
      </w:r>
      <w:r>
        <w:rPr>
          <w:rFonts w:hint="default" w:ascii="Times New Roman" w:hAnsi="Times New Roman" w:eastAsia="Segoe UI" w:cs="Times New Roman"/>
          <w:b/>
          <w:bCs/>
          <w:i w:val="0"/>
          <w:iCs w:val="0"/>
          <w:caps w:val="0"/>
          <w:color w:val="1F2329"/>
          <w:spacing w:val="0"/>
          <w:sz w:val="21"/>
          <w:szCs w:val="21"/>
          <w:shd w:val="clear" w:fill="FFFFFF"/>
        </w:rPr>
        <w:t>Gating Strategy of M Cell Flow Cytometry</w:t>
      </w:r>
      <w:r>
        <w:rPr>
          <w:rFonts w:hint="eastAsia" w:ascii="Times New Roman" w:hAnsi="Times New Roman" w:eastAsia="宋体" w:cs="Times New Roman"/>
          <w:b/>
          <w:bCs/>
          <w:i w:val="0"/>
          <w:iCs w:val="0"/>
          <w:caps w:val="0"/>
          <w:color w:val="1F2329"/>
          <w:spacing w:val="0"/>
          <w:sz w:val="21"/>
          <w:szCs w:val="21"/>
          <w:shd w:val="clear" w:fill="FFFFFF"/>
          <w:lang w:val="en-US" w:eastAsia="zh-CN"/>
        </w:rPr>
        <w:t>.</w:t>
      </w:r>
      <w:r>
        <w:rPr>
          <w:rFonts w:hint="default" w:ascii="Times New Roman" w:hAnsi="Times New Roman" w:eastAsia="Segoe UI" w:cs="Times New Roman"/>
          <w:b/>
          <w:bCs/>
          <w:i w:val="0"/>
          <w:iCs w:val="0"/>
          <w:caps w:val="0"/>
          <w:color w:val="1F2329"/>
          <w:spacing w:val="0"/>
          <w:sz w:val="21"/>
          <w:szCs w:val="21"/>
          <w:shd w:val="clear" w:fill="FFFFFF"/>
        </w:rPr>
        <w:t xml:space="preserve"> </w:t>
      </w:r>
    </w:p>
    <w:p w14:paraId="1492F8D8">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Based on forward scatter area (FSC-A, reflecting cell size) and side scatter area (SSC-A, reflecting granularity), major cell populations are distinguished and cell debris is excluded. </w:t>
      </w:r>
    </w:p>
    <w:p w14:paraId="62C981C0">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 Using the linear relationship between forward scatter area (FSC-A) and forward scatter height (FSC-H), doublet or multicellular adhesion events are identified and excluded (adherent cells show non-diagonal distribution in the scatter plot).</w:t>
      </w:r>
    </w:p>
    <w:p w14:paraId="5386F257">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Viable Cell Screening and Immune Cell Exclusion (Live⁺/CD45⁻): Live⁺: Viable cells with intact membrane integrity are selectively retained through staining with viability dyes.</w:t>
      </w:r>
      <w:r>
        <w:rPr>
          <w:rFonts w:hint="eastAsia" w:ascii="Times New Roman" w:hAnsi="Times New Roman" w:eastAsia="宋体" w:cs="Times New Roman"/>
          <w:i w:val="0"/>
          <w:iCs w:val="0"/>
          <w:caps w:val="0"/>
          <w:color w:val="1F2329"/>
          <w:spacing w:val="0"/>
          <w:sz w:val="21"/>
          <w:szCs w:val="21"/>
          <w:shd w:val="clear" w:fill="FFFFFF"/>
          <w:lang w:val="en-US" w:eastAsia="zh-CN"/>
        </w:rPr>
        <w:t xml:space="preserve"> </w:t>
      </w:r>
      <w:r>
        <w:rPr>
          <w:rFonts w:hint="default" w:ascii="Times New Roman" w:hAnsi="Times New Roman" w:eastAsia="Segoe UI" w:cs="Times New Roman"/>
          <w:i w:val="0"/>
          <w:iCs w:val="0"/>
          <w:caps w:val="0"/>
          <w:color w:val="1F2329"/>
          <w:spacing w:val="0"/>
          <w:sz w:val="21"/>
          <w:szCs w:val="21"/>
          <w:shd w:val="clear" w:fill="FFFFFF"/>
        </w:rPr>
        <w:t xml:space="preserve">CD45⁻: CD45-positive immune cells are excluded. </w:t>
      </w:r>
    </w:p>
    <w:p w14:paraId="2B4D3320">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Positive Labeling of Target Cells (EpCAM⁺/UAE-1⁺): EpCAM⁺: Positive for epithelial cell adhesion molecule, used to screen epithelial-derived cells. UAE-1: Combined with EpCAM⁺ to further enrich M cells.</w:t>
      </w:r>
    </w:p>
    <w:p w14:paraId="73D47F26">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eastAsiaTheme="minorEastAsia"/>
          <w:sz w:val="21"/>
          <w:szCs w:val="21"/>
          <w:lang w:val="en-US" w:eastAsia="zh-CN"/>
        </w:rPr>
      </w:pPr>
    </w:p>
    <w:p w14:paraId="2C5E568E">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Supplementary Figure 6</w:t>
      </w:r>
    </w:p>
    <w:p w14:paraId="56933E99">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drawing>
          <wp:inline distT="0" distB="0" distL="114300" distR="114300">
            <wp:extent cx="5251450" cy="1358900"/>
            <wp:effectExtent l="0" t="0" r="6350" b="3175"/>
            <wp:docPr id="8" name="图片 8" descr="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6"/>
                    <pic:cNvPicPr>
                      <a:picLocks noChangeAspect="1"/>
                    </pic:cNvPicPr>
                  </pic:nvPicPr>
                  <pic:blipFill>
                    <a:blip r:embed="rId9"/>
                    <a:stretch>
                      <a:fillRect/>
                    </a:stretch>
                  </pic:blipFill>
                  <pic:spPr>
                    <a:xfrm>
                      <a:off x="0" y="0"/>
                      <a:ext cx="5251450" cy="1358900"/>
                    </a:xfrm>
                    <a:prstGeom prst="rect">
                      <a:avLst/>
                    </a:prstGeom>
                  </pic:spPr>
                </pic:pic>
              </a:graphicData>
            </a:graphic>
          </wp:inline>
        </w:drawing>
      </w:r>
    </w:p>
    <w:p w14:paraId="34987EED">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b/>
          <w:bCs/>
          <w:i w:val="0"/>
          <w:iCs w:val="0"/>
          <w:caps w:val="0"/>
          <w:color w:val="1F2329"/>
          <w:spacing w:val="0"/>
          <w:sz w:val="21"/>
          <w:szCs w:val="21"/>
          <w:shd w:val="clear" w:fill="FFFFFF"/>
        </w:rPr>
      </w:pPr>
      <w:r>
        <w:rPr>
          <w:rFonts w:hint="eastAsia" w:ascii="Times New Roman" w:hAnsi="Times New Roman" w:eastAsia="宋体" w:cs="Times New Roman"/>
          <w:b/>
          <w:bCs/>
          <w:i w:val="0"/>
          <w:iCs w:val="0"/>
          <w:caps w:val="0"/>
          <w:color w:val="1F2329"/>
          <w:spacing w:val="0"/>
          <w:sz w:val="21"/>
          <w:szCs w:val="21"/>
          <w:shd w:val="clear" w:fill="FFFFFF"/>
          <w:lang w:val="en-US" w:eastAsia="zh-CN"/>
        </w:rPr>
        <w:t xml:space="preserve">S6. The </w:t>
      </w:r>
      <w:r>
        <w:rPr>
          <w:rFonts w:hint="default" w:ascii="Times New Roman" w:hAnsi="Times New Roman" w:eastAsia="Segoe UI" w:cs="Times New Roman"/>
          <w:b/>
          <w:bCs/>
          <w:i w:val="0"/>
          <w:iCs w:val="0"/>
          <w:caps w:val="0"/>
          <w:color w:val="1F2329"/>
          <w:spacing w:val="0"/>
          <w:sz w:val="21"/>
          <w:szCs w:val="21"/>
          <w:shd w:val="clear" w:fill="FFFFFF"/>
        </w:rPr>
        <w:t>Gating Strategy of Vaccine⁺ M cells Flow Cytometry</w:t>
      </w:r>
      <w:r>
        <w:rPr>
          <w:rFonts w:hint="eastAsia" w:ascii="Times New Roman" w:hAnsi="Times New Roman" w:eastAsia="宋体" w:cs="Times New Roman"/>
          <w:b/>
          <w:bCs/>
          <w:i w:val="0"/>
          <w:iCs w:val="0"/>
          <w:caps w:val="0"/>
          <w:color w:val="1F2329"/>
          <w:spacing w:val="0"/>
          <w:sz w:val="21"/>
          <w:szCs w:val="21"/>
          <w:shd w:val="clear" w:fill="FFFFFF"/>
          <w:lang w:val="en-US" w:eastAsia="zh-CN"/>
        </w:rPr>
        <w:t>.</w:t>
      </w:r>
      <w:r>
        <w:rPr>
          <w:rFonts w:hint="default" w:ascii="Times New Roman" w:hAnsi="Times New Roman" w:eastAsia="Segoe UI" w:cs="Times New Roman"/>
          <w:b/>
          <w:bCs/>
          <w:i w:val="0"/>
          <w:iCs w:val="0"/>
          <w:caps w:val="0"/>
          <w:color w:val="1F2329"/>
          <w:spacing w:val="0"/>
          <w:sz w:val="21"/>
          <w:szCs w:val="21"/>
          <w:shd w:val="clear" w:fill="FFFFFF"/>
        </w:rPr>
        <w:t xml:space="preserve"> </w:t>
      </w:r>
    </w:p>
    <w:p w14:paraId="0A0A73E7">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60EB805B">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06C054DE">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Viable Cell Screening and Immune Cell Exclusion (Live⁺/CD45⁻). </w:t>
      </w:r>
    </w:p>
    <w:p w14:paraId="5E7FF8E1">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Positive Labeling of Target Cells (EpCAM⁺/UAE-1⁺).</w:t>
      </w:r>
    </w:p>
    <w:p w14:paraId="5ADB6CE4">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Vaccine⁺ Subpopulation Quantification Protocol Within the EpCAM⁺/UAE-1⁺ target cell gate, a home-made rabbit polyclonal antibody labeled with BV711 (targeting the vaccine antigen) is used to detect Vaccine⁺ M cells, and their in vitro phagocytic capacity is quantitatively analyzed by flow cytometry. </w:t>
      </w:r>
    </w:p>
    <w:p w14:paraId="2FFDE911">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p>
    <w:p w14:paraId="22D68A35">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7</w:t>
      </w:r>
    </w:p>
    <w:p w14:paraId="70E5DB8D">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4878070" cy="1724660"/>
            <wp:effectExtent l="0" t="0" r="8255" b="8890"/>
            <wp:docPr id="9" name="图片 9"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7"/>
                    <pic:cNvPicPr>
                      <a:picLocks noChangeAspect="1"/>
                    </pic:cNvPicPr>
                  </pic:nvPicPr>
                  <pic:blipFill>
                    <a:blip r:embed="rId10"/>
                    <a:stretch>
                      <a:fillRect/>
                    </a:stretch>
                  </pic:blipFill>
                  <pic:spPr>
                    <a:xfrm>
                      <a:off x="0" y="0"/>
                      <a:ext cx="4878070" cy="1724660"/>
                    </a:xfrm>
                    <a:prstGeom prst="rect">
                      <a:avLst/>
                    </a:prstGeom>
                  </pic:spPr>
                </pic:pic>
              </a:graphicData>
            </a:graphic>
          </wp:inline>
        </w:drawing>
      </w:r>
    </w:p>
    <w:p w14:paraId="57FECA07">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b/>
          <w:bCs/>
          <w:i w:val="0"/>
          <w:iCs w:val="0"/>
          <w:caps w:val="0"/>
          <w:color w:val="1F2329"/>
          <w:spacing w:val="0"/>
          <w:sz w:val="21"/>
          <w:szCs w:val="21"/>
          <w:shd w:val="clear" w:fill="FFFFFF"/>
        </w:rPr>
      </w:pPr>
      <w:r>
        <w:rPr>
          <w:rFonts w:hint="eastAsia" w:ascii="Times New Roman" w:hAnsi="Times New Roman" w:eastAsia="宋体" w:cs="Times New Roman"/>
          <w:b/>
          <w:bCs/>
          <w:i w:val="0"/>
          <w:iCs w:val="0"/>
          <w:caps w:val="0"/>
          <w:color w:val="1F2329"/>
          <w:spacing w:val="0"/>
          <w:sz w:val="21"/>
          <w:szCs w:val="21"/>
          <w:shd w:val="clear" w:fill="FFFFFF"/>
          <w:lang w:val="en-US" w:eastAsia="zh-CN"/>
        </w:rPr>
        <w:t xml:space="preserve">S7. The </w:t>
      </w:r>
      <w:r>
        <w:rPr>
          <w:rFonts w:hint="default" w:ascii="Times New Roman" w:hAnsi="Times New Roman" w:eastAsia="Segoe UI" w:cs="Times New Roman"/>
          <w:b/>
          <w:bCs/>
          <w:i w:val="0"/>
          <w:iCs w:val="0"/>
          <w:caps w:val="0"/>
          <w:color w:val="1F2329"/>
          <w:spacing w:val="0"/>
          <w:sz w:val="21"/>
          <w:szCs w:val="21"/>
          <w:shd w:val="clear" w:fill="FFFFFF"/>
        </w:rPr>
        <w:t xml:space="preserve">Gating Strategy of Vaccine⁺ </w:t>
      </w:r>
      <w:r>
        <w:rPr>
          <w:rFonts w:hint="eastAsia" w:ascii="Times New Roman" w:hAnsi="Times New Roman" w:eastAsia="宋体" w:cs="Times New Roman"/>
          <w:b/>
          <w:bCs/>
          <w:i w:val="0"/>
          <w:iCs w:val="0"/>
          <w:caps w:val="0"/>
          <w:color w:val="1F2329"/>
          <w:spacing w:val="0"/>
          <w:sz w:val="21"/>
          <w:szCs w:val="21"/>
          <w:shd w:val="clear" w:fill="FFFFFF"/>
          <w:lang w:val="en-US" w:eastAsia="zh-CN"/>
        </w:rPr>
        <w:t>DCs</w:t>
      </w:r>
      <w:r>
        <w:rPr>
          <w:rFonts w:hint="default" w:ascii="Times New Roman" w:hAnsi="Times New Roman" w:eastAsia="Segoe UI" w:cs="Times New Roman"/>
          <w:b/>
          <w:bCs/>
          <w:i w:val="0"/>
          <w:iCs w:val="0"/>
          <w:caps w:val="0"/>
          <w:color w:val="1F2329"/>
          <w:spacing w:val="0"/>
          <w:sz w:val="21"/>
          <w:szCs w:val="21"/>
          <w:shd w:val="clear" w:fill="FFFFFF"/>
        </w:rPr>
        <w:t xml:space="preserve"> Flow Cytometry</w:t>
      </w:r>
      <w:r>
        <w:rPr>
          <w:rFonts w:hint="eastAsia" w:ascii="Times New Roman" w:hAnsi="Times New Roman" w:eastAsia="宋体" w:cs="Times New Roman"/>
          <w:b/>
          <w:bCs/>
          <w:i w:val="0"/>
          <w:iCs w:val="0"/>
          <w:caps w:val="0"/>
          <w:color w:val="1F2329"/>
          <w:spacing w:val="0"/>
          <w:sz w:val="21"/>
          <w:szCs w:val="21"/>
          <w:shd w:val="clear" w:fill="FFFFFF"/>
          <w:lang w:val="en-US" w:eastAsia="zh-CN"/>
        </w:rPr>
        <w:t>.</w:t>
      </w:r>
      <w:r>
        <w:rPr>
          <w:rFonts w:hint="default" w:ascii="Times New Roman" w:hAnsi="Times New Roman" w:eastAsia="Segoe UI" w:cs="Times New Roman"/>
          <w:b/>
          <w:bCs/>
          <w:i w:val="0"/>
          <w:iCs w:val="0"/>
          <w:caps w:val="0"/>
          <w:color w:val="1F2329"/>
          <w:spacing w:val="0"/>
          <w:sz w:val="21"/>
          <w:szCs w:val="21"/>
          <w:shd w:val="clear" w:fill="FFFFFF"/>
        </w:rPr>
        <w:t xml:space="preserve"> </w:t>
      </w:r>
    </w:p>
    <w:p w14:paraId="52A31F5F">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74023D6F">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4A0AC354">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Quantification of Vaccine⁺ DCs</w:t>
      </w:r>
      <w:r>
        <w:rPr>
          <w:rFonts w:hint="eastAsia" w:ascii="Times New Roman" w:hAnsi="Times New Roman" w:eastAsia="宋体" w:cs="Times New Roman"/>
          <w:i w:val="0"/>
          <w:iCs w:val="0"/>
          <w:caps w:val="0"/>
          <w:color w:val="1F2329"/>
          <w:spacing w:val="0"/>
          <w:sz w:val="21"/>
          <w:szCs w:val="21"/>
          <w:shd w:val="clear" w:fill="FFFFFF"/>
          <w:lang w:val="en-US" w:eastAsia="zh-CN"/>
        </w:rPr>
        <w:t xml:space="preserve">. </w:t>
      </w:r>
      <w:r>
        <w:rPr>
          <w:rFonts w:hint="default" w:ascii="Times New Roman" w:hAnsi="Times New Roman" w:eastAsia="Segoe UI" w:cs="Times New Roman"/>
          <w:i w:val="0"/>
          <w:iCs w:val="0"/>
          <w:caps w:val="0"/>
          <w:color w:val="1F2329"/>
          <w:spacing w:val="0"/>
          <w:sz w:val="21"/>
          <w:szCs w:val="21"/>
          <w:shd w:val="clear" w:fill="FFFFFF"/>
        </w:rPr>
        <w:t xml:space="preserve">Within the surface marker⁺ DC gate (identified via a cell membrane integrity dye, corresponding to cellular immunofluorescence), the Vaccine⁺ DC population is detected to achieve accurate quantification of phagocytic function based on antigen internalization. </w:t>
      </w:r>
    </w:p>
    <w:p w14:paraId="790BF3B1">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i w:val="0"/>
          <w:iCs w:val="0"/>
          <w:caps w:val="0"/>
          <w:color w:val="1F2329"/>
          <w:spacing w:val="0"/>
          <w:sz w:val="21"/>
          <w:szCs w:val="21"/>
          <w:shd w:val="clear" w:fill="FFFFFF"/>
        </w:rPr>
      </w:pPr>
    </w:p>
    <w:p w14:paraId="0EF8736C">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8</w:t>
      </w:r>
    </w:p>
    <w:p w14:paraId="3862C193">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499100" cy="3625850"/>
            <wp:effectExtent l="0" t="0" r="6350" b="3175"/>
            <wp:docPr id="10" name="图片 10" descr="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8"/>
                    <pic:cNvPicPr>
                      <a:picLocks noChangeAspect="1"/>
                    </pic:cNvPicPr>
                  </pic:nvPicPr>
                  <pic:blipFill>
                    <a:blip r:embed="rId11"/>
                    <a:stretch>
                      <a:fillRect/>
                    </a:stretch>
                  </pic:blipFill>
                  <pic:spPr>
                    <a:xfrm>
                      <a:off x="0" y="0"/>
                      <a:ext cx="5499100" cy="3625850"/>
                    </a:xfrm>
                    <a:prstGeom prst="rect">
                      <a:avLst/>
                    </a:prstGeom>
                  </pic:spPr>
                </pic:pic>
              </a:graphicData>
            </a:graphic>
          </wp:inline>
        </w:drawing>
      </w:r>
    </w:p>
    <w:p w14:paraId="24E74884">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b/>
          <w:bCs/>
          <w:i w:val="0"/>
          <w:iCs w:val="0"/>
          <w:caps w:val="0"/>
          <w:color w:val="1F2329"/>
          <w:spacing w:val="0"/>
          <w:sz w:val="21"/>
          <w:szCs w:val="21"/>
          <w:shd w:val="clear" w:fill="FFFFFF"/>
          <w:lang w:val="en-US" w:eastAsia="zh-CN"/>
        </w:rPr>
      </w:pPr>
      <w:r>
        <w:rPr>
          <w:rFonts w:hint="default" w:ascii="Times New Roman" w:hAnsi="Times New Roman" w:eastAsia="Segoe UI" w:cs="Times New Roman"/>
          <w:b/>
          <w:bCs/>
          <w:i w:val="0"/>
          <w:iCs w:val="0"/>
          <w:caps w:val="0"/>
          <w:color w:val="1F2329"/>
          <w:spacing w:val="0"/>
          <w:sz w:val="21"/>
          <w:szCs w:val="21"/>
          <w:shd w:val="clear" w:fill="FFFFFF"/>
        </w:rPr>
        <w:t>S</w:t>
      </w:r>
      <w:r>
        <w:rPr>
          <w:rFonts w:hint="eastAsia" w:ascii="Times New Roman" w:hAnsi="Times New Roman" w:eastAsia="Segoe UI" w:cs="Times New Roman"/>
          <w:b/>
          <w:bCs/>
          <w:i w:val="0"/>
          <w:iCs w:val="0"/>
          <w:caps w:val="0"/>
          <w:color w:val="1F2329"/>
          <w:spacing w:val="0"/>
          <w:sz w:val="21"/>
          <w:szCs w:val="21"/>
          <w:shd w:val="clear" w:fill="FFFFFF"/>
          <w:lang w:val="en-US" w:eastAsia="zh-CN"/>
        </w:rPr>
        <w:t>8</w:t>
      </w:r>
      <w:r>
        <w:rPr>
          <w:rFonts w:hint="eastAsia" w:ascii="Times New Roman" w:hAnsi="Times New Roman" w:eastAsia="宋体" w:cs="Times New Roman"/>
          <w:b/>
          <w:bCs/>
          <w:i w:val="0"/>
          <w:iCs w:val="0"/>
          <w:caps w:val="0"/>
          <w:color w:val="1F2329"/>
          <w:spacing w:val="0"/>
          <w:sz w:val="21"/>
          <w:szCs w:val="21"/>
          <w:shd w:val="clear" w:fill="FFFFFF"/>
          <w:lang w:val="en-US" w:eastAsia="zh-CN"/>
        </w:rPr>
        <w:t xml:space="preserve">. </w:t>
      </w:r>
      <w:r>
        <w:rPr>
          <w:rFonts w:hint="default" w:ascii="Times New Roman" w:hAnsi="Times New Roman" w:eastAsia="Segoe UI" w:cs="Times New Roman"/>
          <w:b/>
          <w:bCs/>
          <w:i w:val="0"/>
          <w:iCs w:val="0"/>
          <w:caps w:val="0"/>
          <w:color w:val="1F2329"/>
          <w:spacing w:val="0"/>
          <w:sz w:val="21"/>
          <w:szCs w:val="21"/>
          <w:shd w:val="clear" w:fill="FFFFFF"/>
        </w:rPr>
        <w:t>Gating Strategy for D</w:t>
      </w:r>
      <w:r>
        <w:rPr>
          <w:rFonts w:hint="eastAsia" w:ascii="Times New Roman" w:hAnsi="Times New Roman" w:eastAsia="Segoe UI" w:cs="Times New Roman"/>
          <w:b/>
          <w:bCs/>
          <w:i w:val="0"/>
          <w:iCs w:val="0"/>
          <w:caps w:val="0"/>
          <w:color w:val="1F2329"/>
          <w:spacing w:val="0"/>
          <w:sz w:val="21"/>
          <w:szCs w:val="21"/>
          <w:shd w:val="clear" w:fill="FFFFFF"/>
          <w:lang w:val="en-US" w:eastAsia="zh-CN"/>
        </w:rPr>
        <w:t>C</w:t>
      </w:r>
      <w:r>
        <w:rPr>
          <w:rFonts w:hint="default" w:ascii="Times New Roman" w:hAnsi="Times New Roman" w:eastAsia="Segoe UI" w:cs="Times New Roman"/>
          <w:b/>
          <w:bCs/>
          <w:i w:val="0"/>
          <w:iCs w:val="0"/>
          <w:caps w:val="0"/>
          <w:color w:val="1F2329"/>
          <w:spacing w:val="0"/>
          <w:sz w:val="21"/>
          <w:szCs w:val="21"/>
          <w:shd w:val="clear" w:fill="FFFFFF"/>
        </w:rPr>
        <w:t xml:space="preserve"> Subsets (cDC1, cDC2, pDC) Flow Cytometry</w:t>
      </w:r>
    </w:p>
    <w:p w14:paraId="0ED6D970">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544B51F7">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0CF75807">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eastAsia"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Further gating is performed as follows: CD11c⁺</w:t>
      </w:r>
      <w:r>
        <w:rPr>
          <w:rFonts w:hint="eastAsia" w:ascii="Times New Roman" w:hAnsi="Times New Roman" w:eastAsia="宋体" w:cs="Times New Roman"/>
          <w:i w:val="0"/>
          <w:iCs w:val="0"/>
          <w:caps w:val="0"/>
          <w:color w:val="1F2329"/>
          <w:spacing w:val="0"/>
          <w:sz w:val="21"/>
          <w:szCs w:val="21"/>
          <w:shd w:val="clear" w:fill="FFFFFF"/>
          <w:vertAlign w:val="superscript"/>
          <w:lang w:val="en-US" w:eastAsia="zh-CN"/>
        </w:rPr>
        <w:t xml:space="preserve"> </w:t>
      </w:r>
      <w:r>
        <w:rPr>
          <w:rFonts w:hint="default" w:ascii="Times New Roman" w:hAnsi="Times New Roman" w:eastAsia="Segoe UI" w:cs="Times New Roman"/>
          <w:i w:val="0"/>
          <w:iCs w:val="0"/>
          <w:caps w:val="0"/>
          <w:color w:val="1F2329"/>
          <w:spacing w:val="0"/>
          <w:sz w:val="21"/>
          <w:szCs w:val="21"/>
          <w:shd w:val="clear" w:fill="FFFFFF"/>
        </w:rPr>
        <w:t>CD8α⁺ cell population is gated as cDC1; CD11c⁺ CD11b⁺ population is gated as cDC2; CD11c⁺ B220⁺ cells are gated as pDC.</w:t>
      </w:r>
    </w:p>
    <w:p w14:paraId="5DEE0AC6">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default" w:ascii="Times New Roman" w:hAnsi="Times New Roman" w:cs="Times New Roman"/>
          <w:b/>
          <w:bCs/>
          <w:sz w:val="24"/>
          <w:szCs w:val="24"/>
        </w:rPr>
      </w:pPr>
    </w:p>
    <w:p w14:paraId="70A4D5AC">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default" w:ascii="Times New Roman" w:hAnsi="Times New Roman" w:cs="Times New Roman"/>
          <w:b/>
          <w:bCs/>
          <w:sz w:val="24"/>
          <w:szCs w:val="24"/>
        </w:rPr>
      </w:pPr>
    </w:p>
    <w:p w14:paraId="7BAB7C13">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default" w:ascii="Times New Roman" w:hAnsi="Times New Roman" w:cs="Times New Roman"/>
          <w:b/>
          <w:bCs/>
          <w:sz w:val="24"/>
          <w:szCs w:val="24"/>
        </w:rPr>
      </w:pPr>
    </w:p>
    <w:p w14:paraId="1A5896DD">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9</w:t>
      </w:r>
    </w:p>
    <w:p w14:paraId="36B11FB1">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5325110" cy="3359785"/>
            <wp:effectExtent l="0" t="0" r="8890" b="2540"/>
            <wp:docPr id="11" name="图片 11" descr="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9"/>
                    <pic:cNvPicPr>
                      <a:picLocks noChangeAspect="1"/>
                    </pic:cNvPicPr>
                  </pic:nvPicPr>
                  <pic:blipFill>
                    <a:blip r:embed="rId12"/>
                    <a:stretch>
                      <a:fillRect/>
                    </a:stretch>
                  </pic:blipFill>
                  <pic:spPr>
                    <a:xfrm>
                      <a:off x="0" y="0"/>
                      <a:ext cx="5325110" cy="3359785"/>
                    </a:xfrm>
                    <a:prstGeom prst="rect">
                      <a:avLst/>
                    </a:prstGeom>
                  </pic:spPr>
                </pic:pic>
              </a:graphicData>
            </a:graphic>
          </wp:inline>
        </w:drawing>
      </w:r>
    </w:p>
    <w:p w14:paraId="23EC5CF0">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b/>
          <w:bCs/>
          <w:i w:val="0"/>
          <w:iCs w:val="0"/>
          <w:caps w:val="0"/>
          <w:color w:val="1F2329"/>
          <w:spacing w:val="0"/>
          <w:sz w:val="21"/>
          <w:szCs w:val="21"/>
          <w:shd w:val="clear" w:fill="FFFFFF"/>
          <w:lang w:val="en-US" w:eastAsia="zh-CN"/>
        </w:rPr>
      </w:pPr>
      <w:r>
        <w:rPr>
          <w:rFonts w:hint="default" w:ascii="Times New Roman" w:hAnsi="Times New Roman" w:eastAsia="Segoe UI" w:cs="Times New Roman"/>
          <w:b/>
          <w:bCs/>
          <w:i w:val="0"/>
          <w:iCs w:val="0"/>
          <w:caps w:val="0"/>
          <w:color w:val="1F2329"/>
          <w:spacing w:val="0"/>
          <w:sz w:val="21"/>
          <w:szCs w:val="21"/>
          <w:shd w:val="clear" w:fill="FFFFFF"/>
        </w:rPr>
        <w:t>S</w:t>
      </w:r>
      <w:r>
        <w:rPr>
          <w:rFonts w:hint="eastAsia" w:ascii="Times New Roman" w:hAnsi="Times New Roman" w:eastAsia="Segoe UI" w:cs="Times New Roman"/>
          <w:b/>
          <w:bCs/>
          <w:i w:val="0"/>
          <w:iCs w:val="0"/>
          <w:caps w:val="0"/>
          <w:color w:val="1F2329"/>
          <w:spacing w:val="0"/>
          <w:sz w:val="21"/>
          <w:szCs w:val="21"/>
          <w:shd w:val="clear" w:fill="FFFFFF"/>
          <w:lang w:val="en-US" w:eastAsia="zh-CN"/>
        </w:rPr>
        <w:t>9.</w:t>
      </w:r>
      <w:r>
        <w:rPr>
          <w:rFonts w:hint="default" w:ascii="Times New Roman" w:hAnsi="Times New Roman" w:eastAsia="Segoe UI" w:cs="Times New Roman"/>
          <w:b/>
          <w:bCs/>
          <w:i w:val="0"/>
          <w:iCs w:val="0"/>
          <w:caps w:val="0"/>
          <w:color w:val="1F2329"/>
          <w:spacing w:val="0"/>
          <w:sz w:val="21"/>
          <w:szCs w:val="21"/>
          <w:shd w:val="clear" w:fill="FFFFFF"/>
        </w:rPr>
        <w:t xml:space="preserve"> Gating Strategy for </w:t>
      </w:r>
      <w:r>
        <w:rPr>
          <w:rFonts w:hint="eastAsia" w:ascii="Times New Roman" w:hAnsi="Times New Roman" w:eastAsia="宋体" w:cs="Times New Roman"/>
          <w:b/>
          <w:bCs/>
          <w:i w:val="0"/>
          <w:iCs w:val="0"/>
          <w:caps w:val="0"/>
          <w:color w:val="1F2329"/>
          <w:spacing w:val="0"/>
          <w:sz w:val="21"/>
          <w:szCs w:val="21"/>
          <w:shd w:val="clear" w:fill="FFFFFF"/>
          <w:lang w:val="en-US" w:eastAsia="zh-CN"/>
        </w:rPr>
        <w:t>Mature DC</w:t>
      </w:r>
      <w:r>
        <w:rPr>
          <w:rFonts w:hint="default" w:ascii="Times New Roman" w:hAnsi="Times New Roman" w:eastAsia="Segoe UI" w:cs="Times New Roman"/>
          <w:b/>
          <w:bCs/>
          <w:i w:val="0"/>
          <w:iCs w:val="0"/>
          <w:caps w:val="0"/>
          <w:color w:val="1F2329"/>
          <w:spacing w:val="0"/>
          <w:sz w:val="21"/>
          <w:szCs w:val="21"/>
          <w:shd w:val="clear" w:fill="FFFFFF"/>
        </w:rPr>
        <w:t xml:space="preserve"> Flow Cytometry</w:t>
      </w:r>
    </w:p>
    <w:p w14:paraId="1FA61B35">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21C66FC4">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17118151">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eastAsia" w:ascii="Times New Roman" w:hAnsi="Times New Roman" w:cs="Times New Roman" w:eastAsiaTheme="minorEastAsia"/>
          <w:b/>
          <w:bCs/>
          <w:sz w:val="24"/>
          <w:szCs w:val="24"/>
          <w:lang w:eastAsia="zh-CN"/>
        </w:rPr>
      </w:pPr>
      <w:r>
        <w:rPr>
          <w:rFonts w:hint="default" w:ascii="Times New Roman" w:hAnsi="Times New Roman" w:eastAsia="Segoe UI" w:cs="Times New Roman"/>
          <w:i w:val="0"/>
          <w:iCs w:val="0"/>
          <w:caps w:val="0"/>
          <w:color w:val="1F2329"/>
          <w:spacing w:val="0"/>
          <w:sz w:val="21"/>
          <w:szCs w:val="21"/>
          <w:shd w:val="clear" w:fill="FFFFFF"/>
        </w:rPr>
        <w:t>Further gating is performed as follows: CD11c⁺</w:t>
      </w:r>
      <w:r>
        <w:rPr>
          <w:rFonts w:hint="eastAsia" w:ascii="Times New Roman" w:hAnsi="Times New Roman" w:eastAsia="宋体" w:cs="Times New Roman"/>
          <w:i w:val="0"/>
          <w:iCs w:val="0"/>
          <w:caps w:val="0"/>
          <w:color w:val="1F2329"/>
          <w:spacing w:val="0"/>
          <w:sz w:val="21"/>
          <w:szCs w:val="21"/>
          <w:shd w:val="clear" w:fill="FFFFFF"/>
          <w:lang w:val="en-US" w:eastAsia="zh-CN"/>
        </w:rPr>
        <w:t xml:space="preserve"> MHC-II</w:t>
      </w:r>
      <w:r>
        <w:rPr>
          <w:rFonts w:hint="default" w:ascii="Times New Roman" w:hAnsi="Times New Roman" w:eastAsia="Segoe UI" w:cs="Times New Roman"/>
          <w:i w:val="0"/>
          <w:iCs w:val="0"/>
          <w:caps w:val="0"/>
          <w:color w:val="1F2329"/>
          <w:spacing w:val="0"/>
          <w:sz w:val="21"/>
          <w:szCs w:val="21"/>
          <w:shd w:val="clear" w:fill="FFFFFF"/>
        </w:rPr>
        <w:t xml:space="preserve">⁺ cell population is gated as </w:t>
      </w:r>
      <w:r>
        <w:rPr>
          <w:rFonts w:hint="eastAsia" w:ascii="Times New Roman" w:hAnsi="Times New Roman" w:eastAsia="宋体" w:cs="Times New Roman"/>
          <w:i w:val="0"/>
          <w:iCs w:val="0"/>
          <w:caps w:val="0"/>
          <w:color w:val="1F2329"/>
          <w:spacing w:val="0"/>
          <w:sz w:val="21"/>
          <w:szCs w:val="21"/>
          <w:shd w:val="clear" w:fill="FFFFFF"/>
          <w:lang w:val="en-US" w:eastAsia="zh-CN"/>
        </w:rPr>
        <w:t>Mature DC</w:t>
      </w:r>
      <w:r>
        <w:rPr>
          <w:rFonts w:hint="default" w:ascii="Times New Roman" w:hAnsi="Times New Roman" w:eastAsia="Segoe UI" w:cs="Times New Roman"/>
          <w:i w:val="0"/>
          <w:iCs w:val="0"/>
          <w:caps w:val="0"/>
          <w:color w:val="1F2329"/>
          <w:spacing w:val="0"/>
          <w:sz w:val="21"/>
          <w:szCs w:val="21"/>
          <w:shd w:val="clear" w:fill="FFFFFF"/>
        </w:rPr>
        <w:t>.</w:t>
      </w:r>
    </w:p>
    <w:p w14:paraId="54AD6740">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eastAsiaTheme="minorEastAsia"/>
          <w:b/>
          <w:bCs/>
          <w:sz w:val="24"/>
          <w:szCs w:val="24"/>
          <w:lang w:eastAsia="zh-CN"/>
        </w:rPr>
      </w:pPr>
    </w:p>
    <w:p w14:paraId="3444C92F">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10</w:t>
      </w:r>
    </w:p>
    <w:p w14:paraId="6F6556C0">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252720" cy="1056640"/>
            <wp:effectExtent l="0" t="0" r="5080" b="635"/>
            <wp:docPr id="12" name="图片 12" desc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10"/>
                    <pic:cNvPicPr>
                      <a:picLocks noChangeAspect="1"/>
                    </pic:cNvPicPr>
                  </pic:nvPicPr>
                  <pic:blipFill>
                    <a:blip r:embed="rId13"/>
                    <a:stretch>
                      <a:fillRect/>
                    </a:stretch>
                  </pic:blipFill>
                  <pic:spPr>
                    <a:xfrm>
                      <a:off x="0" y="0"/>
                      <a:ext cx="5252720" cy="1056640"/>
                    </a:xfrm>
                    <a:prstGeom prst="rect">
                      <a:avLst/>
                    </a:prstGeom>
                  </pic:spPr>
                </pic:pic>
              </a:graphicData>
            </a:graphic>
          </wp:inline>
        </w:drawing>
      </w:r>
    </w:p>
    <w:p w14:paraId="22E5B2E9">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b/>
          <w:bCs/>
          <w:i w:val="0"/>
          <w:iCs w:val="0"/>
          <w:caps w:val="0"/>
          <w:color w:val="1F2329"/>
          <w:spacing w:val="0"/>
          <w:sz w:val="21"/>
          <w:szCs w:val="21"/>
          <w:shd w:val="clear" w:fill="FFFFFF"/>
          <w:lang w:val="en-US" w:eastAsia="zh-CN"/>
        </w:rPr>
      </w:pPr>
      <w:r>
        <w:rPr>
          <w:rFonts w:hint="default" w:ascii="Times New Roman" w:hAnsi="Times New Roman" w:eastAsia="Segoe UI" w:cs="Times New Roman"/>
          <w:b/>
          <w:bCs/>
          <w:i w:val="0"/>
          <w:iCs w:val="0"/>
          <w:caps w:val="0"/>
          <w:color w:val="1F2329"/>
          <w:spacing w:val="0"/>
          <w:sz w:val="21"/>
          <w:szCs w:val="21"/>
          <w:shd w:val="clear" w:fill="FFFFFF"/>
        </w:rPr>
        <w:t>S</w:t>
      </w:r>
      <w:r>
        <w:rPr>
          <w:rFonts w:hint="eastAsia" w:ascii="Times New Roman" w:hAnsi="Times New Roman" w:eastAsia="Segoe UI" w:cs="Times New Roman"/>
          <w:b/>
          <w:bCs/>
          <w:i w:val="0"/>
          <w:iCs w:val="0"/>
          <w:caps w:val="0"/>
          <w:color w:val="1F2329"/>
          <w:spacing w:val="0"/>
          <w:sz w:val="21"/>
          <w:szCs w:val="21"/>
          <w:shd w:val="clear" w:fill="FFFFFF"/>
          <w:lang w:val="en-US" w:eastAsia="zh-CN"/>
        </w:rPr>
        <w:t>10</w:t>
      </w:r>
      <w:r>
        <w:rPr>
          <w:rFonts w:hint="default" w:ascii="Times New Roman" w:hAnsi="Times New Roman" w:eastAsia="Segoe UI" w:cs="Times New Roman"/>
          <w:b/>
          <w:bCs/>
          <w:i w:val="0"/>
          <w:iCs w:val="0"/>
          <w:caps w:val="0"/>
          <w:color w:val="1F2329"/>
          <w:spacing w:val="0"/>
          <w:sz w:val="21"/>
          <w:szCs w:val="21"/>
          <w:shd w:val="clear" w:fill="FFFFFF"/>
        </w:rPr>
        <w:t>: Gating Strategy for</w:t>
      </w:r>
      <w:r>
        <w:rPr>
          <w:rFonts w:hint="eastAsia" w:ascii="Times New Roman" w:hAnsi="Times New Roman" w:eastAsia="宋体" w:cs="Times New Roman"/>
          <w:b/>
          <w:bCs/>
          <w:i w:val="0"/>
          <w:iCs w:val="0"/>
          <w:caps w:val="0"/>
          <w:color w:val="1F2329"/>
          <w:spacing w:val="0"/>
          <w:sz w:val="21"/>
          <w:szCs w:val="21"/>
          <w:shd w:val="clear" w:fill="FFFFFF"/>
          <w:lang w:val="en-US" w:eastAsia="zh-CN"/>
        </w:rPr>
        <w:t xml:space="preserve"> B cell</w:t>
      </w:r>
      <w:r>
        <w:rPr>
          <w:rFonts w:hint="default" w:ascii="Times New Roman" w:hAnsi="Times New Roman" w:eastAsia="Segoe UI" w:cs="Times New Roman"/>
          <w:b/>
          <w:bCs/>
          <w:i w:val="0"/>
          <w:iCs w:val="0"/>
          <w:caps w:val="0"/>
          <w:color w:val="1F2329"/>
          <w:spacing w:val="0"/>
          <w:sz w:val="21"/>
          <w:szCs w:val="21"/>
          <w:shd w:val="clear" w:fill="FFFFFF"/>
        </w:rPr>
        <w:t xml:space="preserve"> Flow Cytometry</w:t>
      </w:r>
    </w:p>
    <w:p w14:paraId="4A1D8C93">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58E21AEF">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1F59518E">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Screening of </w:t>
      </w:r>
      <w:r>
        <w:rPr>
          <w:rFonts w:hint="eastAsia" w:ascii="Times New Roman" w:hAnsi="Times New Roman" w:eastAsia="宋体" w:cs="Times New Roman"/>
          <w:i w:val="0"/>
          <w:iCs w:val="0"/>
          <w:caps w:val="0"/>
          <w:color w:val="1F2329"/>
          <w:spacing w:val="0"/>
          <w:sz w:val="21"/>
          <w:szCs w:val="21"/>
          <w:shd w:val="clear" w:fill="FFFFFF"/>
          <w:lang w:val="en-US" w:eastAsia="zh-CN"/>
        </w:rPr>
        <w:t>Live cell:</w:t>
      </w:r>
      <w:r>
        <w:rPr>
          <w:rFonts w:hint="default" w:ascii="Times New Roman" w:hAnsi="Times New Roman" w:eastAsia="Segoe UI" w:cs="Times New Roman"/>
          <w:i w:val="0"/>
          <w:iCs w:val="0"/>
          <w:caps w:val="0"/>
          <w:color w:val="1F2329"/>
          <w:spacing w:val="0"/>
          <w:sz w:val="21"/>
          <w:szCs w:val="21"/>
          <w:shd w:val="clear" w:fill="FFFFFF"/>
        </w:rPr>
        <w:t xml:space="preserve"> </w:t>
      </w:r>
      <w:r>
        <w:rPr>
          <w:rFonts w:hint="eastAsia" w:ascii="Times New Roman" w:hAnsi="Times New Roman" w:eastAsia="宋体" w:cs="Times New Roman"/>
          <w:i w:val="0"/>
          <w:iCs w:val="0"/>
          <w:caps w:val="0"/>
          <w:color w:val="1F2329"/>
          <w:spacing w:val="0"/>
          <w:sz w:val="21"/>
          <w:szCs w:val="21"/>
          <w:shd w:val="clear" w:fill="FFFFFF"/>
          <w:lang w:val="en-US" w:eastAsia="zh-CN"/>
        </w:rPr>
        <w:t>Live</w:t>
      </w:r>
      <w:r>
        <w:rPr>
          <w:rFonts w:hint="default" w:ascii="Times New Roman" w:hAnsi="Times New Roman" w:eastAsia="Segoe UI" w:cs="Times New Roman"/>
          <w:i w:val="0"/>
          <w:iCs w:val="0"/>
          <w:caps w:val="0"/>
          <w:color w:val="1F2329"/>
          <w:spacing w:val="0"/>
          <w:sz w:val="21"/>
          <w:szCs w:val="21"/>
          <w:shd w:val="clear" w:fill="FFFFFF"/>
        </w:rPr>
        <w:t xml:space="preserve"> cell dyes are used to delineate the viable cell population. </w:t>
      </w:r>
    </w:p>
    <w:p w14:paraId="5597AAF6">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Exclusion of T Cell</w:t>
      </w:r>
      <w:r>
        <w:rPr>
          <w:rFonts w:hint="eastAsia" w:ascii="Times New Roman" w:hAnsi="Times New Roman" w:eastAsia="宋体" w:cs="Times New Roman"/>
          <w:i w:val="0"/>
          <w:iCs w:val="0"/>
          <w:caps w:val="0"/>
          <w:color w:val="1F2329"/>
          <w:spacing w:val="0"/>
          <w:sz w:val="21"/>
          <w:szCs w:val="21"/>
          <w:shd w:val="clear" w:fill="FFFFFF"/>
          <w:lang w:val="en-US" w:eastAsia="zh-CN"/>
        </w:rPr>
        <w:t>:</w:t>
      </w:r>
      <w:r>
        <w:rPr>
          <w:rFonts w:hint="default" w:ascii="Times New Roman" w:hAnsi="Times New Roman" w:eastAsia="Segoe UI" w:cs="Times New Roman"/>
          <w:i w:val="0"/>
          <w:iCs w:val="0"/>
          <w:caps w:val="0"/>
          <w:color w:val="1F2329"/>
          <w:spacing w:val="0"/>
          <w:sz w:val="21"/>
          <w:szCs w:val="21"/>
          <w:shd w:val="clear" w:fill="FFFFFF"/>
        </w:rPr>
        <w:t xml:space="preserve"> Contamination Within the viable cell gate, CD3⁻ cells are selected . </w:t>
      </w:r>
    </w:p>
    <w:p w14:paraId="1458269C">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Targeting B Cells</w:t>
      </w:r>
      <w:r>
        <w:rPr>
          <w:rFonts w:hint="eastAsia" w:ascii="Times New Roman" w:hAnsi="Times New Roman" w:eastAsia="宋体" w:cs="Times New Roman"/>
          <w:i w:val="0"/>
          <w:iCs w:val="0"/>
          <w:caps w:val="0"/>
          <w:color w:val="1F2329"/>
          <w:spacing w:val="0"/>
          <w:sz w:val="21"/>
          <w:szCs w:val="21"/>
          <w:shd w:val="clear" w:fill="FFFFFF"/>
          <w:lang w:val="en-US" w:eastAsia="zh-CN"/>
        </w:rPr>
        <w:t>:</w:t>
      </w:r>
      <w:r>
        <w:rPr>
          <w:rFonts w:hint="default" w:ascii="Times New Roman" w:hAnsi="Times New Roman" w:eastAsia="Segoe UI" w:cs="Times New Roman"/>
          <w:i w:val="0"/>
          <w:iCs w:val="0"/>
          <w:caps w:val="0"/>
          <w:color w:val="1F2329"/>
          <w:spacing w:val="0"/>
          <w:sz w:val="21"/>
          <w:szCs w:val="21"/>
          <w:shd w:val="clear" w:fill="FFFFFF"/>
        </w:rPr>
        <w:t xml:space="preserve"> From the CD3⁻ cell population, B220⁺ cells (a B cell-specific marker) are screened to obtain the target mature B cells. </w:t>
      </w:r>
    </w:p>
    <w:p w14:paraId="2E241D2D">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p>
    <w:p w14:paraId="1CF0B75C">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11</w:t>
      </w:r>
    </w:p>
    <w:p w14:paraId="625F25BA">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264150" cy="1087120"/>
            <wp:effectExtent l="0" t="0" r="3175" b="8255"/>
            <wp:docPr id="13" name="图片 13" descr="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11"/>
                    <pic:cNvPicPr>
                      <a:picLocks noChangeAspect="1"/>
                    </pic:cNvPicPr>
                  </pic:nvPicPr>
                  <pic:blipFill>
                    <a:blip r:embed="rId14"/>
                    <a:stretch>
                      <a:fillRect/>
                    </a:stretch>
                  </pic:blipFill>
                  <pic:spPr>
                    <a:xfrm>
                      <a:off x="0" y="0"/>
                      <a:ext cx="5264150" cy="1087120"/>
                    </a:xfrm>
                    <a:prstGeom prst="rect">
                      <a:avLst/>
                    </a:prstGeom>
                  </pic:spPr>
                </pic:pic>
              </a:graphicData>
            </a:graphic>
          </wp:inline>
        </w:drawing>
      </w:r>
    </w:p>
    <w:p w14:paraId="22534D08">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b/>
          <w:bCs/>
          <w:i w:val="0"/>
          <w:iCs w:val="0"/>
          <w:caps w:val="0"/>
          <w:color w:val="1F2329"/>
          <w:spacing w:val="0"/>
          <w:sz w:val="21"/>
          <w:szCs w:val="21"/>
          <w:shd w:val="clear" w:fill="FFFFFF"/>
          <w:lang w:val="en-US" w:eastAsia="zh-CN"/>
        </w:rPr>
      </w:pPr>
      <w:r>
        <w:rPr>
          <w:rFonts w:hint="default" w:ascii="Times New Roman" w:hAnsi="Times New Roman" w:eastAsia="Segoe UI" w:cs="Times New Roman"/>
          <w:b/>
          <w:bCs/>
          <w:i w:val="0"/>
          <w:iCs w:val="0"/>
          <w:caps w:val="0"/>
          <w:color w:val="1F2329"/>
          <w:spacing w:val="0"/>
          <w:sz w:val="21"/>
          <w:szCs w:val="21"/>
          <w:shd w:val="clear" w:fill="FFFFFF"/>
        </w:rPr>
        <w:t>S</w:t>
      </w:r>
      <w:r>
        <w:rPr>
          <w:rFonts w:hint="eastAsia" w:ascii="Times New Roman" w:hAnsi="Times New Roman" w:eastAsia="Segoe UI" w:cs="Times New Roman"/>
          <w:b/>
          <w:bCs/>
          <w:i w:val="0"/>
          <w:iCs w:val="0"/>
          <w:caps w:val="0"/>
          <w:color w:val="1F2329"/>
          <w:spacing w:val="0"/>
          <w:sz w:val="21"/>
          <w:szCs w:val="21"/>
          <w:shd w:val="clear" w:fill="FFFFFF"/>
          <w:lang w:val="en-US" w:eastAsia="zh-CN"/>
        </w:rPr>
        <w:t>11</w:t>
      </w:r>
      <w:r>
        <w:rPr>
          <w:rFonts w:hint="default" w:ascii="Times New Roman" w:hAnsi="Times New Roman" w:eastAsia="Segoe UI" w:cs="Times New Roman"/>
          <w:b/>
          <w:bCs/>
          <w:i w:val="0"/>
          <w:iCs w:val="0"/>
          <w:caps w:val="0"/>
          <w:color w:val="1F2329"/>
          <w:spacing w:val="0"/>
          <w:sz w:val="21"/>
          <w:szCs w:val="21"/>
          <w:shd w:val="clear" w:fill="FFFFFF"/>
        </w:rPr>
        <w:t xml:space="preserve">: Gating Strategy for </w:t>
      </w:r>
      <w:r>
        <w:rPr>
          <w:rFonts w:hint="eastAsia" w:ascii="Times New Roman" w:hAnsi="Times New Roman" w:eastAsia="宋体" w:cs="Times New Roman"/>
          <w:b/>
          <w:bCs/>
          <w:i w:val="0"/>
          <w:iCs w:val="0"/>
          <w:caps w:val="0"/>
          <w:color w:val="1F2329"/>
          <w:spacing w:val="0"/>
          <w:sz w:val="21"/>
          <w:szCs w:val="21"/>
          <w:shd w:val="clear" w:fill="FFFFFF"/>
          <w:lang w:val="en-US" w:eastAsia="zh-CN"/>
        </w:rPr>
        <w:t>TFH</w:t>
      </w:r>
      <w:r>
        <w:rPr>
          <w:rFonts w:hint="default" w:ascii="Times New Roman" w:hAnsi="Times New Roman" w:eastAsia="Segoe UI" w:cs="Times New Roman"/>
          <w:b/>
          <w:bCs/>
          <w:i w:val="0"/>
          <w:iCs w:val="0"/>
          <w:caps w:val="0"/>
          <w:color w:val="1F2329"/>
          <w:spacing w:val="0"/>
          <w:sz w:val="21"/>
          <w:szCs w:val="21"/>
          <w:shd w:val="clear" w:fill="FFFFFF"/>
        </w:rPr>
        <w:t xml:space="preserve"> Flow Cytometry</w:t>
      </w:r>
    </w:p>
    <w:p w14:paraId="0715FEB0">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48FA970B">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1B2A5F99">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eastAsia" w:ascii="Times New Roman" w:hAnsi="Times New Roman" w:cs="Times New Roman"/>
          <w:b/>
          <w:bCs/>
          <w:sz w:val="24"/>
          <w:szCs w:val="24"/>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Screening of </w:t>
      </w:r>
      <w:r>
        <w:rPr>
          <w:rFonts w:hint="eastAsia" w:ascii="Times New Roman" w:hAnsi="Times New Roman" w:eastAsia="宋体" w:cs="Times New Roman"/>
          <w:i w:val="0"/>
          <w:iCs w:val="0"/>
          <w:caps w:val="0"/>
          <w:color w:val="1F2329"/>
          <w:spacing w:val="0"/>
          <w:sz w:val="21"/>
          <w:szCs w:val="21"/>
          <w:shd w:val="clear" w:fill="FFFFFF"/>
          <w:lang w:val="en-US" w:eastAsia="zh-CN"/>
        </w:rPr>
        <w:t>Live cell:</w:t>
      </w:r>
      <w:r>
        <w:rPr>
          <w:rFonts w:hint="default" w:ascii="Times New Roman" w:hAnsi="Times New Roman" w:eastAsia="Segoe UI" w:cs="Times New Roman"/>
          <w:i w:val="0"/>
          <w:iCs w:val="0"/>
          <w:caps w:val="0"/>
          <w:color w:val="1F2329"/>
          <w:spacing w:val="0"/>
          <w:sz w:val="21"/>
          <w:szCs w:val="21"/>
          <w:shd w:val="clear" w:fill="FFFFFF"/>
        </w:rPr>
        <w:t xml:space="preserve"> </w:t>
      </w:r>
      <w:r>
        <w:rPr>
          <w:rFonts w:hint="eastAsia" w:ascii="Times New Roman" w:hAnsi="Times New Roman" w:eastAsia="宋体" w:cs="Times New Roman"/>
          <w:i w:val="0"/>
          <w:iCs w:val="0"/>
          <w:caps w:val="0"/>
          <w:color w:val="1F2329"/>
          <w:spacing w:val="0"/>
          <w:sz w:val="21"/>
          <w:szCs w:val="21"/>
          <w:shd w:val="clear" w:fill="FFFFFF"/>
          <w:lang w:val="en-US" w:eastAsia="zh-CN"/>
        </w:rPr>
        <w:t>Live</w:t>
      </w:r>
      <w:r>
        <w:rPr>
          <w:rFonts w:hint="default" w:ascii="Times New Roman" w:hAnsi="Times New Roman" w:eastAsia="Segoe UI" w:cs="Times New Roman"/>
          <w:i w:val="0"/>
          <w:iCs w:val="0"/>
          <w:caps w:val="0"/>
          <w:color w:val="1F2329"/>
          <w:spacing w:val="0"/>
          <w:sz w:val="21"/>
          <w:szCs w:val="21"/>
          <w:shd w:val="clear" w:fill="FFFFFF"/>
        </w:rPr>
        <w:t xml:space="preserve"> cell dyes are used to delineate the viable cell population. </w:t>
      </w:r>
    </w:p>
    <w:p w14:paraId="57339253">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eastAsia" w:ascii="Times New Roman" w:hAnsi="Times New Roman" w:cs="Times New Roman"/>
          <w:b/>
          <w:bCs/>
          <w:sz w:val="24"/>
          <w:szCs w:val="24"/>
          <w:lang w:val="en-US" w:eastAsia="zh-CN"/>
        </w:rPr>
      </w:pPr>
      <w:r>
        <w:rPr>
          <w:rFonts w:hint="default" w:ascii="Times New Roman" w:hAnsi="Times New Roman" w:eastAsia="Segoe UI" w:cs="Times New Roman"/>
          <w:i w:val="0"/>
          <w:iCs w:val="0"/>
          <w:caps w:val="0"/>
          <w:color w:val="1F2329"/>
          <w:spacing w:val="0"/>
          <w:sz w:val="21"/>
          <w:szCs w:val="21"/>
          <w:shd w:val="clear" w:fill="FFFFFF"/>
        </w:rPr>
        <w:t>Enrichment of CD4⁺ T Cells</w:t>
      </w:r>
      <w:r>
        <w:rPr>
          <w:rFonts w:hint="eastAsia" w:ascii="Times New Roman" w:hAnsi="Times New Roman" w:eastAsia="宋体" w:cs="Times New Roman"/>
          <w:i w:val="0"/>
          <w:iCs w:val="0"/>
          <w:caps w:val="0"/>
          <w:color w:val="1F2329"/>
          <w:spacing w:val="0"/>
          <w:sz w:val="21"/>
          <w:szCs w:val="21"/>
          <w:shd w:val="clear" w:fill="FFFFFF"/>
          <w:lang w:val="en-US" w:eastAsia="zh-CN"/>
        </w:rPr>
        <w:t>:</w:t>
      </w:r>
      <w:r>
        <w:rPr>
          <w:rFonts w:hint="default" w:ascii="Times New Roman" w:hAnsi="Times New Roman" w:eastAsia="Segoe UI" w:cs="Times New Roman"/>
          <w:i w:val="0"/>
          <w:iCs w:val="0"/>
          <w:caps w:val="0"/>
          <w:color w:val="1F2329"/>
          <w:spacing w:val="0"/>
          <w:sz w:val="21"/>
          <w:szCs w:val="21"/>
          <w:shd w:val="clear" w:fill="FFFFFF"/>
        </w:rPr>
        <w:t xml:space="preserve"> Within the viable cell gate, the CD4⁺ T cell population is screened using anti-CD4 antibody labeling (Note: TFH is a subset of CD4⁺ T cells, and this step is critical for enrichment). </w:t>
      </w:r>
    </w:p>
    <w:p w14:paraId="29016622">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eastAsia" w:ascii="Times New Roman" w:hAnsi="Times New Roman" w:cs="Times New Roman"/>
          <w:b/>
          <w:bCs/>
          <w:sz w:val="24"/>
          <w:szCs w:val="24"/>
          <w:lang w:val="en-US" w:eastAsia="zh-CN"/>
        </w:rPr>
      </w:pPr>
      <w:r>
        <w:rPr>
          <w:rFonts w:hint="default" w:ascii="Times New Roman" w:hAnsi="Times New Roman" w:eastAsia="Segoe UI" w:cs="Times New Roman"/>
          <w:i w:val="0"/>
          <w:iCs w:val="0"/>
          <w:caps w:val="0"/>
          <w:color w:val="1F2329"/>
          <w:spacing w:val="0"/>
          <w:sz w:val="21"/>
          <w:szCs w:val="21"/>
          <w:shd w:val="clear" w:fill="FFFFFF"/>
        </w:rPr>
        <w:t>Identification of TFH-Specific Phenotype</w:t>
      </w:r>
      <w:r>
        <w:rPr>
          <w:rFonts w:hint="eastAsia" w:ascii="Times New Roman" w:hAnsi="Times New Roman" w:eastAsia="宋体" w:cs="Times New Roman"/>
          <w:i w:val="0"/>
          <w:iCs w:val="0"/>
          <w:caps w:val="0"/>
          <w:color w:val="1F2329"/>
          <w:spacing w:val="0"/>
          <w:sz w:val="21"/>
          <w:szCs w:val="21"/>
          <w:shd w:val="clear" w:fill="FFFFFF"/>
          <w:lang w:val="en-US" w:eastAsia="zh-CN"/>
        </w:rPr>
        <w:t>:</w:t>
      </w:r>
      <w:r>
        <w:rPr>
          <w:rFonts w:hint="default" w:ascii="Times New Roman" w:hAnsi="Times New Roman" w:eastAsia="Segoe UI" w:cs="Times New Roman"/>
          <w:i w:val="0"/>
          <w:iCs w:val="0"/>
          <w:caps w:val="0"/>
          <w:color w:val="1F2329"/>
          <w:spacing w:val="0"/>
          <w:sz w:val="21"/>
          <w:szCs w:val="21"/>
          <w:shd w:val="clear" w:fill="FFFFFF"/>
        </w:rPr>
        <w:t xml:space="preserve"> From the CD4⁺ cell population, CXCR5⁺</w:t>
      </w:r>
      <w:r>
        <w:rPr>
          <w:rFonts w:hint="eastAsia" w:ascii="Times New Roman" w:hAnsi="Times New Roman" w:eastAsia="宋体" w:cs="Times New Roman"/>
          <w:i w:val="0"/>
          <w:iCs w:val="0"/>
          <w:caps w:val="0"/>
          <w:color w:val="1F2329"/>
          <w:spacing w:val="0"/>
          <w:sz w:val="21"/>
          <w:szCs w:val="21"/>
          <w:shd w:val="clear" w:fill="FFFFFF"/>
          <w:lang w:val="en-US" w:eastAsia="zh-CN"/>
        </w:rPr>
        <w:t xml:space="preserve"> </w:t>
      </w:r>
      <w:r>
        <w:rPr>
          <w:rFonts w:hint="default" w:ascii="Times New Roman" w:hAnsi="Times New Roman" w:eastAsia="Segoe UI" w:cs="Times New Roman"/>
          <w:i w:val="0"/>
          <w:iCs w:val="0"/>
          <w:caps w:val="0"/>
          <w:color w:val="1F2329"/>
          <w:spacing w:val="0"/>
          <w:sz w:val="21"/>
          <w:szCs w:val="21"/>
          <w:shd w:val="clear" w:fill="FFFFFF"/>
        </w:rPr>
        <w:t xml:space="preserve">PD-1⁺ double-positive cellsare gated and screened via CXCR5/PD-1 double staining, which are defined as follicular helper T cells (TFH). </w:t>
      </w:r>
    </w:p>
    <w:p w14:paraId="06B0B654">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rPr>
      </w:pPr>
      <w:bookmarkStart w:id="0" w:name="OLE_LINK1"/>
    </w:p>
    <w:p w14:paraId="753C2558">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12</w:t>
      </w:r>
    </w:p>
    <w:bookmarkEnd w:id="0"/>
    <w:p w14:paraId="5E85C4AB">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12" w:lineRule="auto"/>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247005" cy="916940"/>
            <wp:effectExtent l="0" t="0" r="1270" b="6985"/>
            <wp:docPr id="14" name="图片 14" descr="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12"/>
                    <pic:cNvPicPr>
                      <a:picLocks noChangeAspect="1"/>
                    </pic:cNvPicPr>
                  </pic:nvPicPr>
                  <pic:blipFill>
                    <a:blip r:embed="rId15"/>
                    <a:stretch>
                      <a:fillRect/>
                    </a:stretch>
                  </pic:blipFill>
                  <pic:spPr>
                    <a:xfrm>
                      <a:off x="0" y="0"/>
                      <a:ext cx="5247005" cy="916940"/>
                    </a:xfrm>
                    <a:prstGeom prst="rect">
                      <a:avLst/>
                    </a:prstGeom>
                  </pic:spPr>
                </pic:pic>
              </a:graphicData>
            </a:graphic>
          </wp:inline>
        </w:drawing>
      </w:r>
    </w:p>
    <w:p w14:paraId="467E3E60">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b/>
          <w:bCs/>
          <w:i w:val="0"/>
          <w:iCs w:val="0"/>
          <w:caps w:val="0"/>
          <w:color w:val="1F2329"/>
          <w:spacing w:val="0"/>
          <w:sz w:val="21"/>
          <w:szCs w:val="21"/>
          <w:shd w:val="clear" w:fill="FFFFFF"/>
          <w:lang w:val="en-US" w:eastAsia="zh-CN"/>
        </w:rPr>
      </w:pPr>
      <w:r>
        <w:rPr>
          <w:rFonts w:hint="default" w:ascii="Times New Roman" w:hAnsi="Times New Roman" w:eastAsia="Segoe UI" w:cs="Times New Roman"/>
          <w:b/>
          <w:bCs/>
          <w:i w:val="0"/>
          <w:iCs w:val="0"/>
          <w:caps w:val="0"/>
          <w:color w:val="1F2329"/>
          <w:spacing w:val="0"/>
          <w:sz w:val="21"/>
          <w:szCs w:val="21"/>
          <w:shd w:val="clear" w:fill="FFFFFF"/>
        </w:rPr>
        <w:t>S</w:t>
      </w:r>
      <w:r>
        <w:rPr>
          <w:rFonts w:hint="eastAsia" w:ascii="Times New Roman" w:hAnsi="Times New Roman" w:eastAsia="Segoe UI" w:cs="Times New Roman"/>
          <w:b/>
          <w:bCs/>
          <w:i w:val="0"/>
          <w:iCs w:val="0"/>
          <w:caps w:val="0"/>
          <w:color w:val="1F2329"/>
          <w:spacing w:val="0"/>
          <w:sz w:val="21"/>
          <w:szCs w:val="21"/>
          <w:shd w:val="clear" w:fill="FFFFFF"/>
          <w:lang w:val="en-US" w:eastAsia="zh-CN"/>
        </w:rPr>
        <w:t>12</w:t>
      </w:r>
      <w:r>
        <w:rPr>
          <w:rFonts w:hint="default" w:ascii="Times New Roman" w:hAnsi="Times New Roman" w:eastAsia="Segoe UI" w:cs="Times New Roman"/>
          <w:b/>
          <w:bCs/>
          <w:i w:val="0"/>
          <w:iCs w:val="0"/>
          <w:caps w:val="0"/>
          <w:color w:val="1F2329"/>
          <w:spacing w:val="0"/>
          <w:sz w:val="21"/>
          <w:szCs w:val="21"/>
          <w:shd w:val="clear" w:fill="FFFFFF"/>
        </w:rPr>
        <w:t xml:space="preserve">: Gating Strategy for </w:t>
      </w:r>
      <w:r>
        <w:rPr>
          <w:rFonts w:hint="eastAsia" w:ascii="Times New Roman" w:hAnsi="Times New Roman" w:eastAsia="宋体" w:cs="Times New Roman"/>
          <w:b/>
          <w:bCs/>
          <w:i w:val="0"/>
          <w:iCs w:val="0"/>
          <w:caps w:val="0"/>
          <w:color w:val="1F2329"/>
          <w:spacing w:val="0"/>
          <w:sz w:val="21"/>
          <w:szCs w:val="21"/>
          <w:shd w:val="clear" w:fill="FFFFFF"/>
          <w:lang w:val="en-US" w:eastAsia="zh-CN"/>
        </w:rPr>
        <w:t>GCB</w:t>
      </w:r>
      <w:r>
        <w:rPr>
          <w:rFonts w:hint="default" w:ascii="Times New Roman" w:hAnsi="Times New Roman" w:eastAsia="Segoe UI" w:cs="Times New Roman"/>
          <w:b/>
          <w:bCs/>
          <w:i w:val="0"/>
          <w:iCs w:val="0"/>
          <w:caps w:val="0"/>
          <w:color w:val="1F2329"/>
          <w:spacing w:val="0"/>
          <w:sz w:val="21"/>
          <w:szCs w:val="21"/>
          <w:shd w:val="clear" w:fill="FFFFFF"/>
        </w:rPr>
        <w:t xml:space="preserve"> Flow Cytometry</w:t>
      </w:r>
    </w:p>
    <w:p w14:paraId="3163F3A5">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2EF6E045">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45E0C08F">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Screening of </w:t>
      </w:r>
      <w:r>
        <w:rPr>
          <w:rFonts w:hint="eastAsia" w:ascii="Times New Roman" w:hAnsi="Times New Roman" w:eastAsia="宋体" w:cs="Times New Roman"/>
          <w:i w:val="0"/>
          <w:iCs w:val="0"/>
          <w:caps w:val="0"/>
          <w:color w:val="1F2329"/>
          <w:spacing w:val="0"/>
          <w:sz w:val="21"/>
          <w:szCs w:val="21"/>
          <w:shd w:val="clear" w:fill="FFFFFF"/>
          <w:lang w:val="en-US" w:eastAsia="zh-CN"/>
        </w:rPr>
        <w:t>Live cell:</w:t>
      </w:r>
      <w:r>
        <w:rPr>
          <w:rFonts w:hint="default" w:ascii="Times New Roman" w:hAnsi="Times New Roman" w:eastAsia="Segoe UI" w:cs="Times New Roman"/>
          <w:i w:val="0"/>
          <w:iCs w:val="0"/>
          <w:caps w:val="0"/>
          <w:color w:val="1F2329"/>
          <w:spacing w:val="0"/>
          <w:sz w:val="21"/>
          <w:szCs w:val="21"/>
          <w:shd w:val="clear" w:fill="FFFFFF"/>
        </w:rPr>
        <w:t xml:space="preserve"> </w:t>
      </w:r>
      <w:r>
        <w:rPr>
          <w:rFonts w:hint="eastAsia" w:ascii="Times New Roman" w:hAnsi="Times New Roman" w:eastAsia="宋体" w:cs="Times New Roman"/>
          <w:i w:val="0"/>
          <w:iCs w:val="0"/>
          <w:caps w:val="0"/>
          <w:color w:val="1F2329"/>
          <w:spacing w:val="0"/>
          <w:sz w:val="21"/>
          <w:szCs w:val="21"/>
          <w:shd w:val="clear" w:fill="FFFFFF"/>
          <w:lang w:val="en-US" w:eastAsia="zh-CN"/>
        </w:rPr>
        <w:t>Live</w:t>
      </w:r>
      <w:r>
        <w:rPr>
          <w:rFonts w:hint="default" w:ascii="Times New Roman" w:hAnsi="Times New Roman" w:eastAsia="Segoe UI" w:cs="Times New Roman"/>
          <w:i w:val="0"/>
          <w:iCs w:val="0"/>
          <w:caps w:val="0"/>
          <w:color w:val="1F2329"/>
          <w:spacing w:val="0"/>
          <w:sz w:val="21"/>
          <w:szCs w:val="21"/>
          <w:shd w:val="clear" w:fill="FFFFFF"/>
        </w:rPr>
        <w:t xml:space="preserve"> cell dyes are used to delineate the viable cell population. </w:t>
      </w:r>
    </w:p>
    <w:p w14:paraId="0FAC9232">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Exclusion of T Cell</w:t>
      </w:r>
      <w:r>
        <w:rPr>
          <w:rFonts w:hint="eastAsia" w:ascii="Times New Roman" w:hAnsi="Times New Roman" w:eastAsia="宋体" w:cs="Times New Roman"/>
          <w:i w:val="0"/>
          <w:iCs w:val="0"/>
          <w:caps w:val="0"/>
          <w:color w:val="1F2329"/>
          <w:spacing w:val="0"/>
          <w:sz w:val="21"/>
          <w:szCs w:val="21"/>
          <w:shd w:val="clear" w:fill="FFFFFF"/>
          <w:lang w:val="en-US" w:eastAsia="zh-CN"/>
        </w:rPr>
        <w:t>:</w:t>
      </w:r>
      <w:r>
        <w:rPr>
          <w:rFonts w:hint="default" w:ascii="Times New Roman" w:hAnsi="Times New Roman" w:eastAsia="Segoe UI" w:cs="Times New Roman"/>
          <w:i w:val="0"/>
          <w:iCs w:val="0"/>
          <w:caps w:val="0"/>
          <w:color w:val="1F2329"/>
          <w:spacing w:val="0"/>
          <w:sz w:val="21"/>
          <w:szCs w:val="21"/>
          <w:shd w:val="clear" w:fill="FFFFFF"/>
        </w:rPr>
        <w:t xml:space="preserve"> Contamination Within the viable cell gate, CD3⁻ cells are selected . </w:t>
      </w:r>
    </w:p>
    <w:p w14:paraId="4D5596BF">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Enrichment of B Cells</w:t>
      </w:r>
      <w:r>
        <w:rPr>
          <w:rFonts w:hint="eastAsia" w:ascii="Times New Roman" w:hAnsi="Times New Roman" w:eastAsia="宋体" w:cs="Times New Roman"/>
          <w:i w:val="0"/>
          <w:iCs w:val="0"/>
          <w:caps w:val="0"/>
          <w:color w:val="1F2329"/>
          <w:spacing w:val="0"/>
          <w:sz w:val="21"/>
          <w:szCs w:val="21"/>
          <w:shd w:val="clear" w:fill="FFFFFF"/>
          <w:lang w:val="en-US" w:eastAsia="zh-CN"/>
        </w:rPr>
        <w:t>:</w:t>
      </w:r>
      <w:r>
        <w:rPr>
          <w:rFonts w:hint="default" w:ascii="Times New Roman" w:hAnsi="Times New Roman" w:eastAsia="Segoe UI" w:cs="Times New Roman"/>
          <w:i w:val="0"/>
          <w:iCs w:val="0"/>
          <w:caps w:val="0"/>
          <w:color w:val="1F2329"/>
          <w:spacing w:val="0"/>
          <w:sz w:val="21"/>
          <w:szCs w:val="21"/>
          <w:shd w:val="clear" w:fill="FFFFFF"/>
        </w:rPr>
        <w:t xml:space="preserve"> From the CD3⁻ cell population, B220⁺ cells are screened via labeling with anti-B220 antibody to obtain mature B cells. </w:t>
      </w:r>
    </w:p>
    <w:p w14:paraId="0F0C60B0">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Identification of Germinal Center B Cells (GCB) Within the B220⁺ cell population, FAS⁺GL7⁺ double-positive cells</w:t>
      </w:r>
      <w:r>
        <w:rPr>
          <w:rFonts w:hint="eastAsia" w:ascii="Times New Roman" w:hAnsi="Times New Roman" w:eastAsia="宋体" w:cs="Times New Roman"/>
          <w:i w:val="0"/>
          <w:iCs w:val="0"/>
          <w:caps w:val="0"/>
          <w:color w:val="1F2329"/>
          <w:spacing w:val="0"/>
          <w:sz w:val="21"/>
          <w:szCs w:val="21"/>
          <w:shd w:val="clear" w:fill="FFFFFF"/>
          <w:lang w:val="en-US" w:eastAsia="zh-CN"/>
        </w:rPr>
        <w:t xml:space="preserve"> </w:t>
      </w:r>
      <w:r>
        <w:rPr>
          <w:rFonts w:hint="default" w:ascii="Times New Roman" w:hAnsi="Times New Roman" w:eastAsia="Segoe UI" w:cs="Times New Roman"/>
          <w:i w:val="0"/>
          <w:iCs w:val="0"/>
          <w:caps w:val="0"/>
          <w:color w:val="1F2329"/>
          <w:spacing w:val="0"/>
          <w:sz w:val="21"/>
          <w:szCs w:val="21"/>
          <w:shd w:val="clear" w:fill="FFFFFF"/>
        </w:rPr>
        <w:t xml:space="preserve">are gated and screened through FAS/GL7 double staining, which are defined as GCB. </w:t>
      </w:r>
    </w:p>
    <w:p w14:paraId="0E1BCFB4">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p>
    <w:p w14:paraId="34B12501">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13</w:t>
      </w:r>
    </w:p>
    <w:p w14:paraId="10C3D06F">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i w:val="0"/>
          <w:iCs w:val="0"/>
          <w:kern w:val="2"/>
          <w:sz w:val="21"/>
          <w:szCs w:val="21"/>
          <w:lang w:val="en-US" w:eastAsia="zh-CN" w:bidi="ar-SA"/>
        </w:rPr>
      </w:pPr>
      <w:r>
        <w:rPr>
          <w:rFonts w:hint="eastAsia" w:ascii="Times New Roman" w:hAnsi="Times New Roman" w:cs="Times New Roman"/>
          <w:b/>
          <w:bCs/>
          <w:i w:val="0"/>
          <w:iCs w:val="0"/>
          <w:kern w:val="2"/>
          <w:sz w:val="21"/>
          <w:szCs w:val="21"/>
          <w:lang w:val="en-US" w:eastAsia="zh-CN" w:bidi="ar-SA"/>
        </w:rPr>
        <w:drawing>
          <wp:inline distT="0" distB="0" distL="114300" distR="114300">
            <wp:extent cx="5264150" cy="4830445"/>
            <wp:effectExtent l="0" t="0" r="3175" b="8255"/>
            <wp:docPr id="15" name="图片 15" descr="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S13"/>
                    <pic:cNvPicPr>
                      <a:picLocks noChangeAspect="1"/>
                    </pic:cNvPicPr>
                  </pic:nvPicPr>
                  <pic:blipFill>
                    <a:blip r:embed="rId16"/>
                    <a:stretch>
                      <a:fillRect/>
                    </a:stretch>
                  </pic:blipFill>
                  <pic:spPr>
                    <a:xfrm>
                      <a:off x="0" y="0"/>
                      <a:ext cx="5264150" cy="4830445"/>
                    </a:xfrm>
                    <a:prstGeom prst="rect">
                      <a:avLst/>
                    </a:prstGeom>
                  </pic:spPr>
                </pic:pic>
              </a:graphicData>
            </a:graphic>
          </wp:inline>
        </w:drawing>
      </w:r>
    </w:p>
    <w:p w14:paraId="321EAC86">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 xml:space="preserve">S13. </w:t>
      </w:r>
      <w:r>
        <w:rPr>
          <w:rFonts w:hint="default" w:ascii="Times New Roman" w:hAnsi="Times New Roman" w:cs="Times New Roman"/>
          <w:b/>
          <w:bCs/>
          <w:sz w:val="21"/>
          <w:szCs w:val="21"/>
          <w:lang w:val="en-US" w:eastAsia="zh-CN"/>
        </w:rPr>
        <w:t>Flow cytometric analysis of lymph node immune subsets at 2 weeks post</w:t>
      </w:r>
      <w:r>
        <w:rPr>
          <w:rFonts w:hint="default" w:ascii="Times New Roman" w:hAnsi="Times New Roman" w:cs="Times New Roman"/>
          <w:b/>
          <w:bCs/>
          <w:sz w:val="21"/>
          <w:szCs w:val="21"/>
          <w:lang w:val="en-US" w:eastAsia="zh-CN"/>
        </w:rPr>
        <w:noBreakHyphen/>
      </w:r>
      <w:r>
        <w:rPr>
          <w:rFonts w:hint="default" w:ascii="Times New Roman" w:hAnsi="Times New Roman" w:cs="Times New Roman"/>
          <w:b/>
          <w:bCs/>
          <w:sz w:val="21"/>
          <w:szCs w:val="21"/>
          <w:lang w:val="en-US" w:eastAsia="zh-CN"/>
        </w:rPr>
        <w:t>immunization.</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sz w:val="21"/>
          <w:szCs w:val="21"/>
          <w:lang w:val="en-US" w:eastAsia="zh-CN"/>
        </w:rPr>
        <w:t>(A) B cell populations. (B) Germinal center B (GCB) cells. (C) T follicular helper (TFH) cells.</w:t>
      </w:r>
    </w:p>
    <w:p w14:paraId="3D85FF88">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p>
    <w:p w14:paraId="0F10FB3E">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14</w:t>
      </w:r>
    </w:p>
    <w:p w14:paraId="2D8C2313">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i w:val="0"/>
          <w:iCs w:val="0"/>
          <w:kern w:val="2"/>
          <w:sz w:val="21"/>
          <w:szCs w:val="21"/>
          <w:lang w:val="en-US" w:eastAsia="zh-CN" w:bidi="ar-SA"/>
        </w:rPr>
      </w:pPr>
      <w:r>
        <w:rPr>
          <w:rFonts w:hint="eastAsia" w:ascii="Times New Roman" w:hAnsi="Times New Roman" w:cs="Times New Roman"/>
          <w:b/>
          <w:bCs/>
          <w:i w:val="0"/>
          <w:iCs w:val="0"/>
          <w:kern w:val="2"/>
          <w:sz w:val="21"/>
          <w:szCs w:val="21"/>
          <w:lang w:val="en-US" w:eastAsia="zh-CN" w:bidi="ar-SA"/>
        </w:rPr>
        <w:drawing>
          <wp:inline distT="0" distB="0" distL="114300" distR="114300">
            <wp:extent cx="5268595" cy="4785995"/>
            <wp:effectExtent l="0" t="0" r="8255" b="5080"/>
            <wp:docPr id="16" name="图片 16" descr="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S14"/>
                    <pic:cNvPicPr>
                      <a:picLocks noChangeAspect="1"/>
                    </pic:cNvPicPr>
                  </pic:nvPicPr>
                  <pic:blipFill>
                    <a:blip r:embed="rId17"/>
                    <a:stretch>
                      <a:fillRect/>
                    </a:stretch>
                  </pic:blipFill>
                  <pic:spPr>
                    <a:xfrm>
                      <a:off x="0" y="0"/>
                      <a:ext cx="5268595" cy="4785995"/>
                    </a:xfrm>
                    <a:prstGeom prst="rect">
                      <a:avLst/>
                    </a:prstGeom>
                  </pic:spPr>
                </pic:pic>
              </a:graphicData>
            </a:graphic>
          </wp:inline>
        </w:drawing>
      </w:r>
    </w:p>
    <w:p w14:paraId="69E364E1">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 xml:space="preserve">S14. Flow cytometric analysis of lymph node immune subsets at 24 weeks post-immunization. </w:t>
      </w:r>
      <w:r>
        <w:rPr>
          <w:rFonts w:hint="eastAsia" w:ascii="Times New Roman" w:hAnsi="Times New Roman" w:cs="Times New Roman"/>
          <w:sz w:val="21"/>
          <w:szCs w:val="21"/>
          <w:lang w:val="en-US" w:eastAsia="zh-CN"/>
        </w:rPr>
        <w:t>(A) B cell populations. (B) Germinal center B (GCB) cells. (C) T follicular helper (TFH) cells.</w:t>
      </w:r>
    </w:p>
    <w:p w14:paraId="6822ADA9">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sz w:val="18"/>
          <w:szCs w:val="18"/>
          <w:lang w:val="en-US" w:eastAsia="zh-CN"/>
        </w:rPr>
      </w:pPr>
    </w:p>
    <w:p w14:paraId="2B35C8E0">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 xml:space="preserve">Supplementary Figure </w:t>
      </w:r>
      <w:r>
        <w:rPr>
          <w:rFonts w:hint="eastAsia" w:ascii="Times New Roman" w:hAnsi="Times New Roman" w:cs="Times New Roman"/>
          <w:b/>
          <w:bCs/>
          <w:i w:val="0"/>
          <w:iCs w:val="0"/>
          <w:kern w:val="2"/>
          <w:sz w:val="24"/>
          <w:szCs w:val="24"/>
          <w:lang w:val="en-US" w:eastAsia="zh-CN" w:bidi="ar-SA"/>
        </w:rPr>
        <w:t>15</w:t>
      </w:r>
    </w:p>
    <w:p w14:paraId="5441356E">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243830" cy="920115"/>
            <wp:effectExtent l="0" t="0" r="4445" b="3810"/>
            <wp:docPr id="17" name="图片 17" descr="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S15"/>
                    <pic:cNvPicPr>
                      <a:picLocks noChangeAspect="1"/>
                    </pic:cNvPicPr>
                  </pic:nvPicPr>
                  <pic:blipFill>
                    <a:blip r:embed="rId18"/>
                    <a:stretch>
                      <a:fillRect/>
                    </a:stretch>
                  </pic:blipFill>
                  <pic:spPr>
                    <a:xfrm>
                      <a:off x="0" y="0"/>
                      <a:ext cx="5243830" cy="920115"/>
                    </a:xfrm>
                    <a:prstGeom prst="rect">
                      <a:avLst/>
                    </a:prstGeom>
                  </pic:spPr>
                </pic:pic>
              </a:graphicData>
            </a:graphic>
          </wp:inline>
        </w:drawing>
      </w:r>
    </w:p>
    <w:p w14:paraId="2B0FFEC5">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default" w:ascii="Times New Roman" w:hAnsi="Times New Roman" w:eastAsia="Segoe UI" w:cs="Times New Roman"/>
          <w:b/>
          <w:bCs/>
          <w:i w:val="0"/>
          <w:iCs w:val="0"/>
          <w:caps w:val="0"/>
          <w:color w:val="1F2329"/>
          <w:spacing w:val="0"/>
          <w:sz w:val="21"/>
          <w:szCs w:val="21"/>
          <w:shd w:val="clear" w:fill="FFFFFF"/>
        </w:rPr>
        <w:t>S</w:t>
      </w:r>
      <w:r>
        <w:rPr>
          <w:rFonts w:hint="eastAsia" w:ascii="Times New Roman" w:hAnsi="Times New Roman" w:eastAsia="Segoe UI" w:cs="Times New Roman"/>
          <w:b/>
          <w:bCs/>
          <w:i w:val="0"/>
          <w:iCs w:val="0"/>
          <w:caps w:val="0"/>
          <w:color w:val="1F2329"/>
          <w:spacing w:val="0"/>
          <w:sz w:val="21"/>
          <w:szCs w:val="21"/>
          <w:shd w:val="clear" w:fill="FFFFFF"/>
          <w:lang w:val="en-US" w:eastAsia="zh-CN"/>
        </w:rPr>
        <w:t>15</w:t>
      </w:r>
      <w:r>
        <w:rPr>
          <w:rFonts w:hint="default" w:ascii="Times New Roman" w:hAnsi="Times New Roman" w:eastAsia="Segoe UI" w:cs="Times New Roman"/>
          <w:b/>
          <w:bCs/>
          <w:i w:val="0"/>
          <w:iCs w:val="0"/>
          <w:caps w:val="0"/>
          <w:color w:val="1F2329"/>
          <w:spacing w:val="0"/>
          <w:sz w:val="21"/>
          <w:szCs w:val="21"/>
          <w:shd w:val="clear" w:fill="FFFFFF"/>
        </w:rPr>
        <w:t xml:space="preserve">: Gating Strategy for </w:t>
      </w:r>
      <w:r>
        <w:rPr>
          <w:rFonts w:hint="eastAsia" w:ascii="Times New Roman" w:hAnsi="Times New Roman" w:eastAsia="宋体" w:cs="Times New Roman"/>
          <w:b/>
          <w:bCs/>
          <w:i w:val="0"/>
          <w:iCs w:val="0"/>
          <w:caps w:val="0"/>
          <w:color w:val="1F2329"/>
          <w:spacing w:val="0"/>
          <w:sz w:val="21"/>
          <w:szCs w:val="21"/>
          <w:shd w:val="clear" w:fill="FFFFFF"/>
          <w:lang w:val="en-US" w:eastAsia="zh-CN"/>
        </w:rPr>
        <w:t>ILC</w:t>
      </w:r>
      <w:r>
        <w:rPr>
          <w:rFonts w:hint="default" w:ascii="Times New Roman" w:hAnsi="Times New Roman" w:eastAsia="Segoe UI" w:cs="Times New Roman"/>
          <w:b/>
          <w:bCs/>
          <w:i w:val="0"/>
          <w:iCs w:val="0"/>
          <w:caps w:val="0"/>
          <w:color w:val="1F2329"/>
          <w:spacing w:val="0"/>
          <w:sz w:val="21"/>
          <w:szCs w:val="21"/>
          <w:shd w:val="clear" w:fill="FFFFFF"/>
        </w:rPr>
        <w:t xml:space="preserve"> Flow Cytometry</w:t>
      </w:r>
    </w:p>
    <w:p w14:paraId="730A69D1">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7F12A3E6">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12A3C57D">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Screening of </w:t>
      </w:r>
      <w:r>
        <w:rPr>
          <w:rFonts w:hint="default" w:ascii="Times New Roman" w:hAnsi="Times New Roman" w:eastAsia="宋体" w:cs="Times New Roman"/>
          <w:i w:val="0"/>
          <w:iCs w:val="0"/>
          <w:caps w:val="0"/>
          <w:color w:val="1F2329"/>
          <w:spacing w:val="0"/>
          <w:sz w:val="21"/>
          <w:szCs w:val="21"/>
          <w:shd w:val="clear" w:fill="FFFFFF"/>
          <w:lang w:val="en-US" w:eastAsia="zh-CN"/>
        </w:rPr>
        <w:t>Live cell:</w:t>
      </w:r>
      <w:r>
        <w:rPr>
          <w:rFonts w:hint="default" w:ascii="Times New Roman" w:hAnsi="Times New Roman" w:eastAsia="Segoe UI" w:cs="Times New Roman"/>
          <w:i w:val="0"/>
          <w:iCs w:val="0"/>
          <w:caps w:val="0"/>
          <w:color w:val="1F2329"/>
          <w:spacing w:val="0"/>
          <w:sz w:val="21"/>
          <w:szCs w:val="21"/>
          <w:shd w:val="clear" w:fill="FFFFFF"/>
        </w:rPr>
        <w:t xml:space="preserve"> </w:t>
      </w:r>
      <w:r>
        <w:rPr>
          <w:rFonts w:hint="default" w:ascii="Times New Roman" w:hAnsi="Times New Roman" w:eastAsia="宋体" w:cs="Times New Roman"/>
          <w:i w:val="0"/>
          <w:iCs w:val="0"/>
          <w:caps w:val="0"/>
          <w:color w:val="1F2329"/>
          <w:spacing w:val="0"/>
          <w:sz w:val="21"/>
          <w:szCs w:val="21"/>
          <w:shd w:val="clear" w:fill="FFFFFF"/>
          <w:lang w:val="en-US" w:eastAsia="zh-CN"/>
        </w:rPr>
        <w:t>Live</w:t>
      </w:r>
      <w:r>
        <w:rPr>
          <w:rFonts w:hint="default" w:ascii="Times New Roman" w:hAnsi="Times New Roman" w:eastAsia="Segoe UI" w:cs="Times New Roman"/>
          <w:i w:val="0"/>
          <w:iCs w:val="0"/>
          <w:caps w:val="0"/>
          <w:color w:val="1F2329"/>
          <w:spacing w:val="0"/>
          <w:sz w:val="21"/>
          <w:szCs w:val="21"/>
          <w:shd w:val="clear" w:fill="FFFFFF"/>
        </w:rPr>
        <w:t xml:space="preserve"> cell dyes are used to delineate the viable cell population. </w:t>
      </w:r>
    </w:p>
    <w:p w14:paraId="7125BACD">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r>
        <w:rPr>
          <w:rFonts w:hint="default" w:ascii="Times New Roman" w:hAnsi="Times New Roman" w:eastAsia="宋体" w:cs="Times New Roman"/>
          <w:i w:val="0"/>
          <w:iCs w:val="0"/>
          <w:caps w:val="0"/>
          <w:color w:val="1F2329"/>
          <w:spacing w:val="0"/>
          <w:sz w:val="21"/>
          <w:szCs w:val="21"/>
          <w:shd w:val="clear" w:fill="FFFFFF"/>
          <w:lang w:val="en-US" w:eastAsia="zh-CN"/>
        </w:rPr>
        <w:t>CD45+ Leukocyte Sorting: Enrichment of Immune Cells</w:t>
      </w:r>
    </w:p>
    <w:p w14:paraId="24F26EEE">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r>
        <w:rPr>
          <w:rFonts w:hint="default" w:ascii="Times New Roman" w:hAnsi="Times New Roman" w:eastAsia="宋体" w:cs="Times New Roman"/>
          <w:i w:val="0"/>
          <w:iCs w:val="0"/>
          <w:caps w:val="0"/>
          <w:color w:val="1F2329"/>
          <w:spacing w:val="0"/>
          <w:sz w:val="21"/>
          <w:szCs w:val="21"/>
          <w:shd w:val="clear" w:fill="FFFFFF"/>
          <w:lang w:val="en-US" w:eastAsia="zh-CN"/>
        </w:rPr>
        <w:t>Lin⁻Lineage-Negative Cell Sorting: CD3, B220, CD14, CD11b, FcεR1α</w:t>
      </w:r>
    </w:p>
    <w:p w14:paraId="3757E6F1">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r>
        <w:rPr>
          <w:rFonts w:hint="default" w:ascii="Times New Roman" w:hAnsi="Times New Roman" w:eastAsia="宋体" w:cs="Times New Roman"/>
          <w:i w:val="0"/>
          <w:iCs w:val="0"/>
          <w:caps w:val="0"/>
          <w:color w:val="1F2329"/>
          <w:spacing w:val="0"/>
          <w:sz w:val="21"/>
          <w:szCs w:val="21"/>
          <w:shd w:val="clear" w:fill="FFFFFF"/>
          <w:lang w:val="en-US" w:eastAsia="zh-CN"/>
        </w:rPr>
        <w:t>ILC Identification (CD90.2</w:t>
      </w:r>
      <w:r>
        <w:rPr>
          <w:rFonts w:hint="default"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default" w:ascii="Times New Roman" w:hAnsi="Times New Roman" w:eastAsia="宋体" w:cs="Times New Roman"/>
          <w:i w:val="0"/>
          <w:iCs w:val="0"/>
          <w:caps w:val="0"/>
          <w:color w:val="1F2329"/>
          <w:spacing w:val="0"/>
          <w:sz w:val="21"/>
          <w:szCs w:val="21"/>
          <w:shd w:val="clear" w:fill="FFFFFF"/>
          <w:lang w:val="en-US" w:eastAsia="zh-CN"/>
        </w:rPr>
        <w:t>CD127</w:t>
      </w:r>
      <w:r>
        <w:rPr>
          <w:rFonts w:hint="default"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default" w:ascii="Times New Roman" w:hAnsi="Times New Roman" w:eastAsia="宋体" w:cs="Times New Roman"/>
          <w:i w:val="0"/>
          <w:iCs w:val="0"/>
          <w:caps w:val="0"/>
          <w:color w:val="1F2329"/>
          <w:spacing w:val="0"/>
          <w:sz w:val="21"/>
          <w:szCs w:val="21"/>
          <w:shd w:val="clear" w:fill="FFFFFF"/>
          <w:lang w:val="en-US" w:eastAsia="zh-CN"/>
        </w:rPr>
        <w:t>): Specific Circumscription of ILC Population</w:t>
      </w:r>
    </w:p>
    <w:p w14:paraId="2D9C57D8">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p>
    <w:p w14:paraId="190A39E8">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16</w:t>
      </w:r>
    </w:p>
    <w:p w14:paraId="4CA2DF58">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242560" cy="835025"/>
            <wp:effectExtent l="0" t="0" r="5715" b="3175"/>
            <wp:docPr id="18" name="图片 18" descr="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16"/>
                    <pic:cNvPicPr>
                      <a:picLocks noChangeAspect="1"/>
                    </pic:cNvPicPr>
                  </pic:nvPicPr>
                  <pic:blipFill>
                    <a:blip r:embed="rId19"/>
                    <a:stretch>
                      <a:fillRect/>
                    </a:stretch>
                  </pic:blipFill>
                  <pic:spPr>
                    <a:xfrm>
                      <a:off x="0" y="0"/>
                      <a:ext cx="5242560" cy="835025"/>
                    </a:xfrm>
                    <a:prstGeom prst="rect">
                      <a:avLst/>
                    </a:prstGeom>
                  </pic:spPr>
                </pic:pic>
              </a:graphicData>
            </a:graphic>
          </wp:inline>
        </w:drawing>
      </w:r>
    </w:p>
    <w:p w14:paraId="58D5C216">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1"/>
          <w:szCs w:val="21"/>
          <w:lang w:val="en-US" w:eastAsia="zh-CN"/>
        </w:rPr>
      </w:pPr>
      <w:r>
        <w:rPr>
          <w:rFonts w:hint="default" w:ascii="Times New Roman" w:hAnsi="Times New Roman" w:eastAsia="Segoe UI" w:cs="Times New Roman"/>
          <w:b/>
          <w:bCs/>
          <w:i w:val="0"/>
          <w:iCs w:val="0"/>
          <w:caps w:val="0"/>
          <w:color w:val="1F2329"/>
          <w:spacing w:val="0"/>
          <w:sz w:val="21"/>
          <w:szCs w:val="21"/>
          <w:shd w:val="clear" w:fill="FFFFFF"/>
        </w:rPr>
        <w:t>S</w:t>
      </w:r>
      <w:r>
        <w:rPr>
          <w:rFonts w:hint="default" w:ascii="Times New Roman" w:hAnsi="Times New Roman" w:eastAsia="Segoe UI" w:cs="Times New Roman"/>
          <w:b/>
          <w:bCs/>
          <w:i w:val="0"/>
          <w:iCs w:val="0"/>
          <w:caps w:val="0"/>
          <w:color w:val="1F2329"/>
          <w:spacing w:val="0"/>
          <w:sz w:val="21"/>
          <w:szCs w:val="21"/>
          <w:shd w:val="clear" w:fill="FFFFFF"/>
          <w:lang w:val="en-US" w:eastAsia="zh-CN"/>
        </w:rPr>
        <w:t>16</w:t>
      </w:r>
      <w:r>
        <w:rPr>
          <w:rFonts w:hint="default" w:ascii="Times New Roman" w:hAnsi="Times New Roman" w:eastAsia="Segoe UI" w:cs="Times New Roman"/>
          <w:b/>
          <w:bCs/>
          <w:i w:val="0"/>
          <w:iCs w:val="0"/>
          <w:caps w:val="0"/>
          <w:color w:val="1F2329"/>
          <w:spacing w:val="0"/>
          <w:sz w:val="21"/>
          <w:szCs w:val="21"/>
          <w:shd w:val="clear" w:fill="FFFFFF"/>
        </w:rPr>
        <w:t xml:space="preserve">: Gating Strategy for </w:t>
      </w:r>
      <w:r>
        <w:rPr>
          <w:rFonts w:hint="default" w:ascii="Times New Roman" w:hAnsi="Times New Roman" w:eastAsia="宋体" w:cs="Times New Roman"/>
          <w:b/>
          <w:bCs/>
          <w:i w:val="0"/>
          <w:iCs w:val="0"/>
          <w:caps w:val="0"/>
          <w:color w:val="1F2329"/>
          <w:spacing w:val="0"/>
          <w:sz w:val="21"/>
          <w:szCs w:val="21"/>
          <w:shd w:val="clear" w:fill="FFFFFF"/>
          <w:lang w:val="en-US" w:eastAsia="zh-CN"/>
        </w:rPr>
        <w:t>ILC1</w:t>
      </w:r>
      <w:r>
        <w:rPr>
          <w:rFonts w:hint="default" w:ascii="Times New Roman" w:hAnsi="Times New Roman" w:eastAsia="Segoe UI" w:cs="Times New Roman"/>
          <w:b/>
          <w:bCs/>
          <w:i w:val="0"/>
          <w:iCs w:val="0"/>
          <w:caps w:val="0"/>
          <w:color w:val="1F2329"/>
          <w:spacing w:val="0"/>
          <w:sz w:val="21"/>
          <w:szCs w:val="21"/>
          <w:shd w:val="clear" w:fill="FFFFFF"/>
        </w:rPr>
        <w:t xml:space="preserve"> Flow Cytometry</w:t>
      </w:r>
    </w:p>
    <w:p w14:paraId="54DD8A90">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192F5EAA">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6120B51F">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Screening of </w:t>
      </w:r>
      <w:r>
        <w:rPr>
          <w:rFonts w:hint="default" w:ascii="Times New Roman" w:hAnsi="Times New Roman" w:eastAsia="宋体" w:cs="Times New Roman"/>
          <w:i w:val="0"/>
          <w:iCs w:val="0"/>
          <w:caps w:val="0"/>
          <w:color w:val="1F2329"/>
          <w:spacing w:val="0"/>
          <w:sz w:val="21"/>
          <w:szCs w:val="21"/>
          <w:shd w:val="clear" w:fill="FFFFFF"/>
          <w:lang w:val="en-US" w:eastAsia="zh-CN"/>
        </w:rPr>
        <w:t>Live cell:</w:t>
      </w:r>
      <w:r>
        <w:rPr>
          <w:rFonts w:hint="default" w:ascii="Times New Roman" w:hAnsi="Times New Roman" w:eastAsia="Segoe UI" w:cs="Times New Roman"/>
          <w:i w:val="0"/>
          <w:iCs w:val="0"/>
          <w:caps w:val="0"/>
          <w:color w:val="1F2329"/>
          <w:spacing w:val="0"/>
          <w:sz w:val="21"/>
          <w:szCs w:val="21"/>
          <w:shd w:val="clear" w:fill="FFFFFF"/>
        </w:rPr>
        <w:t xml:space="preserve"> </w:t>
      </w:r>
      <w:r>
        <w:rPr>
          <w:rFonts w:hint="default" w:ascii="Times New Roman" w:hAnsi="Times New Roman" w:eastAsia="宋体" w:cs="Times New Roman"/>
          <w:i w:val="0"/>
          <w:iCs w:val="0"/>
          <w:caps w:val="0"/>
          <w:color w:val="1F2329"/>
          <w:spacing w:val="0"/>
          <w:sz w:val="21"/>
          <w:szCs w:val="21"/>
          <w:shd w:val="clear" w:fill="FFFFFF"/>
          <w:lang w:val="en-US" w:eastAsia="zh-CN"/>
        </w:rPr>
        <w:t>Live</w:t>
      </w:r>
      <w:r>
        <w:rPr>
          <w:rFonts w:hint="default" w:ascii="Times New Roman" w:hAnsi="Times New Roman" w:eastAsia="Segoe UI" w:cs="Times New Roman"/>
          <w:i w:val="0"/>
          <w:iCs w:val="0"/>
          <w:caps w:val="0"/>
          <w:color w:val="1F2329"/>
          <w:spacing w:val="0"/>
          <w:sz w:val="21"/>
          <w:szCs w:val="21"/>
          <w:shd w:val="clear" w:fill="FFFFFF"/>
        </w:rPr>
        <w:t xml:space="preserve"> cell dyes are used to delineate the viable cell population. </w:t>
      </w:r>
    </w:p>
    <w:p w14:paraId="18987BF7">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r>
        <w:rPr>
          <w:rFonts w:hint="default" w:ascii="Times New Roman" w:hAnsi="Times New Roman" w:eastAsia="宋体" w:cs="Times New Roman"/>
          <w:i w:val="0"/>
          <w:iCs w:val="0"/>
          <w:caps w:val="0"/>
          <w:color w:val="1F2329"/>
          <w:spacing w:val="0"/>
          <w:sz w:val="21"/>
          <w:szCs w:val="21"/>
          <w:shd w:val="clear" w:fill="FFFFFF"/>
          <w:lang w:val="en-US" w:eastAsia="zh-CN"/>
        </w:rPr>
        <w:t>CD45</w:t>
      </w:r>
      <w:r>
        <w:rPr>
          <w:rFonts w:hint="default"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default" w:ascii="Times New Roman" w:hAnsi="Times New Roman" w:eastAsia="宋体" w:cs="Times New Roman"/>
          <w:i w:val="0"/>
          <w:iCs w:val="0"/>
          <w:caps w:val="0"/>
          <w:color w:val="1F2329"/>
          <w:spacing w:val="0"/>
          <w:sz w:val="21"/>
          <w:szCs w:val="21"/>
          <w:shd w:val="clear" w:fill="FFFFFF"/>
          <w:lang w:val="en-US" w:eastAsia="zh-CN"/>
        </w:rPr>
        <w:t xml:space="preserve"> Leukocyte Sorting: Enrichment of Immune Cells</w:t>
      </w:r>
    </w:p>
    <w:p w14:paraId="4865B34B">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r>
        <w:rPr>
          <w:rFonts w:hint="default" w:ascii="Times New Roman" w:hAnsi="Times New Roman" w:eastAsia="宋体" w:cs="Times New Roman"/>
          <w:i w:val="0"/>
          <w:iCs w:val="0"/>
          <w:caps w:val="0"/>
          <w:color w:val="1F2329"/>
          <w:spacing w:val="0"/>
          <w:sz w:val="21"/>
          <w:szCs w:val="21"/>
          <w:shd w:val="clear" w:fill="FFFFFF"/>
          <w:lang w:val="en-US" w:eastAsia="zh-CN"/>
        </w:rPr>
        <w:t>Lin⁻Lineage-Negative Cell Sorting: CD3, B220, CD14, CD11b, FcεR1α</w:t>
      </w:r>
    </w:p>
    <w:p w14:paraId="43724E03">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r>
        <w:rPr>
          <w:rFonts w:hint="default" w:ascii="Times New Roman" w:hAnsi="Times New Roman" w:eastAsia="宋体" w:cs="Times New Roman"/>
          <w:i w:val="0"/>
          <w:iCs w:val="0"/>
          <w:caps w:val="0"/>
          <w:color w:val="1F2329"/>
          <w:spacing w:val="0"/>
          <w:sz w:val="21"/>
          <w:szCs w:val="21"/>
          <w:shd w:val="clear" w:fill="FFFFFF"/>
          <w:lang w:val="en-US" w:eastAsia="zh-CN"/>
        </w:rPr>
        <w:t>ILC Identification (CD90.2</w:t>
      </w:r>
      <w:r>
        <w:rPr>
          <w:rFonts w:hint="default"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default" w:ascii="Times New Roman" w:hAnsi="Times New Roman" w:eastAsia="宋体" w:cs="Times New Roman"/>
          <w:i w:val="0"/>
          <w:iCs w:val="0"/>
          <w:caps w:val="0"/>
          <w:color w:val="1F2329"/>
          <w:spacing w:val="0"/>
          <w:sz w:val="21"/>
          <w:szCs w:val="21"/>
          <w:shd w:val="clear" w:fill="FFFFFF"/>
          <w:lang w:val="en-US" w:eastAsia="zh-CN"/>
        </w:rPr>
        <w:t>CD127</w:t>
      </w:r>
      <w:r>
        <w:rPr>
          <w:rFonts w:hint="default"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default" w:ascii="Times New Roman" w:hAnsi="Times New Roman" w:eastAsia="宋体" w:cs="Times New Roman"/>
          <w:i w:val="0"/>
          <w:iCs w:val="0"/>
          <w:caps w:val="0"/>
          <w:color w:val="1F2329"/>
          <w:spacing w:val="0"/>
          <w:sz w:val="21"/>
          <w:szCs w:val="21"/>
          <w:shd w:val="clear" w:fill="FFFFFF"/>
          <w:lang w:val="en-US" w:eastAsia="zh-CN"/>
        </w:rPr>
        <w:t>): Specific Circumscription of ILC Population</w:t>
      </w:r>
    </w:p>
    <w:p w14:paraId="6C1FA795">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r>
        <w:rPr>
          <w:rFonts w:hint="default" w:ascii="Times New Roman" w:hAnsi="Times New Roman" w:eastAsia="宋体" w:cs="Times New Roman"/>
          <w:i w:val="0"/>
          <w:iCs w:val="0"/>
          <w:caps w:val="0"/>
          <w:color w:val="1F2329"/>
          <w:spacing w:val="0"/>
          <w:sz w:val="21"/>
          <w:szCs w:val="21"/>
          <w:shd w:val="clear" w:fill="FFFFFF"/>
          <w:lang w:val="en-US" w:eastAsia="zh-CN"/>
        </w:rPr>
        <w:t>ILC1 Identification(CD49a</w:t>
      </w:r>
      <w:r>
        <w:rPr>
          <w:rFonts w:hint="default"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default" w:ascii="Times New Roman" w:hAnsi="Times New Roman" w:eastAsia="宋体" w:cs="Times New Roman"/>
          <w:i w:val="0"/>
          <w:iCs w:val="0"/>
          <w:caps w:val="0"/>
          <w:color w:val="1F2329"/>
          <w:spacing w:val="0"/>
          <w:sz w:val="21"/>
          <w:szCs w:val="21"/>
          <w:shd w:val="clear" w:fill="FFFFFF"/>
          <w:lang w:val="en-US" w:eastAsia="zh-CN"/>
        </w:rPr>
        <w:t>): Specific Circumscription of ILC1 Population</w:t>
      </w:r>
    </w:p>
    <w:p w14:paraId="67E0FB68">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p>
    <w:p w14:paraId="4DA5F32D">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17</w:t>
      </w:r>
    </w:p>
    <w:p w14:paraId="5F59EFF9">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255260" cy="930910"/>
            <wp:effectExtent l="0" t="0" r="2540" b="2540"/>
            <wp:docPr id="19" name="图片 19" descr="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S17"/>
                    <pic:cNvPicPr>
                      <a:picLocks noChangeAspect="1"/>
                    </pic:cNvPicPr>
                  </pic:nvPicPr>
                  <pic:blipFill>
                    <a:blip r:embed="rId20"/>
                    <a:stretch>
                      <a:fillRect/>
                    </a:stretch>
                  </pic:blipFill>
                  <pic:spPr>
                    <a:xfrm>
                      <a:off x="0" y="0"/>
                      <a:ext cx="5255260" cy="930910"/>
                    </a:xfrm>
                    <a:prstGeom prst="rect">
                      <a:avLst/>
                    </a:prstGeom>
                  </pic:spPr>
                </pic:pic>
              </a:graphicData>
            </a:graphic>
          </wp:inline>
        </w:drawing>
      </w:r>
    </w:p>
    <w:p w14:paraId="24A44761">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lang w:val="en-US" w:eastAsia="zh-CN"/>
        </w:rPr>
      </w:pPr>
      <w:r>
        <w:rPr>
          <w:rFonts w:hint="default" w:ascii="Times New Roman" w:hAnsi="Times New Roman" w:eastAsia="Segoe UI" w:cs="Times New Roman"/>
          <w:b/>
          <w:bCs/>
          <w:i w:val="0"/>
          <w:iCs w:val="0"/>
          <w:caps w:val="0"/>
          <w:color w:val="1F2329"/>
          <w:spacing w:val="0"/>
          <w:sz w:val="21"/>
          <w:szCs w:val="21"/>
          <w:shd w:val="clear" w:fill="FFFFFF"/>
        </w:rPr>
        <w:t>S</w:t>
      </w:r>
      <w:r>
        <w:rPr>
          <w:rFonts w:hint="default" w:ascii="Times New Roman" w:hAnsi="Times New Roman" w:eastAsia="Segoe UI" w:cs="Times New Roman"/>
          <w:b/>
          <w:bCs/>
          <w:i w:val="0"/>
          <w:iCs w:val="0"/>
          <w:caps w:val="0"/>
          <w:color w:val="1F2329"/>
          <w:spacing w:val="0"/>
          <w:sz w:val="21"/>
          <w:szCs w:val="21"/>
          <w:shd w:val="clear" w:fill="FFFFFF"/>
          <w:lang w:val="en-US" w:eastAsia="zh-CN"/>
        </w:rPr>
        <w:t>17</w:t>
      </w:r>
      <w:r>
        <w:rPr>
          <w:rFonts w:hint="default" w:ascii="Times New Roman" w:hAnsi="Times New Roman" w:eastAsia="Segoe UI" w:cs="Times New Roman"/>
          <w:b/>
          <w:bCs/>
          <w:i w:val="0"/>
          <w:iCs w:val="0"/>
          <w:caps w:val="0"/>
          <w:color w:val="1F2329"/>
          <w:spacing w:val="0"/>
          <w:sz w:val="21"/>
          <w:szCs w:val="21"/>
          <w:shd w:val="clear" w:fill="FFFFFF"/>
        </w:rPr>
        <w:t xml:space="preserve">: Gating Strategy for </w:t>
      </w:r>
      <w:r>
        <w:rPr>
          <w:rFonts w:hint="default" w:ascii="Times New Roman" w:hAnsi="Times New Roman" w:eastAsia="宋体" w:cs="Times New Roman"/>
          <w:b/>
          <w:bCs/>
          <w:i w:val="0"/>
          <w:iCs w:val="0"/>
          <w:caps w:val="0"/>
          <w:color w:val="1F2329"/>
          <w:spacing w:val="0"/>
          <w:sz w:val="21"/>
          <w:szCs w:val="21"/>
          <w:shd w:val="clear" w:fill="FFFFFF"/>
          <w:lang w:val="en-US" w:eastAsia="zh-CN"/>
        </w:rPr>
        <w:t>Mature DCs</w:t>
      </w:r>
      <w:r>
        <w:rPr>
          <w:rFonts w:hint="default" w:ascii="Times New Roman" w:hAnsi="Times New Roman" w:eastAsia="Segoe UI" w:cs="Times New Roman"/>
          <w:b/>
          <w:bCs/>
          <w:i w:val="0"/>
          <w:iCs w:val="0"/>
          <w:caps w:val="0"/>
          <w:color w:val="1F2329"/>
          <w:spacing w:val="0"/>
          <w:sz w:val="21"/>
          <w:szCs w:val="21"/>
          <w:shd w:val="clear" w:fill="FFFFFF"/>
        </w:rPr>
        <w:t xml:space="preserve"> Flow Cytometry</w:t>
      </w:r>
    </w:p>
    <w:p w14:paraId="3C09DC13">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0ED8BA08">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3616A809">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Screening of </w:t>
      </w:r>
      <w:r>
        <w:rPr>
          <w:rFonts w:hint="default" w:ascii="Times New Roman" w:hAnsi="Times New Roman" w:eastAsia="宋体" w:cs="Times New Roman"/>
          <w:i w:val="0"/>
          <w:iCs w:val="0"/>
          <w:caps w:val="0"/>
          <w:color w:val="1F2329"/>
          <w:spacing w:val="0"/>
          <w:sz w:val="21"/>
          <w:szCs w:val="21"/>
          <w:shd w:val="clear" w:fill="FFFFFF"/>
          <w:lang w:val="en-US" w:eastAsia="zh-CN"/>
        </w:rPr>
        <w:t>Live cell:</w:t>
      </w:r>
      <w:r>
        <w:rPr>
          <w:rFonts w:hint="default" w:ascii="Times New Roman" w:hAnsi="Times New Roman" w:eastAsia="Segoe UI" w:cs="Times New Roman"/>
          <w:i w:val="0"/>
          <w:iCs w:val="0"/>
          <w:caps w:val="0"/>
          <w:color w:val="1F2329"/>
          <w:spacing w:val="0"/>
          <w:sz w:val="21"/>
          <w:szCs w:val="21"/>
          <w:shd w:val="clear" w:fill="FFFFFF"/>
        </w:rPr>
        <w:t xml:space="preserve"> </w:t>
      </w:r>
      <w:r>
        <w:rPr>
          <w:rFonts w:hint="default" w:ascii="Times New Roman" w:hAnsi="Times New Roman" w:eastAsia="宋体" w:cs="Times New Roman"/>
          <w:i w:val="0"/>
          <w:iCs w:val="0"/>
          <w:caps w:val="0"/>
          <w:color w:val="1F2329"/>
          <w:spacing w:val="0"/>
          <w:sz w:val="21"/>
          <w:szCs w:val="21"/>
          <w:shd w:val="clear" w:fill="FFFFFF"/>
          <w:lang w:val="en-US" w:eastAsia="zh-CN"/>
        </w:rPr>
        <w:t>Live</w:t>
      </w:r>
      <w:r>
        <w:rPr>
          <w:rFonts w:hint="default" w:ascii="Times New Roman" w:hAnsi="Times New Roman" w:eastAsia="Segoe UI" w:cs="Times New Roman"/>
          <w:i w:val="0"/>
          <w:iCs w:val="0"/>
          <w:caps w:val="0"/>
          <w:color w:val="1F2329"/>
          <w:spacing w:val="0"/>
          <w:sz w:val="21"/>
          <w:szCs w:val="21"/>
          <w:shd w:val="clear" w:fill="FFFFFF"/>
        </w:rPr>
        <w:t xml:space="preserve"> cell dyes are used to delineate the viable cell population. </w:t>
      </w:r>
    </w:p>
    <w:p w14:paraId="062B5105">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r>
        <w:rPr>
          <w:rFonts w:hint="default" w:ascii="Times New Roman" w:hAnsi="Times New Roman" w:eastAsia="宋体" w:cs="Times New Roman"/>
          <w:i w:val="0"/>
          <w:iCs w:val="0"/>
          <w:caps w:val="0"/>
          <w:color w:val="1F2329"/>
          <w:spacing w:val="0"/>
          <w:sz w:val="21"/>
          <w:szCs w:val="21"/>
          <w:shd w:val="clear" w:fill="FFFFFF"/>
          <w:lang w:val="en-US" w:eastAsia="zh-CN"/>
        </w:rPr>
        <w:t>CD45+ Leukocyte Sorting: Enrichment of Immune Cells</w:t>
      </w:r>
    </w:p>
    <w:p w14:paraId="7E3FC40F">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宋体" w:cs="Times New Roman"/>
          <w:i w:val="0"/>
          <w:iCs w:val="0"/>
          <w:caps w:val="0"/>
          <w:color w:val="1F2329"/>
          <w:spacing w:val="0"/>
          <w:sz w:val="21"/>
          <w:szCs w:val="21"/>
          <w:shd w:val="clear" w:fill="FFFFFF"/>
          <w:lang w:val="en-US" w:eastAsia="zh-CN"/>
        </w:rPr>
        <w:t>Lin⁻Lineage-Negati</w:t>
      </w:r>
      <w:r>
        <w:rPr>
          <w:rFonts w:hint="default" w:ascii="Times New Roman" w:hAnsi="Times New Roman" w:eastAsia="Segoe UI" w:cs="Times New Roman"/>
          <w:i w:val="0"/>
          <w:iCs w:val="0"/>
          <w:caps w:val="0"/>
          <w:color w:val="1F2329"/>
          <w:spacing w:val="0"/>
          <w:sz w:val="21"/>
          <w:szCs w:val="21"/>
          <w:shd w:val="clear" w:fill="FFFFFF"/>
          <w:lang w:val="en-US" w:eastAsia="zh-CN"/>
        </w:rPr>
        <w:t xml:space="preserve">ve Cell Sorting: </w:t>
      </w:r>
      <w:r>
        <w:rPr>
          <w:rFonts w:hint="default" w:ascii="Times New Roman" w:hAnsi="Times New Roman" w:eastAsia="Segoe UI" w:cs="Times New Roman"/>
          <w:i w:val="0"/>
          <w:iCs w:val="0"/>
          <w:caps w:val="0"/>
          <w:color w:val="1F2329"/>
          <w:spacing w:val="0"/>
          <w:sz w:val="21"/>
          <w:szCs w:val="21"/>
          <w:shd w:val="clear" w:fill="FFFFFF"/>
        </w:rPr>
        <w:t>CD3</w:t>
      </w:r>
      <w:r>
        <w:rPr>
          <w:rFonts w:hint="default" w:ascii="Times New Roman" w:hAnsi="Times New Roman" w:eastAsia="Segoe UI" w:cs="Times New Roman"/>
          <w:i w:val="0"/>
          <w:iCs w:val="0"/>
          <w:caps w:val="0"/>
          <w:color w:val="1F2329"/>
          <w:spacing w:val="0"/>
          <w:sz w:val="21"/>
          <w:szCs w:val="21"/>
          <w:shd w:val="clear" w:fill="FFFFFF"/>
          <w:lang w:val="en-US" w:eastAsia="zh-CN"/>
        </w:rPr>
        <w:t xml:space="preserve">, </w:t>
      </w:r>
      <w:r>
        <w:rPr>
          <w:rFonts w:hint="default" w:ascii="Times New Roman" w:hAnsi="Times New Roman" w:eastAsia="Segoe UI" w:cs="Times New Roman"/>
          <w:i w:val="0"/>
          <w:iCs w:val="0"/>
          <w:caps w:val="0"/>
          <w:color w:val="1F2329"/>
          <w:spacing w:val="0"/>
          <w:sz w:val="21"/>
          <w:szCs w:val="21"/>
          <w:shd w:val="clear" w:fill="FFFFFF"/>
        </w:rPr>
        <w:t>Ly-6G/Ly-6C,</w:t>
      </w:r>
      <w:r>
        <w:rPr>
          <w:rFonts w:hint="default" w:ascii="Times New Roman" w:hAnsi="Times New Roman" w:eastAsia="Segoe UI" w:cs="Times New Roman"/>
          <w:i w:val="0"/>
          <w:iCs w:val="0"/>
          <w:caps w:val="0"/>
          <w:color w:val="1F2329"/>
          <w:spacing w:val="0"/>
          <w:sz w:val="21"/>
          <w:szCs w:val="21"/>
          <w:shd w:val="clear" w:fill="FFFFFF"/>
          <w:lang w:val="en-US" w:eastAsia="zh-CN"/>
        </w:rPr>
        <w:t xml:space="preserve"> </w:t>
      </w:r>
      <w:r>
        <w:rPr>
          <w:rFonts w:hint="default" w:ascii="Times New Roman" w:hAnsi="Times New Roman" w:eastAsia="Segoe UI" w:cs="Times New Roman"/>
          <w:i w:val="0"/>
          <w:iCs w:val="0"/>
          <w:caps w:val="0"/>
          <w:color w:val="1F2329"/>
          <w:spacing w:val="0"/>
          <w:sz w:val="21"/>
          <w:szCs w:val="21"/>
          <w:shd w:val="clear" w:fill="FFFFFF"/>
        </w:rPr>
        <w:t>CD11b</w:t>
      </w:r>
      <w:r>
        <w:rPr>
          <w:rFonts w:hint="default" w:ascii="Times New Roman" w:hAnsi="Times New Roman" w:eastAsia="Segoe UI" w:cs="Times New Roman"/>
          <w:i w:val="0"/>
          <w:iCs w:val="0"/>
          <w:caps w:val="0"/>
          <w:color w:val="1F2329"/>
          <w:spacing w:val="0"/>
          <w:sz w:val="21"/>
          <w:szCs w:val="21"/>
          <w:shd w:val="clear" w:fill="FFFFFF"/>
          <w:lang w:val="en-US" w:eastAsia="zh-CN"/>
        </w:rPr>
        <w:t xml:space="preserve">, </w:t>
      </w:r>
      <w:r>
        <w:rPr>
          <w:rFonts w:hint="default" w:ascii="Times New Roman" w:hAnsi="Times New Roman" w:eastAsia="Segoe UI" w:cs="Times New Roman"/>
          <w:i w:val="0"/>
          <w:iCs w:val="0"/>
          <w:caps w:val="0"/>
          <w:color w:val="1F2329"/>
          <w:spacing w:val="0"/>
          <w:sz w:val="21"/>
          <w:szCs w:val="21"/>
          <w:shd w:val="clear" w:fill="FFFFFF"/>
        </w:rPr>
        <w:t>B220</w:t>
      </w:r>
      <w:r>
        <w:rPr>
          <w:rFonts w:hint="default" w:ascii="Times New Roman" w:hAnsi="Times New Roman" w:eastAsia="Segoe UI" w:cs="Times New Roman"/>
          <w:i w:val="0"/>
          <w:iCs w:val="0"/>
          <w:caps w:val="0"/>
          <w:color w:val="1F2329"/>
          <w:spacing w:val="0"/>
          <w:sz w:val="21"/>
          <w:szCs w:val="21"/>
          <w:shd w:val="clear" w:fill="FFFFFF"/>
          <w:lang w:val="en-US" w:eastAsia="zh-CN"/>
        </w:rPr>
        <w:t xml:space="preserve">, </w:t>
      </w:r>
      <w:r>
        <w:rPr>
          <w:rFonts w:hint="default" w:ascii="Times New Roman" w:hAnsi="Times New Roman" w:eastAsia="Segoe UI" w:cs="Times New Roman"/>
          <w:i w:val="0"/>
          <w:iCs w:val="0"/>
          <w:caps w:val="0"/>
          <w:color w:val="1F2329"/>
          <w:spacing w:val="0"/>
          <w:sz w:val="21"/>
          <w:szCs w:val="21"/>
          <w:shd w:val="clear" w:fill="FFFFFF"/>
        </w:rPr>
        <w:t>TER-119</w:t>
      </w:r>
    </w:p>
    <w:p w14:paraId="77739532">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r>
        <w:rPr>
          <w:rFonts w:hint="default" w:ascii="Times New Roman" w:hAnsi="Times New Roman" w:eastAsia="宋体" w:cs="Times New Roman"/>
          <w:i w:val="0"/>
          <w:iCs w:val="0"/>
          <w:caps w:val="0"/>
          <w:color w:val="1F2329"/>
          <w:spacing w:val="0"/>
          <w:sz w:val="21"/>
          <w:szCs w:val="21"/>
          <w:shd w:val="clear" w:fill="FFFFFF"/>
          <w:lang w:val="en-US" w:eastAsia="zh-CN"/>
        </w:rPr>
        <w:t>Mature DC Identification (CD11c</w:t>
      </w:r>
      <w:r>
        <w:rPr>
          <w:rFonts w:hint="default"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default" w:ascii="Times New Roman" w:hAnsi="Times New Roman" w:eastAsia="宋体" w:cs="Times New Roman"/>
          <w:i w:val="0"/>
          <w:iCs w:val="0"/>
          <w:caps w:val="0"/>
          <w:color w:val="1F2329"/>
          <w:spacing w:val="0"/>
          <w:sz w:val="21"/>
          <w:szCs w:val="21"/>
          <w:shd w:val="clear" w:fill="FFFFFF"/>
          <w:lang w:val="en-US" w:eastAsia="zh-CN"/>
        </w:rPr>
        <w:t>MHC-II</w:t>
      </w:r>
      <w:r>
        <w:rPr>
          <w:rFonts w:hint="default"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default" w:ascii="Times New Roman" w:hAnsi="Times New Roman" w:eastAsia="宋体" w:cs="Times New Roman"/>
          <w:i w:val="0"/>
          <w:iCs w:val="0"/>
          <w:caps w:val="0"/>
          <w:color w:val="1F2329"/>
          <w:spacing w:val="0"/>
          <w:sz w:val="21"/>
          <w:szCs w:val="21"/>
          <w:shd w:val="clear" w:fill="FFFFFF"/>
          <w:lang w:val="en-US" w:eastAsia="zh-CN"/>
        </w:rPr>
        <w:t>): Specific Circumscription of ILC Mature DCs Population</w:t>
      </w:r>
    </w:p>
    <w:p w14:paraId="3C21C154">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宋体" w:cs="Times New Roman"/>
          <w:i w:val="0"/>
          <w:iCs w:val="0"/>
          <w:caps w:val="0"/>
          <w:color w:val="1F2329"/>
          <w:spacing w:val="0"/>
          <w:sz w:val="21"/>
          <w:szCs w:val="21"/>
          <w:shd w:val="clear" w:fill="FFFFFF"/>
          <w:lang w:val="en-US" w:eastAsia="zh-CN"/>
        </w:rPr>
      </w:pPr>
    </w:p>
    <w:p w14:paraId="2619891D">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18</w:t>
      </w:r>
    </w:p>
    <w:p w14:paraId="1005555C">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inline distT="0" distB="0" distL="114300" distR="114300">
            <wp:extent cx="5262245" cy="4424680"/>
            <wp:effectExtent l="0" t="0" r="5080" b="4445"/>
            <wp:docPr id="20" name="图片 20" descr="S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18"/>
                    <pic:cNvPicPr>
                      <a:picLocks noChangeAspect="1"/>
                    </pic:cNvPicPr>
                  </pic:nvPicPr>
                  <pic:blipFill>
                    <a:blip r:embed="rId21"/>
                    <a:stretch>
                      <a:fillRect/>
                    </a:stretch>
                  </pic:blipFill>
                  <pic:spPr>
                    <a:xfrm>
                      <a:off x="0" y="0"/>
                      <a:ext cx="5262245" cy="4424680"/>
                    </a:xfrm>
                    <a:prstGeom prst="rect">
                      <a:avLst/>
                    </a:prstGeom>
                  </pic:spPr>
                </pic:pic>
              </a:graphicData>
            </a:graphic>
          </wp:inline>
        </w:drawing>
      </w:r>
    </w:p>
    <w:p w14:paraId="3C02DD68">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S18. Tissue distribution of myeloid dendritic cells (mDCs) at 2 weeks post-immunization.</w:t>
      </w:r>
      <w:r>
        <w:rPr>
          <w:rFonts w:hint="eastAsia" w:ascii="Times New Roman" w:hAnsi="Times New Roman" w:cs="Times New Roman"/>
          <w:sz w:val="21"/>
          <w:szCs w:val="21"/>
          <w:lang w:val="en-US" w:eastAsia="zh-CN"/>
        </w:rPr>
        <w:t xml:space="preserve"> mDC populations were assessed in lymph nodes, peripheral blood, and intestinal tissue at 2 weeks after the final immunization.</w:t>
      </w:r>
    </w:p>
    <w:p w14:paraId="6DB9EF7E">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sz w:val="18"/>
          <w:szCs w:val="18"/>
          <w:lang w:val="en-US" w:eastAsia="zh-CN"/>
        </w:rPr>
      </w:pPr>
    </w:p>
    <w:p w14:paraId="7E4E0EC3">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rPr>
      </w:pPr>
    </w:p>
    <w:p w14:paraId="687D3B04">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rPr>
      </w:pPr>
    </w:p>
    <w:p w14:paraId="193E9B7C">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19</w:t>
      </w:r>
    </w:p>
    <w:p w14:paraId="02D2128F">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257165" cy="1323975"/>
            <wp:effectExtent l="0" t="0" r="635" b="0"/>
            <wp:docPr id="21" name="图片 21" descr="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S19"/>
                    <pic:cNvPicPr>
                      <a:picLocks noChangeAspect="1"/>
                    </pic:cNvPicPr>
                  </pic:nvPicPr>
                  <pic:blipFill>
                    <a:blip r:embed="rId22"/>
                    <a:stretch>
                      <a:fillRect/>
                    </a:stretch>
                  </pic:blipFill>
                  <pic:spPr>
                    <a:xfrm>
                      <a:off x="0" y="0"/>
                      <a:ext cx="5257165" cy="1323975"/>
                    </a:xfrm>
                    <a:prstGeom prst="rect">
                      <a:avLst/>
                    </a:prstGeom>
                  </pic:spPr>
                </pic:pic>
              </a:graphicData>
            </a:graphic>
          </wp:inline>
        </w:drawing>
      </w:r>
    </w:p>
    <w:p w14:paraId="0D98D4DC">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default" w:ascii="Times New Roman" w:hAnsi="Times New Roman" w:eastAsia="Segoe UI" w:cs="Times New Roman"/>
          <w:b/>
          <w:bCs/>
          <w:i w:val="0"/>
          <w:iCs w:val="0"/>
          <w:caps w:val="0"/>
          <w:color w:val="1F2329"/>
          <w:spacing w:val="0"/>
          <w:sz w:val="21"/>
          <w:szCs w:val="21"/>
          <w:shd w:val="clear" w:fill="FFFFFF"/>
        </w:rPr>
        <w:t>S</w:t>
      </w:r>
      <w:r>
        <w:rPr>
          <w:rFonts w:hint="eastAsia" w:ascii="Times New Roman" w:hAnsi="Times New Roman" w:eastAsia="Segoe UI" w:cs="Times New Roman"/>
          <w:b/>
          <w:bCs/>
          <w:i w:val="0"/>
          <w:iCs w:val="0"/>
          <w:caps w:val="0"/>
          <w:color w:val="1F2329"/>
          <w:spacing w:val="0"/>
          <w:sz w:val="21"/>
          <w:szCs w:val="21"/>
          <w:shd w:val="clear" w:fill="FFFFFF"/>
          <w:lang w:val="en-US" w:eastAsia="zh-CN"/>
        </w:rPr>
        <w:t>19</w:t>
      </w:r>
      <w:r>
        <w:rPr>
          <w:rFonts w:hint="default" w:ascii="Times New Roman" w:hAnsi="Times New Roman" w:eastAsia="Segoe UI" w:cs="Times New Roman"/>
          <w:b/>
          <w:bCs/>
          <w:i w:val="0"/>
          <w:iCs w:val="0"/>
          <w:caps w:val="0"/>
          <w:color w:val="1F2329"/>
          <w:spacing w:val="0"/>
          <w:sz w:val="21"/>
          <w:szCs w:val="21"/>
          <w:shd w:val="clear" w:fill="FFFFFF"/>
        </w:rPr>
        <w:t xml:space="preserve">: Gating Strategy for </w:t>
      </w:r>
      <w:r>
        <w:rPr>
          <w:rFonts w:hint="eastAsia" w:ascii="Times New Roman" w:hAnsi="Times New Roman" w:eastAsia="宋体" w:cs="Times New Roman"/>
          <w:b/>
          <w:bCs/>
          <w:i w:val="0"/>
          <w:iCs w:val="0"/>
          <w:caps w:val="0"/>
          <w:color w:val="1F2329"/>
          <w:spacing w:val="0"/>
          <w:sz w:val="21"/>
          <w:szCs w:val="21"/>
          <w:shd w:val="clear" w:fill="FFFFFF"/>
          <w:lang w:val="en-US" w:eastAsia="zh-CN"/>
        </w:rPr>
        <w:t>CD4</w:t>
      </w:r>
      <w:r>
        <w:rPr>
          <w:rFonts w:hint="eastAsia" w:ascii="Times New Roman" w:hAnsi="Times New Roman" w:eastAsia="宋体" w:cs="Times New Roman"/>
          <w:b/>
          <w:bCs/>
          <w:i w:val="0"/>
          <w:iCs w:val="0"/>
          <w:caps w:val="0"/>
          <w:color w:val="1F2329"/>
          <w:spacing w:val="0"/>
          <w:sz w:val="21"/>
          <w:szCs w:val="21"/>
          <w:shd w:val="clear" w:fill="FFFFFF"/>
          <w:vertAlign w:val="superscript"/>
          <w:lang w:val="en-US" w:eastAsia="zh-CN"/>
        </w:rPr>
        <w:t>+</w:t>
      </w:r>
      <w:r>
        <w:rPr>
          <w:rFonts w:hint="eastAsia" w:ascii="Times New Roman" w:hAnsi="Times New Roman" w:eastAsia="宋体" w:cs="Times New Roman"/>
          <w:b/>
          <w:bCs/>
          <w:i w:val="0"/>
          <w:iCs w:val="0"/>
          <w:caps w:val="0"/>
          <w:color w:val="1F2329"/>
          <w:spacing w:val="0"/>
          <w:sz w:val="21"/>
          <w:szCs w:val="21"/>
          <w:shd w:val="clear" w:fill="FFFFFF"/>
          <w:lang w:val="en-US" w:eastAsia="zh-CN"/>
        </w:rPr>
        <w:t xml:space="preserve"> and CD8</w:t>
      </w:r>
      <w:r>
        <w:rPr>
          <w:rFonts w:hint="eastAsia" w:ascii="Times New Roman" w:hAnsi="Times New Roman" w:eastAsia="宋体" w:cs="Times New Roman"/>
          <w:b/>
          <w:bCs/>
          <w:i w:val="0"/>
          <w:iCs w:val="0"/>
          <w:caps w:val="0"/>
          <w:color w:val="1F2329"/>
          <w:spacing w:val="0"/>
          <w:sz w:val="21"/>
          <w:szCs w:val="21"/>
          <w:shd w:val="clear" w:fill="FFFFFF"/>
          <w:vertAlign w:val="superscript"/>
          <w:lang w:val="en-US" w:eastAsia="zh-CN"/>
        </w:rPr>
        <w:t>+</w:t>
      </w:r>
      <w:r>
        <w:rPr>
          <w:rFonts w:hint="eastAsia" w:ascii="Times New Roman" w:hAnsi="Times New Roman" w:eastAsia="宋体" w:cs="Times New Roman"/>
          <w:b/>
          <w:bCs/>
          <w:i w:val="0"/>
          <w:iCs w:val="0"/>
          <w:caps w:val="0"/>
          <w:color w:val="1F2329"/>
          <w:spacing w:val="0"/>
          <w:sz w:val="21"/>
          <w:szCs w:val="21"/>
          <w:shd w:val="clear" w:fill="FFFFFF"/>
          <w:lang w:val="en-US" w:eastAsia="zh-CN"/>
        </w:rPr>
        <w:t xml:space="preserve"> T cells</w:t>
      </w:r>
      <w:r>
        <w:rPr>
          <w:rFonts w:hint="default" w:ascii="Times New Roman" w:hAnsi="Times New Roman" w:eastAsia="Segoe UI" w:cs="Times New Roman"/>
          <w:b/>
          <w:bCs/>
          <w:i w:val="0"/>
          <w:iCs w:val="0"/>
          <w:caps w:val="0"/>
          <w:color w:val="1F2329"/>
          <w:spacing w:val="0"/>
          <w:sz w:val="21"/>
          <w:szCs w:val="21"/>
          <w:shd w:val="clear" w:fill="FFFFFF"/>
        </w:rPr>
        <w:t xml:space="preserve"> Flow Cytometry</w:t>
      </w:r>
    </w:p>
    <w:p w14:paraId="7FF73D47">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580DD3B4">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4C5C8FCF">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Screening of </w:t>
      </w:r>
      <w:r>
        <w:rPr>
          <w:rFonts w:hint="eastAsia" w:ascii="Times New Roman" w:hAnsi="Times New Roman" w:eastAsia="宋体" w:cs="Times New Roman"/>
          <w:i w:val="0"/>
          <w:iCs w:val="0"/>
          <w:caps w:val="0"/>
          <w:color w:val="1F2329"/>
          <w:spacing w:val="0"/>
          <w:sz w:val="21"/>
          <w:szCs w:val="21"/>
          <w:shd w:val="clear" w:fill="FFFFFF"/>
          <w:lang w:val="en-US" w:eastAsia="zh-CN"/>
        </w:rPr>
        <w:t>Live cell:</w:t>
      </w:r>
      <w:r>
        <w:rPr>
          <w:rFonts w:hint="default" w:ascii="Times New Roman" w:hAnsi="Times New Roman" w:eastAsia="Segoe UI" w:cs="Times New Roman"/>
          <w:i w:val="0"/>
          <w:iCs w:val="0"/>
          <w:caps w:val="0"/>
          <w:color w:val="1F2329"/>
          <w:spacing w:val="0"/>
          <w:sz w:val="21"/>
          <w:szCs w:val="21"/>
          <w:shd w:val="clear" w:fill="FFFFFF"/>
        </w:rPr>
        <w:t xml:space="preserve"> </w:t>
      </w:r>
      <w:r>
        <w:rPr>
          <w:rFonts w:hint="eastAsia" w:ascii="Times New Roman" w:hAnsi="Times New Roman" w:eastAsia="宋体" w:cs="Times New Roman"/>
          <w:i w:val="0"/>
          <w:iCs w:val="0"/>
          <w:caps w:val="0"/>
          <w:color w:val="1F2329"/>
          <w:spacing w:val="0"/>
          <w:sz w:val="21"/>
          <w:szCs w:val="21"/>
          <w:shd w:val="clear" w:fill="FFFFFF"/>
          <w:lang w:val="en-US" w:eastAsia="zh-CN"/>
        </w:rPr>
        <w:t>Live</w:t>
      </w:r>
      <w:r>
        <w:rPr>
          <w:rFonts w:hint="default" w:ascii="Times New Roman" w:hAnsi="Times New Roman" w:eastAsia="Segoe UI" w:cs="Times New Roman"/>
          <w:i w:val="0"/>
          <w:iCs w:val="0"/>
          <w:caps w:val="0"/>
          <w:color w:val="1F2329"/>
          <w:spacing w:val="0"/>
          <w:sz w:val="21"/>
          <w:szCs w:val="21"/>
          <w:shd w:val="clear" w:fill="FFFFFF"/>
        </w:rPr>
        <w:t xml:space="preserve"> cell dyes are used to delineate the viable cell population. </w:t>
      </w:r>
    </w:p>
    <w:p w14:paraId="116D26AE">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eastAsia" w:ascii="Times New Roman" w:hAnsi="Times New Roman" w:eastAsia="Segoe UI" w:cs="Times New Roman"/>
          <w:i w:val="0"/>
          <w:iCs w:val="0"/>
          <w:caps w:val="0"/>
          <w:color w:val="1F2329"/>
          <w:spacing w:val="0"/>
          <w:sz w:val="21"/>
          <w:szCs w:val="21"/>
          <w:shd w:val="clear" w:fill="FFFFFF"/>
          <w:lang w:val="en-US" w:eastAsia="zh-CN"/>
        </w:rPr>
        <w:t>CD4</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Segoe UI" w:cs="Times New Roman"/>
          <w:i w:val="0"/>
          <w:iCs w:val="0"/>
          <w:caps w:val="0"/>
          <w:color w:val="1F2329"/>
          <w:spacing w:val="0"/>
          <w:sz w:val="21"/>
          <w:szCs w:val="21"/>
          <w:shd w:val="clear" w:fill="FFFFFF"/>
          <w:lang w:val="en-US" w:eastAsia="zh-CN"/>
        </w:rPr>
        <w:t xml:space="preserve"> T cells Identification (CD4</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Segoe UI" w:cs="Times New Roman"/>
          <w:i w:val="0"/>
          <w:iCs w:val="0"/>
          <w:caps w:val="0"/>
          <w:color w:val="1F2329"/>
          <w:spacing w:val="0"/>
          <w:sz w:val="21"/>
          <w:szCs w:val="21"/>
          <w:shd w:val="clear" w:fill="FFFFFF"/>
          <w:lang w:val="en-US" w:eastAsia="zh-CN"/>
        </w:rPr>
        <w:t>) and CD8</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 xml:space="preserve">+ </w:t>
      </w:r>
      <w:r>
        <w:rPr>
          <w:rFonts w:hint="eastAsia" w:ascii="Times New Roman" w:hAnsi="Times New Roman" w:eastAsia="Segoe UI" w:cs="Times New Roman"/>
          <w:i w:val="0"/>
          <w:iCs w:val="0"/>
          <w:caps w:val="0"/>
          <w:color w:val="1F2329"/>
          <w:spacing w:val="0"/>
          <w:sz w:val="21"/>
          <w:szCs w:val="21"/>
          <w:shd w:val="clear" w:fill="FFFFFF"/>
          <w:lang w:val="en-US" w:eastAsia="zh-CN"/>
        </w:rPr>
        <w:t>T cells Identification (CD8</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Segoe UI" w:cs="Times New Roman"/>
          <w:i w:val="0"/>
          <w:iCs w:val="0"/>
          <w:caps w:val="0"/>
          <w:color w:val="1F2329"/>
          <w:spacing w:val="0"/>
          <w:sz w:val="21"/>
          <w:szCs w:val="21"/>
          <w:shd w:val="clear" w:fill="FFFFFF"/>
          <w:lang w:val="en-US" w:eastAsia="zh-CN"/>
        </w:rPr>
        <w:t>)</w:t>
      </w:r>
    </w:p>
    <w:p w14:paraId="30ED52D2">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p>
    <w:p w14:paraId="2B0DEB02">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sz w:val="18"/>
          <w:szCs w:val="18"/>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20</w:t>
      </w:r>
    </w:p>
    <w:p w14:paraId="40E71041">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 xml:space="preserve">S20. Analysis of T Cell Subsets in Lymph Node and Blood at 2 Weeks Post-Immunization. </w:t>
      </w:r>
      <w:r>
        <w:rPr>
          <w:rFonts w:hint="eastAsia" w:ascii="Times New Roman" w:hAnsi="Times New Roman" w:cs="Times New Roman"/>
          <w:sz w:val="21"/>
          <w:szCs w:val="21"/>
          <w:lang w:val="en-US" w:eastAsia="zh-CN"/>
        </w:rPr>
        <w:t>Flow cytometric analysis of T cell subsets (CD3</w:t>
      </w:r>
      <w:r>
        <w:rPr>
          <w:rFonts w:hint="eastAsia" w:ascii="Times New Roman" w:hAnsi="Times New Roman" w:cs="Times New Roman"/>
          <w:sz w:val="21"/>
          <w:szCs w:val="21"/>
          <w:vertAlign w:val="superscript"/>
          <w:lang w:val="en-US" w:eastAsia="zh-CN"/>
        </w:rPr>
        <w:t>+</w:t>
      </w:r>
      <w:r>
        <w:rPr>
          <w:rFonts w:hint="eastAsia" w:ascii="Times New Roman" w:hAnsi="Times New Roman" w:cs="Times New Roman"/>
          <w:sz w:val="21"/>
          <w:szCs w:val="21"/>
          <w:lang w:val="en-US" w:eastAsia="zh-CN"/>
        </w:rPr>
        <w:t>, CD4</w:t>
      </w:r>
      <w:r>
        <w:rPr>
          <w:rFonts w:hint="eastAsia" w:ascii="Times New Roman" w:hAnsi="Times New Roman" w:cs="Times New Roman"/>
          <w:sz w:val="21"/>
          <w:szCs w:val="21"/>
          <w:vertAlign w:val="superscript"/>
          <w:lang w:val="en-US" w:eastAsia="zh-CN"/>
        </w:rPr>
        <w:t>+</w:t>
      </w:r>
      <w:r>
        <w:rPr>
          <w:rFonts w:hint="eastAsia" w:ascii="Times New Roman" w:hAnsi="Times New Roman" w:cs="Times New Roman"/>
          <w:sz w:val="21"/>
          <w:szCs w:val="21"/>
          <w:lang w:val="en-US" w:eastAsia="zh-CN"/>
        </w:rPr>
        <w:t xml:space="preserve"> and CD8</w:t>
      </w:r>
      <w:r>
        <w:rPr>
          <w:rFonts w:hint="eastAsia" w:ascii="Times New Roman" w:hAnsi="Times New Roman" w:cs="Times New Roman"/>
          <w:sz w:val="21"/>
          <w:szCs w:val="21"/>
          <w:vertAlign w:val="superscript"/>
          <w:lang w:val="en-US" w:eastAsia="zh-CN"/>
        </w:rPr>
        <w:t>+</w:t>
      </w:r>
      <w:r>
        <w:rPr>
          <w:rFonts w:hint="eastAsia" w:ascii="Times New Roman" w:hAnsi="Times New Roman" w:cs="Times New Roman"/>
          <w:sz w:val="21"/>
          <w:szCs w:val="21"/>
          <w:lang w:val="en-US" w:eastAsia="zh-CN"/>
        </w:rPr>
        <w:t xml:space="preserve"> T cells) in (A) lymph node and (B) peripheral blood at two weeks after the final immunization.</w:t>
      </w:r>
    </w:p>
    <w:p w14:paraId="2B0206B5">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rPr>
      </w:pPr>
      <w:r>
        <w:rPr>
          <w:rFonts w:hint="eastAsia" w:ascii="Times New Roman" w:hAnsi="Times New Roman" w:cs="Times New Roman"/>
          <w:sz w:val="18"/>
          <w:szCs w:val="18"/>
          <w:lang w:val="en-US" w:eastAsia="zh-CN"/>
        </w:rPr>
        <w:drawing>
          <wp:inline distT="0" distB="0" distL="114300" distR="114300">
            <wp:extent cx="5262880" cy="3298825"/>
            <wp:effectExtent l="0" t="0" r="4445" b="6350"/>
            <wp:docPr id="22" name="图片 22" descr="S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20"/>
                    <pic:cNvPicPr>
                      <a:picLocks noChangeAspect="1"/>
                    </pic:cNvPicPr>
                  </pic:nvPicPr>
                  <pic:blipFill>
                    <a:blip r:embed="rId23"/>
                    <a:stretch>
                      <a:fillRect/>
                    </a:stretch>
                  </pic:blipFill>
                  <pic:spPr>
                    <a:xfrm>
                      <a:off x="0" y="0"/>
                      <a:ext cx="5262880" cy="3298825"/>
                    </a:xfrm>
                    <a:prstGeom prst="rect">
                      <a:avLst/>
                    </a:prstGeom>
                  </pic:spPr>
                </pic:pic>
              </a:graphicData>
            </a:graphic>
          </wp:inline>
        </w:drawing>
      </w:r>
    </w:p>
    <w:p w14:paraId="486A0594">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21</w:t>
      </w:r>
    </w:p>
    <w:p w14:paraId="1EA14C8A">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863590" cy="3285490"/>
            <wp:effectExtent l="0" t="0" r="3810" b="635"/>
            <wp:docPr id="24" name="图片 24" descr="S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S21"/>
                    <pic:cNvPicPr>
                      <a:picLocks noChangeAspect="1"/>
                    </pic:cNvPicPr>
                  </pic:nvPicPr>
                  <pic:blipFill>
                    <a:blip r:embed="rId24"/>
                    <a:stretch>
                      <a:fillRect/>
                    </a:stretch>
                  </pic:blipFill>
                  <pic:spPr>
                    <a:xfrm>
                      <a:off x="0" y="0"/>
                      <a:ext cx="5863590" cy="3285490"/>
                    </a:xfrm>
                    <a:prstGeom prst="rect">
                      <a:avLst/>
                    </a:prstGeom>
                  </pic:spPr>
                </pic:pic>
              </a:graphicData>
            </a:graphic>
          </wp:inline>
        </w:drawing>
      </w:r>
    </w:p>
    <w:p w14:paraId="2F7EAD2E">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Segoe UI" w:cs="Times New Roman"/>
          <w:b/>
          <w:bCs/>
          <w:i w:val="0"/>
          <w:iCs w:val="0"/>
          <w:caps w:val="0"/>
          <w:color w:val="1F2329"/>
          <w:spacing w:val="0"/>
          <w:sz w:val="21"/>
          <w:szCs w:val="21"/>
          <w:highlight w:val="none"/>
          <w:shd w:val="clear" w:fill="FFFFFF"/>
        </w:rPr>
      </w:pPr>
      <w:r>
        <w:rPr>
          <w:rFonts w:hint="default" w:ascii="Times New Roman" w:hAnsi="Times New Roman" w:eastAsia="Segoe UI" w:cs="Times New Roman"/>
          <w:b/>
          <w:bCs/>
          <w:i w:val="0"/>
          <w:iCs w:val="0"/>
          <w:caps w:val="0"/>
          <w:color w:val="1F2329"/>
          <w:spacing w:val="0"/>
          <w:sz w:val="21"/>
          <w:szCs w:val="21"/>
          <w:highlight w:val="none"/>
          <w:shd w:val="clear" w:fill="FFFFFF"/>
        </w:rPr>
        <w:t>S</w:t>
      </w:r>
      <w:r>
        <w:rPr>
          <w:rFonts w:hint="eastAsia" w:ascii="Times New Roman" w:hAnsi="Times New Roman" w:eastAsia="宋体" w:cs="Times New Roman"/>
          <w:b/>
          <w:bCs/>
          <w:i w:val="0"/>
          <w:iCs w:val="0"/>
          <w:caps w:val="0"/>
          <w:color w:val="1F2329"/>
          <w:spacing w:val="0"/>
          <w:sz w:val="21"/>
          <w:szCs w:val="21"/>
          <w:highlight w:val="none"/>
          <w:shd w:val="clear" w:fill="FFFFFF"/>
          <w:lang w:val="en-US" w:eastAsia="zh-CN"/>
        </w:rPr>
        <w:t>21</w:t>
      </w:r>
      <w:r>
        <w:rPr>
          <w:rFonts w:hint="default" w:ascii="Times New Roman" w:hAnsi="Times New Roman" w:eastAsia="Segoe UI" w:cs="Times New Roman"/>
          <w:b/>
          <w:bCs/>
          <w:i w:val="0"/>
          <w:iCs w:val="0"/>
          <w:caps w:val="0"/>
          <w:color w:val="1F2329"/>
          <w:spacing w:val="0"/>
          <w:sz w:val="21"/>
          <w:szCs w:val="21"/>
          <w:highlight w:val="none"/>
          <w:shd w:val="clear" w:fill="FFFFFF"/>
        </w:rPr>
        <w:t>: Gating Strategy for Detection of IFN‑γ and IL‑4 in CD4</w:t>
      </w:r>
      <w:r>
        <w:rPr>
          <w:rFonts w:hint="default" w:ascii="Times New Roman" w:hAnsi="Times New Roman" w:eastAsia="Segoe UI" w:cs="Times New Roman"/>
          <w:b/>
          <w:bCs/>
          <w:i w:val="0"/>
          <w:iCs w:val="0"/>
          <w:caps w:val="0"/>
          <w:color w:val="1F2329"/>
          <w:spacing w:val="0"/>
          <w:sz w:val="21"/>
          <w:szCs w:val="21"/>
          <w:highlight w:val="none"/>
          <w:shd w:val="clear" w:fill="FFFFFF"/>
          <w:vertAlign w:val="superscript"/>
        </w:rPr>
        <w:t>+</w:t>
      </w:r>
      <w:r>
        <w:rPr>
          <w:rFonts w:hint="default" w:ascii="Times New Roman" w:hAnsi="Times New Roman" w:eastAsia="Segoe UI" w:cs="Times New Roman"/>
          <w:b/>
          <w:bCs/>
          <w:i w:val="0"/>
          <w:iCs w:val="0"/>
          <w:caps w:val="0"/>
          <w:color w:val="1F2329"/>
          <w:spacing w:val="0"/>
          <w:sz w:val="21"/>
          <w:szCs w:val="21"/>
          <w:highlight w:val="none"/>
          <w:shd w:val="clear" w:fill="FFFFFF"/>
        </w:rPr>
        <w:t xml:space="preserve"> and CD8</w:t>
      </w:r>
      <w:r>
        <w:rPr>
          <w:rFonts w:hint="default" w:ascii="Times New Roman" w:hAnsi="Times New Roman" w:eastAsia="Segoe UI" w:cs="Times New Roman"/>
          <w:b/>
          <w:bCs/>
          <w:i w:val="0"/>
          <w:iCs w:val="0"/>
          <w:caps w:val="0"/>
          <w:color w:val="1F2329"/>
          <w:spacing w:val="0"/>
          <w:sz w:val="21"/>
          <w:szCs w:val="21"/>
          <w:highlight w:val="none"/>
          <w:shd w:val="clear" w:fill="FFFFFF"/>
          <w:vertAlign w:val="superscript"/>
        </w:rPr>
        <w:t>+</w:t>
      </w:r>
      <w:r>
        <w:rPr>
          <w:rFonts w:hint="default" w:ascii="Times New Roman" w:hAnsi="Times New Roman" w:eastAsia="Segoe UI" w:cs="Times New Roman"/>
          <w:b/>
          <w:bCs/>
          <w:i w:val="0"/>
          <w:iCs w:val="0"/>
          <w:caps w:val="0"/>
          <w:color w:val="1F2329"/>
          <w:spacing w:val="0"/>
          <w:sz w:val="21"/>
          <w:szCs w:val="21"/>
          <w:highlight w:val="none"/>
          <w:shd w:val="clear" w:fill="FFFFFF"/>
        </w:rPr>
        <w:t xml:space="preserve"> T Cells by Flow Cytometry</w:t>
      </w:r>
    </w:p>
    <w:p w14:paraId="370B6CCD">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0DB7F271">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52B50FE7">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Screening of </w:t>
      </w:r>
      <w:r>
        <w:rPr>
          <w:rFonts w:hint="eastAsia" w:ascii="Times New Roman" w:hAnsi="Times New Roman" w:eastAsia="宋体" w:cs="Times New Roman"/>
          <w:i w:val="0"/>
          <w:iCs w:val="0"/>
          <w:caps w:val="0"/>
          <w:color w:val="1F2329"/>
          <w:spacing w:val="0"/>
          <w:sz w:val="21"/>
          <w:szCs w:val="21"/>
          <w:shd w:val="clear" w:fill="FFFFFF"/>
          <w:lang w:val="en-US" w:eastAsia="zh-CN"/>
        </w:rPr>
        <w:t>Live cell:</w:t>
      </w:r>
      <w:r>
        <w:rPr>
          <w:rFonts w:hint="default" w:ascii="Times New Roman" w:hAnsi="Times New Roman" w:eastAsia="Segoe UI" w:cs="Times New Roman"/>
          <w:i w:val="0"/>
          <w:iCs w:val="0"/>
          <w:caps w:val="0"/>
          <w:color w:val="1F2329"/>
          <w:spacing w:val="0"/>
          <w:sz w:val="21"/>
          <w:szCs w:val="21"/>
          <w:shd w:val="clear" w:fill="FFFFFF"/>
        </w:rPr>
        <w:t xml:space="preserve"> </w:t>
      </w:r>
      <w:r>
        <w:rPr>
          <w:rFonts w:hint="eastAsia" w:ascii="Times New Roman" w:hAnsi="Times New Roman" w:eastAsia="宋体" w:cs="Times New Roman"/>
          <w:i w:val="0"/>
          <w:iCs w:val="0"/>
          <w:caps w:val="0"/>
          <w:color w:val="1F2329"/>
          <w:spacing w:val="0"/>
          <w:sz w:val="21"/>
          <w:szCs w:val="21"/>
          <w:shd w:val="clear" w:fill="FFFFFF"/>
          <w:lang w:val="en-US" w:eastAsia="zh-CN"/>
        </w:rPr>
        <w:t>Live</w:t>
      </w:r>
      <w:r>
        <w:rPr>
          <w:rFonts w:hint="default" w:ascii="Times New Roman" w:hAnsi="Times New Roman" w:eastAsia="Segoe UI" w:cs="Times New Roman"/>
          <w:i w:val="0"/>
          <w:iCs w:val="0"/>
          <w:caps w:val="0"/>
          <w:color w:val="1F2329"/>
          <w:spacing w:val="0"/>
          <w:sz w:val="21"/>
          <w:szCs w:val="21"/>
          <w:shd w:val="clear" w:fill="FFFFFF"/>
        </w:rPr>
        <w:t xml:space="preserve"> cell dyes are used to delineate the viable cell population. </w:t>
      </w:r>
    </w:p>
    <w:p w14:paraId="4C140216">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eastAsia" w:ascii="Times New Roman" w:hAnsi="Times New Roman" w:eastAsia="Segoe UI" w:cs="Times New Roman"/>
          <w:i w:val="0"/>
          <w:iCs w:val="0"/>
          <w:caps w:val="0"/>
          <w:color w:val="1F2329"/>
          <w:spacing w:val="0"/>
          <w:sz w:val="21"/>
          <w:szCs w:val="21"/>
          <w:shd w:val="clear" w:fill="FFFFFF"/>
          <w:lang w:val="en-US" w:eastAsia="zh-CN"/>
        </w:rPr>
        <w:t>CD4</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Segoe UI" w:cs="Times New Roman"/>
          <w:i w:val="0"/>
          <w:iCs w:val="0"/>
          <w:caps w:val="0"/>
          <w:color w:val="1F2329"/>
          <w:spacing w:val="0"/>
          <w:sz w:val="21"/>
          <w:szCs w:val="21"/>
          <w:shd w:val="clear" w:fill="FFFFFF"/>
          <w:lang w:val="en-US" w:eastAsia="zh-CN"/>
        </w:rPr>
        <w:t xml:space="preserve"> T cells Identification (CD4</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Segoe UI" w:cs="Times New Roman"/>
          <w:i w:val="0"/>
          <w:iCs w:val="0"/>
          <w:caps w:val="0"/>
          <w:color w:val="1F2329"/>
          <w:spacing w:val="0"/>
          <w:sz w:val="21"/>
          <w:szCs w:val="21"/>
          <w:shd w:val="clear" w:fill="FFFFFF"/>
          <w:lang w:val="en-US" w:eastAsia="zh-CN"/>
        </w:rPr>
        <w:t>) and CD8</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 xml:space="preserve">+ </w:t>
      </w:r>
      <w:r>
        <w:rPr>
          <w:rFonts w:hint="eastAsia" w:ascii="Times New Roman" w:hAnsi="Times New Roman" w:eastAsia="Segoe UI" w:cs="Times New Roman"/>
          <w:i w:val="0"/>
          <w:iCs w:val="0"/>
          <w:caps w:val="0"/>
          <w:color w:val="1F2329"/>
          <w:spacing w:val="0"/>
          <w:sz w:val="21"/>
          <w:szCs w:val="21"/>
          <w:shd w:val="clear" w:fill="FFFFFF"/>
          <w:lang w:val="en-US" w:eastAsia="zh-CN"/>
        </w:rPr>
        <w:t>T cells Identification (CD8</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Segoe UI" w:cs="Times New Roman"/>
          <w:i w:val="0"/>
          <w:iCs w:val="0"/>
          <w:caps w:val="0"/>
          <w:color w:val="1F2329"/>
          <w:spacing w:val="0"/>
          <w:sz w:val="21"/>
          <w:szCs w:val="21"/>
          <w:shd w:val="clear" w:fill="FFFFFF"/>
          <w:lang w:val="en-US" w:eastAsia="zh-CN"/>
        </w:rPr>
        <w:t>)</w:t>
      </w:r>
    </w:p>
    <w:p w14:paraId="255E8973">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eastAsia" w:ascii="Times New Roman" w:hAnsi="Times New Roman" w:cs="Times New Roman"/>
          <w:b w:val="0"/>
          <w:bCs w:val="0"/>
          <w:sz w:val="24"/>
          <w:szCs w:val="24"/>
          <w:highlight w:val="none"/>
          <w:lang w:val="en-US" w:eastAsia="zh-CN"/>
        </w:rPr>
      </w:pPr>
      <w:r>
        <w:rPr>
          <w:rFonts w:hint="default" w:ascii="Times New Roman" w:hAnsi="Times New Roman" w:eastAsia="Segoe UI" w:cs="Times New Roman"/>
          <w:b w:val="0"/>
          <w:bCs w:val="0"/>
          <w:i w:val="0"/>
          <w:iCs w:val="0"/>
          <w:caps w:val="0"/>
          <w:color w:val="1F2329"/>
          <w:spacing w:val="0"/>
          <w:sz w:val="21"/>
          <w:szCs w:val="21"/>
          <w:highlight w:val="none"/>
          <w:shd w:val="clear" w:fill="FFFFFF"/>
        </w:rPr>
        <w:t>Cytokine analysis</w:t>
      </w:r>
      <w:r>
        <w:rPr>
          <w:rFonts w:hint="eastAsia" w:ascii="Times New Roman" w:hAnsi="Times New Roman" w:eastAsia="宋体" w:cs="Times New Roman"/>
          <w:b w:val="0"/>
          <w:bCs w:val="0"/>
          <w:i w:val="0"/>
          <w:iCs w:val="0"/>
          <w:caps w:val="0"/>
          <w:color w:val="1F2329"/>
          <w:spacing w:val="0"/>
          <w:sz w:val="21"/>
          <w:szCs w:val="21"/>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1F2329"/>
          <w:spacing w:val="0"/>
          <w:sz w:val="21"/>
          <w:szCs w:val="21"/>
          <w:highlight w:val="none"/>
          <w:shd w:val="clear" w:fill="FFFFFF"/>
        </w:rPr>
        <w:t>Within each subset (CD4</w:t>
      </w:r>
      <w:r>
        <w:rPr>
          <w:rFonts w:hint="default" w:ascii="Times New Roman" w:hAnsi="Times New Roman" w:eastAsia="Segoe UI" w:cs="Times New Roman"/>
          <w:b w:val="0"/>
          <w:bCs w:val="0"/>
          <w:i w:val="0"/>
          <w:iCs w:val="0"/>
          <w:caps w:val="0"/>
          <w:color w:val="1F2329"/>
          <w:spacing w:val="0"/>
          <w:sz w:val="21"/>
          <w:szCs w:val="21"/>
          <w:highlight w:val="none"/>
          <w:shd w:val="clear" w:fill="FFFFFF"/>
          <w:vertAlign w:val="superscript"/>
        </w:rPr>
        <w:t>+</w:t>
      </w:r>
      <w:r>
        <w:rPr>
          <w:rFonts w:hint="default" w:ascii="Times New Roman" w:hAnsi="Times New Roman" w:eastAsia="Segoe UI" w:cs="Times New Roman"/>
          <w:b w:val="0"/>
          <w:bCs w:val="0"/>
          <w:i w:val="0"/>
          <w:iCs w:val="0"/>
          <w:caps w:val="0"/>
          <w:color w:val="1F2329"/>
          <w:spacing w:val="0"/>
          <w:sz w:val="21"/>
          <w:szCs w:val="21"/>
          <w:highlight w:val="none"/>
          <w:shd w:val="clear" w:fill="FFFFFF"/>
        </w:rPr>
        <w:t xml:space="preserve"> or CD8</w:t>
      </w:r>
      <w:r>
        <w:rPr>
          <w:rFonts w:hint="default" w:ascii="Times New Roman" w:hAnsi="Times New Roman" w:eastAsia="Segoe UI" w:cs="Times New Roman"/>
          <w:b w:val="0"/>
          <w:bCs w:val="0"/>
          <w:i w:val="0"/>
          <w:iCs w:val="0"/>
          <w:caps w:val="0"/>
          <w:color w:val="1F2329"/>
          <w:spacing w:val="0"/>
          <w:sz w:val="21"/>
          <w:szCs w:val="21"/>
          <w:highlight w:val="none"/>
          <w:shd w:val="clear" w:fill="FFFFFF"/>
          <w:vertAlign w:val="superscript"/>
        </w:rPr>
        <w:t>+</w:t>
      </w:r>
      <w:r>
        <w:rPr>
          <w:rFonts w:hint="default" w:ascii="Times New Roman" w:hAnsi="Times New Roman" w:eastAsia="Segoe UI" w:cs="Times New Roman"/>
          <w:b w:val="0"/>
          <w:bCs w:val="0"/>
          <w:i w:val="0"/>
          <w:iCs w:val="0"/>
          <w:caps w:val="0"/>
          <w:color w:val="1F2329"/>
          <w:spacing w:val="0"/>
          <w:sz w:val="21"/>
          <w:szCs w:val="21"/>
          <w:highlight w:val="none"/>
          <w:shd w:val="clear" w:fill="FFFFFF"/>
        </w:rPr>
        <w:t>), evaluate the expression of IFN‑γ and IL‑4 by gating on cytokine‑positive cells.</w:t>
      </w:r>
    </w:p>
    <w:p w14:paraId="7C3A3401">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val="0"/>
          <w:bCs w:val="0"/>
          <w:sz w:val="24"/>
          <w:szCs w:val="24"/>
          <w:highlight w:val="none"/>
          <w:lang w:val="en-US" w:eastAsia="zh-CN"/>
        </w:rPr>
      </w:pPr>
    </w:p>
    <w:p w14:paraId="1295D70D">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rPr>
      </w:pPr>
    </w:p>
    <w:p w14:paraId="3867432B">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rPr>
      </w:pPr>
    </w:p>
    <w:p w14:paraId="57577478">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rPr>
      </w:pPr>
    </w:p>
    <w:p w14:paraId="333D4D8E">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rPr>
      </w:pPr>
    </w:p>
    <w:p w14:paraId="19311ED6">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rPr>
      </w:pPr>
    </w:p>
    <w:p w14:paraId="45E8555B">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rPr>
      </w:pPr>
    </w:p>
    <w:p w14:paraId="2E358A7A">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sz w:val="18"/>
          <w:szCs w:val="18"/>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22</w:t>
      </w:r>
    </w:p>
    <w:p w14:paraId="493A7CAC">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eastAsia="宋体" w:cs="Times New Roman"/>
          <w:b w:val="0"/>
          <w:bCs w:val="0"/>
          <w:i w:val="0"/>
          <w:iCs w:val="0"/>
          <w:caps w:val="0"/>
          <w:color w:val="1F2329"/>
          <w:spacing w:val="0"/>
          <w:sz w:val="21"/>
          <w:szCs w:val="21"/>
          <w:shd w:val="clear" w:fill="FFFFFF"/>
          <w:lang w:val="en-US" w:eastAsia="zh-CN"/>
        </w:rPr>
      </w:pPr>
      <w:r>
        <w:rPr>
          <w:rFonts w:hint="default" w:ascii="Times New Roman" w:hAnsi="Times New Roman" w:eastAsia="宋体" w:cs="Times New Roman"/>
          <w:b w:val="0"/>
          <w:bCs w:val="0"/>
          <w:i w:val="0"/>
          <w:iCs w:val="0"/>
          <w:caps w:val="0"/>
          <w:color w:val="1F2329"/>
          <w:spacing w:val="0"/>
          <w:sz w:val="21"/>
          <w:szCs w:val="21"/>
          <w:shd w:val="clear" w:fill="FFFFFF"/>
          <w:lang w:val="en-US" w:eastAsia="zh-CN"/>
        </w:rPr>
        <w:drawing>
          <wp:inline distT="0" distB="0" distL="114300" distR="114300">
            <wp:extent cx="5258435" cy="3763645"/>
            <wp:effectExtent l="0" t="0" r="8890" b="8255"/>
            <wp:docPr id="25" name="图片 25" descr="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S22"/>
                    <pic:cNvPicPr>
                      <a:picLocks noChangeAspect="1"/>
                    </pic:cNvPicPr>
                  </pic:nvPicPr>
                  <pic:blipFill>
                    <a:blip r:embed="rId25"/>
                    <a:stretch>
                      <a:fillRect/>
                    </a:stretch>
                  </pic:blipFill>
                  <pic:spPr>
                    <a:xfrm>
                      <a:off x="0" y="0"/>
                      <a:ext cx="5258435" cy="3763645"/>
                    </a:xfrm>
                    <a:prstGeom prst="rect">
                      <a:avLst/>
                    </a:prstGeom>
                  </pic:spPr>
                </pic:pic>
              </a:graphicData>
            </a:graphic>
          </wp:inline>
        </w:drawing>
      </w:r>
    </w:p>
    <w:p w14:paraId="7783DEF9">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 xml:space="preserve">S22. </w:t>
      </w:r>
      <w:r>
        <w:rPr>
          <w:rFonts w:hint="default" w:ascii="Times New Roman" w:hAnsi="Times New Roman" w:cs="Times New Roman"/>
          <w:b/>
          <w:bCs/>
          <w:sz w:val="21"/>
          <w:szCs w:val="21"/>
          <w:lang w:val="en-US" w:eastAsia="zh-CN"/>
        </w:rPr>
        <w:t>Cytokine‑producing T cell subsets in lymphoid and peripheral compartments at 2 weeks post‑immunization.</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sz w:val="21"/>
          <w:szCs w:val="21"/>
          <w:lang w:val="en-US" w:eastAsia="zh-CN"/>
        </w:rPr>
        <w:t>Flow cytometric analysis of (A) CD4</w:t>
      </w:r>
      <w:r>
        <w:rPr>
          <w:rFonts w:hint="eastAsia" w:ascii="Times New Roman" w:hAnsi="Times New Roman" w:cs="Times New Roman"/>
          <w:sz w:val="21"/>
          <w:szCs w:val="21"/>
          <w:vertAlign w:val="superscript"/>
          <w:lang w:val="en-US" w:eastAsia="zh-CN"/>
        </w:rPr>
        <w:t>+</w:t>
      </w:r>
      <w:r>
        <w:rPr>
          <w:rFonts w:hint="default" w:ascii="Times New Roman" w:hAnsi="Times New Roman" w:cs="Times New Roman"/>
          <w:sz w:val="21"/>
          <w:szCs w:val="21"/>
          <w:lang w:val="en-US" w:eastAsia="zh-CN"/>
        </w:rPr>
        <w:t xml:space="preserve"> and (B) CD8</w:t>
      </w:r>
      <w:r>
        <w:rPr>
          <w:rFonts w:hint="eastAsia" w:ascii="Times New Roman" w:hAnsi="Times New Roman" w:cs="Times New Roman"/>
          <w:sz w:val="21"/>
          <w:szCs w:val="21"/>
          <w:vertAlign w:val="superscript"/>
          <w:lang w:val="en-US" w:eastAsia="zh-CN"/>
        </w:rPr>
        <w:t>+</w:t>
      </w:r>
      <w:r>
        <w:rPr>
          <w:rFonts w:hint="default" w:ascii="Times New Roman" w:hAnsi="Times New Roman" w:cs="Times New Roman"/>
          <w:sz w:val="21"/>
          <w:szCs w:val="21"/>
          <w:lang w:val="en-US" w:eastAsia="zh-CN"/>
        </w:rPr>
        <w:t xml:space="preserve"> T cells producing IFN‑γ or IL‑4 in lymph nodes and peripheral blood.</w:t>
      </w:r>
    </w:p>
    <w:p w14:paraId="63571C1B">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p>
    <w:p w14:paraId="79D2B8AE">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p>
    <w:p w14:paraId="4350E1CC">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p>
    <w:p w14:paraId="2DA180F0">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p>
    <w:p w14:paraId="00ADE63B">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p>
    <w:p w14:paraId="3239AC49">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p>
    <w:p w14:paraId="481C9125">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p>
    <w:p w14:paraId="0E47CB94">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p>
    <w:p w14:paraId="65937620">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p>
    <w:p w14:paraId="26E19F9E">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p>
    <w:p w14:paraId="46610A59">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23</w:t>
      </w:r>
    </w:p>
    <w:p w14:paraId="41AD0779">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drawing>
          <wp:inline distT="0" distB="0" distL="114300" distR="114300">
            <wp:extent cx="5273040" cy="3314065"/>
            <wp:effectExtent l="0" t="0" r="3810" b="635"/>
            <wp:docPr id="26" name="图片 26" descr="S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S23"/>
                    <pic:cNvPicPr>
                      <a:picLocks noChangeAspect="1"/>
                    </pic:cNvPicPr>
                  </pic:nvPicPr>
                  <pic:blipFill>
                    <a:blip r:embed="rId26"/>
                    <a:stretch>
                      <a:fillRect/>
                    </a:stretch>
                  </pic:blipFill>
                  <pic:spPr>
                    <a:xfrm>
                      <a:off x="0" y="0"/>
                      <a:ext cx="5273040" cy="3314065"/>
                    </a:xfrm>
                    <a:prstGeom prst="rect">
                      <a:avLst/>
                    </a:prstGeom>
                  </pic:spPr>
                </pic:pic>
              </a:graphicData>
            </a:graphic>
          </wp:inline>
        </w:drawing>
      </w:r>
    </w:p>
    <w:p w14:paraId="28781D64">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 xml:space="preserve">S23. </w:t>
      </w:r>
      <w:r>
        <w:rPr>
          <w:rFonts w:hint="default" w:ascii="Times New Roman" w:hAnsi="Times New Roman" w:cs="Times New Roman"/>
          <w:b/>
          <w:bCs/>
          <w:sz w:val="21"/>
          <w:szCs w:val="21"/>
          <w:lang w:val="en-US" w:eastAsia="zh-CN"/>
        </w:rPr>
        <w:t>Representative ELISpot images of cytokine and effector molecule secretion at 2 weeks post‑immunization.</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sz w:val="21"/>
          <w:szCs w:val="21"/>
          <w:lang w:val="en-US" w:eastAsia="zh-CN"/>
        </w:rPr>
        <w:t>Detection of IFN‑γ, TNF‑α, IL‑2, perforin, and granzyme B in (A) lymph nodes and (B) peripheral blood.</w:t>
      </w:r>
    </w:p>
    <w:p w14:paraId="122CDC66">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4"/>
          <w:szCs w:val="24"/>
        </w:rPr>
      </w:pPr>
    </w:p>
    <w:p w14:paraId="1B413310">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Supplementary Figure </w:t>
      </w:r>
      <w:r>
        <w:rPr>
          <w:rFonts w:hint="eastAsia" w:ascii="Times New Roman" w:hAnsi="Times New Roman" w:cs="Times New Roman"/>
          <w:b/>
          <w:bCs/>
          <w:sz w:val="24"/>
          <w:szCs w:val="24"/>
          <w:lang w:val="en-US" w:eastAsia="zh-CN"/>
        </w:rPr>
        <w:t>24</w:t>
      </w:r>
    </w:p>
    <w:p w14:paraId="1C23045B">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4"/>
          <w:szCs w:val="24"/>
          <w:lang w:val="en-US" w:eastAsia="zh-CN"/>
        </w:rPr>
      </w:pPr>
      <w:r>
        <w:rPr>
          <w:rFonts w:hint="default" w:ascii="Times New Roman" w:hAnsi="Times New Roman" w:eastAsia="Segoe UI" w:cs="Times New Roman"/>
          <w:b/>
          <w:bCs/>
          <w:i w:val="0"/>
          <w:iCs w:val="0"/>
          <w:caps w:val="0"/>
          <w:color w:val="1F2329"/>
          <w:spacing w:val="0"/>
          <w:sz w:val="21"/>
          <w:szCs w:val="21"/>
          <w:shd w:val="clear" w:fill="FFFFFF"/>
        </w:rPr>
        <w:drawing>
          <wp:inline distT="0" distB="0" distL="114300" distR="114300">
            <wp:extent cx="5263515" cy="1776730"/>
            <wp:effectExtent l="0" t="0" r="3810" b="4445"/>
            <wp:docPr id="28" name="图片 28" descr="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S24"/>
                    <pic:cNvPicPr>
                      <a:picLocks noChangeAspect="1"/>
                    </pic:cNvPicPr>
                  </pic:nvPicPr>
                  <pic:blipFill>
                    <a:blip r:embed="rId27"/>
                    <a:stretch>
                      <a:fillRect/>
                    </a:stretch>
                  </pic:blipFill>
                  <pic:spPr>
                    <a:xfrm>
                      <a:off x="0" y="0"/>
                      <a:ext cx="5263515" cy="1776730"/>
                    </a:xfrm>
                    <a:prstGeom prst="rect">
                      <a:avLst/>
                    </a:prstGeom>
                  </pic:spPr>
                </pic:pic>
              </a:graphicData>
            </a:graphic>
          </wp:inline>
        </w:drawing>
      </w:r>
      <w:r>
        <w:rPr>
          <w:rFonts w:hint="default" w:ascii="Times New Roman" w:hAnsi="Times New Roman" w:eastAsia="Segoe UI" w:cs="Times New Roman"/>
          <w:b/>
          <w:bCs/>
          <w:i w:val="0"/>
          <w:iCs w:val="0"/>
          <w:caps w:val="0"/>
          <w:color w:val="1F2329"/>
          <w:spacing w:val="0"/>
          <w:sz w:val="21"/>
          <w:szCs w:val="21"/>
          <w:shd w:val="clear" w:fill="FFFFFF"/>
        </w:rPr>
        <w:t>S</w:t>
      </w:r>
      <w:r>
        <w:rPr>
          <w:rFonts w:hint="eastAsia" w:ascii="Times New Roman" w:hAnsi="Times New Roman" w:eastAsia="Segoe UI" w:cs="Times New Roman"/>
          <w:b/>
          <w:bCs/>
          <w:i w:val="0"/>
          <w:iCs w:val="0"/>
          <w:caps w:val="0"/>
          <w:color w:val="1F2329"/>
          <w:spacing w:val="0"/>
          <w:sz w:val="21"/>
          <w:szCs w:val="21"/>
          <w:shd w:val="clear" w:fill="FFFFFF"/>
          <w:lang w:val="en-US" w:eastAsia="zh-CN"/>
        </w:rPr>
        <w:t>24</w:t>
      </w:r>
      <w:r>
        <w:rPr>
          <w:rFonts w:hint="default" w:ascii="Times New Roman" w:hAnsi="Times New Roman" w:eastAsia="Segoe UI" w:cs="Times New Roman"/>
          <w:b/>
          <w:bCs/>
          <w:i w:val="0"/>
          <w:iCs w:val="0"/>
          <w:caps w:val="0"/>
          <w:color w:val="1F2329"/>
          <w:spacing w:val="0"/>
          <w:sz w:val="21"/>
          <w:szCs w:val="21"/>
          <w:shd w:val="clear" w:fill="FFFFFF"/>
        </w:rPr>
        <w:t xml:space="preserve">: Gating Strategy for </w:t>
      </w:r>
      <w:r>
        <w:rPr>
          <w:rFonts w:hint="eastAsia" w:ascii="Times New Roman" w:hAnsi="Times New Roman" w:eastAsia="宋体" w:cs="Times New Roman"/>
          <w:b/>
          <w:bCs/>
          <w:i w:val="0"/>
          <w:iCs w:val="0"/>
          <w:caps w:val="0"/>
          <w:color w:val="1F2329"/>
          <w:spacing w:val="0"/>
          <w:sz w:val="21"/>
          <w:szCs w:val="21"/>
          <w:shd w:val="clear" w:fill="FFFFFF"/>
          <w:lang w:val="en-US" w:eastAsia="zh-CN"/>
        </w:rPr>
        <w:t>CD4</w:t>
      </w:r>
      <w:r>
        <w:rPr>
          <w:rFonts w:hint="eastAsia" w:ascii="Times New Roman" w:hAnsi="Times New Roman" w:eastAsia="宋体" w:cs="Times New Roman"/>
          <w:b/>
          <w:bCs/>
          <w:i w:val="0"/>
          <w:iCs w:val="0"/>
          <w:caps w:val="0"/>
          <w:color w:val="1F2329"/>
          <w:spacing w:val="0"/>
          <w:sz w:val="21"/>
          <w:szCs w:val="21"/>
          <w:shd w:val="clear" w:fill="FFFFFF"/>
          <w:vertAlign w:val="superscript"/>
          <w:lang w:val="en-US" w:eastAsia="zh-CN"/>
        </w:rPr>
        <w:t xml:space="preserve">+ </w:t>
      </w:r>
      <w:r>
        <w:rPr>
          <w:rFonts w:hint="eastAsia" w:ascii="Times New Roman" w:hAnsi="Times New Roman" w:eastAsia="宋体" w:cs="Times New Roman"/>
          <w:b/>
          <w:bCs/>
          <w:i w:val="0"/>
          <w:iCs w:val="0"/>
          <w:caps w:val="0"/>
          <w:color w:val="1F2329"/>
          <w:spacing w:val="0"/>
          <w:sz w:val="21"/>
          <w:szCs w:val="21"/>
          <w:shd w:val="clear" w:fill="FFFFFF"/>
          <w:vertAlign w:val="baseline"/>
          <w:lang w:val="en-US" w:eastAsia="zh-CN"/>
        </w:rPr>
        <w:t>(TEM/TCM)</w:t>
      </w:r>
      <w:r>
        <w:rPr>
          <w:rFonts w:hint="eastAsia" w:ascii="Times New Roman" w:hAnsi="Times New Roman" w:eastAsia="宋体" w:cs="Times New Roman"/>
          <w:b/>
          <w:bCs/>
          <w:i w:val="0"/>
          <w:iCs w:val="0"/>
          <w:caps w:val="0"/>
          <w:color w:val="1F2329"/>
          <w:spacing w:val="0"/>
          <w:sz w:val="21"/>
          <w:szCs w:val="21"/>
          <w:shd w:val="clear" w:fill="FFFFFF"/>
          <w:lang w:val="en-US" w:eastAsia="zh-CN"/>
        </w:rPr>
        <w:t xml:space="preserve"> and CD8</w:t>
      </w:r>
      <w:r>
        <w:rPr>
          <w:rFonts w:hint="eastAsia" w:ascii="Times New Roman" w:hAnsi="Times New Roman" w:eastAsia="宋体" w:cs="Times New Roman"/>
          <w:b/>
          <w:bCs/>
          <w:i w:val="0"/>
          <w:iCs w:val="0"/>
          <w:caps w:val="0"/>
          <w:color w:val="1F2329"/>
          <w:spacing w:val="0"/>
          <w:sz w:val="21"/>
          <w:szCs w:val="21"/>
          <w:shd w:val="clear" w:fill="FFFFFF"/>
          <w:vertAlign w:val="superscript"/>
          <w:lang w:val="en-US" w:eastAsia="zh-CN"/>
        </w:rPr>
        <w:t xml:space="preserve">+ </w:t>
      </w:r>
      <w:r>
        <w:rPr>
          <w:rFonts w:hint="eastAsia" w:ascii="Times New Roman" w:hAnsi="Times New Roman" w:eastAsia="宋体" w:cs="Times New Roman"/>
          <w:b/>
          <w:bCs/>
          <w:i w:val="0"/>
          <w:iCs w:val="0"/>
          <w:caps w:val="0"/>
          <w:color w:val="1F2329"/>
          <w:spacing w:val="0"/>
          <w:sz w:val="21"/>
          <w:szCs w:val="21"/>
          <w:shd w:val="clear" w:fill="FFFFFF"/>
          <w:vertAlign w:val="baseline"/>
          <w:lang w:val="en-US" w:eastAsia="zh-CN"/>
        </w:rPr>
        <w:t>(TEM/TCM)</w:t>
      </w:r>
      <w:r>
        <w:rPr>
          <w:rFonts w:hint="eastAsia" w:ascii="Times New Roman" w:hAnsi="Times New Roman" w:eastAsia="宋体" w:cs="Times New Roman"/>
          <w:b/>
          <w:bCs/>
          <w:i w:val="0"/>
          <w:iCs w:val="0"/>
          <w:caps w:val="0"/>
          <w:color w:val="1F2329"/>
          <w:spacing w:val="0"/>
          <w:sz w:val="21"/>
          <w:szCs w:val="21"/>
          <w:shd w:val="clear" w:fill="FFFFFF"/>
          <w:lang w:val="en-US" w:eastAsia="zh-CN"/>
        </w:rPr>
        <w:t xml:space="preserve"> </w:t>
      </w:r>
      <w:r>
        <w:rPr>
          <w:rFonts w:hint="default" w:ascii="Times New Roman" w:hAnsi="Times New Roman" w:eastAsia="Segoe UI" w:cs="Times New Roman"/>
          <w:b/>
          <w:bCs/>
          <w:i w:val="0"/>
          <w:iCs w:val="0"/>
          <w:caps w:val="0"/>
          <w:color w:val="1F2329"/>
          <w:spacing w:val="0"/>
          <w:sz w:val="21"/>
          <w:szCs w:val="21"/>
          <w:shd w:val="clear" w:fill="FFFFFF"/>
        </w:rPr>
        <w:t>Flow Cytometry</w:t>
      </w:r>
    </w:p>
    <w:p w14:paraId="3AFF25A9">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Primary Cell Population Screening (FSC-A vs SSC-A). </w:t>
      </w:r>
    </w:p>
    <w:p w14:paraId="3E08BB99">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rPr>
      </w:pPr>
      <w:r>
        <w:rPr>
          <w:rFonts w:hint="default" w:ascii="Times New Roman" w:hAnsi="Times New Roman" w:eastAsia="Segoe UI" w:cs="Times New Roman"/>
          <w:i w:val="0"/>
          <w:iCs w:val="0"/>
          <w:caps w:val="0"/>
          <w:color w:val="1F2329"/>
          <w:spacing w:val="0"/>
          <w:sz w:val="21"/>
          <w:szCs w:val="21"/>
          <w:shd w:val="clear" w:fill="FFFFFF"/>
        </w:rPr>
        <w:t>Exclusion of Adherent Cells (FSC-A vs FSC-H).</w:t>
      </w:r>
    </w:p>
    <w:p w14:paraId="613C7357">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default" w:ascii="Times New Roman" w:hAnsi="Times New Roman" w:eastAsia="Segoe UI" w:cs="Times New Roman"/>
          <w:i w:val="0"/>
          <w:iCs w:val="0"/>
          <w:caps w:val="0"/>
          <w:color w:val="1F2329"/>
          <w:spacing w:val="0"/>
          <w:sz w:val="21"/>
          <w:szCs w:val="21"/>
          <w:shd w:val="clear" w:fill="FFFFFF"/>
        </w:rPr>
        <w:t xml:space="preserve">Screening of </w:t>
      </w:r>
      <w:r>
        <w:rPr>
          <w:rFonts w:hint="eastAsia" w:ascii="Times New Roman" w:hAnsi="Times New Roman" w:eastAsia="宋体" w:cs="Times New Roman"/>
          <w:i w:val="0"/>
          <w:iCs w:val="0"/>
          <w:caps w:val="0"/>
          <w:color w:val="1F2329"/>
          <w:spacing w:val="0"/>
          <w:sz w:val="21"/>
          <w:szCs w:val="21"/>
          <w:shd w:val="clear" w:fill="FFFFFF"/>
          <w:lang w:val="en-US" w:eastAsia="zh-CN"/>
        </w:rPr>
        <w:t>Live cell:</w:t>
      </w:r>
      <w:r>
        <w:rPr>
          <w:rFonts w:hint="default" w:ascii="Times New Roman" w:hAnsi="Times New Roman" w:eastAsia="Segoe UI" w:cs="Times New Roman"/>
          <w:i w:val="0"/>
          <w:iCs w:val="0"/>
          <w:caps w:val="0"/>
          <w:color w:val="1F2329"/>
          <w:spacing w:val="0"/>
          <w:sz w:val="21"/>
          <w:szCs w:val="21"/>
          <w:shd w:val="clear" w:fill="FFFFFF"/>
        </w:rPr>
        <w:t xml:space="preserve"> </w:t>
      </w:r>
      <w:r>
        <w:rPr>
          <w:rFonts w:hint="eastAsia" w:ascii="Times New Roman" w:hAnsi="Times New Roman" w:eastAsia="宋体" w:cs="Times New Roman"/>
          <w:i w:val="0"/>
          <w:iCs w:val="0"/>
          <w:caps w:val="0"/>
          <w:color w:val="1F2329"/>
          <w:spacing w:val="0"/>
          <w:sz w:val="21"/>
          <w:szCs w:val="21"/>
          <w:shd w:val="clear" w:fill="FFFFFF"/>
          <w:lang w:val="en-US" w:eastAsia="zh-CN"/>
        </w:rPr>
        <w:t>Live</w:t>
      </w:r>
      <w:r>
        <w:rPr>
          <w:rFonts w:hint="default" w:ascii="Times New Roman" w:hAnsi="Times New Roman" w:eastAsia="Segoe UI" w:cs="Times New Roman"/>
          <w:i w:val="0"/>
          <w:iCs w:val="0"/>
          <w:caps w:val="0"/>
          <w:color w:val="1F2329"/>
          <w:spacing w:val="0"/>
          <w:sz w:val="21"/>
          <w:szCs w:val="21"/>
          <w:shd w:val="clear" w:fill="FFFFFF"/>
        </w:rPr>
        <w:t xml:space="preserve"> cell dyes are used to delineate the viable cell population. </w:t>
      </w:r>
    </w:p>
    <w:p w14:paraId="715F9211">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eastAsia" w:ascii="Times New Roman" w:hAnsi="Times New Roman" w:eastAsia="宋体" w:cs="Times New Roman"/>
          <w:i w:val="0"/>
          <w:iCs w:val="0"/>
          <w:caps w:val="0"/>
          <w:color w:val="1F2329"/>
          <w:spacing w:val="0"/>
          <w:sz w:val="21"/>
          <w:szCs w:val="21"/>
          <w:shd w:val="clear" w:fill="FFFFFF"/>
          <w:lang w:val="en-US" w:eastAsia="zh-CN"/>
        </w:rPr>
      </w:pPr>
      <w:r>
        <w:rPr>
          <w:rFonts w:hint="eastAsia" w:ascii="Times New Roman" w:hAnsi="Times New Roman" w:eastAsia="宋体" w:cs="Times New Roman"/>
          <w:i w:val="0"/>
          <w:iCs w:val="0"/>
          <w:caps w:val="0"/>
          <w:color w:val="1F2329"/>
          <w:spacing w:val="0"/>
          <w:sz w:val="21"/>
          <w:szCs w:val="21"/>
          <w:shd w:val="clear" w:fill="FFFFFF"/>
          <w:lang w:val="en-US" w:eastAsia="zh-CN"/>
        </w:rPr>
        <w:t>CD3</w:t>
      </w:r>
      <w:r>
        <w:rPr>
          <w:rFonts w:hint="eastAsia"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宋体" w:cs="Times New Roman"/>
          <w:i w:val="0"/>
          <w:iCs w:val="0"/>
          <w:caps w:val="0"/>
          <w:color w:val="1F2329"/>
          <w:spacing w:val="0"/>
          <w:sz w:val="21"/>
          <w:szCs w:val="21"/>
          <w:shd w:val="clear" w:fill="FFFFFF"/>
          <w:lang w:val="en-US" w:eastAsia="zh-CN"/>
        </w:rPr>
        <w:t xml:space="preserve"> Leukocyte Sorting: Enrichment of T Cells</w:t>
      </w:r>
    </w:p>
    <w:p w14:paraId="50D136AD">
      <w:pPr>
        <w:keepNext w:val="0"/>
        <w:keepLines w:val="0"/>
        <w:pageBreakBefore w:val="0"/>
        <w:widowControl w:val="0"/>
        <w:numPr>
          <w:ilvl w:val="0"/>
          <w:numId w:val="1"/>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eastAsia" w:ascii="Times New Roman" w:hAnsi="Times New Roman" w:eastAsia="Segoe UI" w:cs="Times New Roman"/>
          <w:i w:val="0"/>
          <w:iCs w:val="0"/>
          <w:caps w:val="0"/>
          <w:color w:val="1F2329"/>
          <w:spacing w:val="0"/>
          <w:sz w:val="21"/>
          <w:szCs w:val="21"/>
          <w:shd w:val="clear" w:fill="FFFFFF"/>
          <w:lang w:val="en-US" w:eastAsia="zh-CN"/>
        </w:rPr>
        <w:t>CD4</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Segoe UI" w:cs="Times New Roman"/>
          <w:i w:val="0"/>
          <w:iCs w:val="0"/>
          <w:caps w:val="0"/>
          <w:color w:val="1F2329"/>
          <w:spacing w:val="0"/>
          <w:sz w:val="21"/>
          <w:szCs w:val="21"/>
          <w:shd w:val="clear" w:fill="FFFFFF"/>
          <w:lang w:val="en-US" w:eastAsia="zh-CN"/>
        </w:rPr>
        <w:t xml:space="preserve"> T cells: </w:t>
      </w:r>
      <w:r>
        <w:rPr>
          <w:rFonts w:hint="eastAsia" w:ascii="Times New Roman" w:hAnsi="Times New Roman" w:eastAsia="宋体" w:cs="Times New Roman"/>
          <w:i w:val="0"/>
          <w:iCs w:val="0"/>
          <w:caps w:val="0"/>
          <w:color w:val="1F2329"/>
          <w:spacing w:val="0"/>
          <w:sz w:val="21"/>
          <w:szCs w:val="21"/>
          <w:shd w:val="clear" w:fill="FFFFFF"/>
          <w:lang w:val="en-US" w:eastAsia="zh-CN"/>
        </w:rPr>
        <w:t xml:space="preserve">Enrichment of </w:t>
      </w:r>
      <w:r>
        <w:rPr>
          <w:rFonts w:hint="eastAsia" w:ascii="Times New Roman" w:hAnsi="Times New Roman" w:eastAsia="Segoe UI" w:cs="Times New Roman"/>
          <w:i w:val="0"/>
          <w:iCs w:val="0"/>
          <w:caps w:val="0"/>
          <w:color w:val="1F2329"/>
          <w:spacing w:val="0"/>
          <w:sz w:val="21"/>
          <w:szCs w:val="21"/>
          <w:shd w:val="clear" w:fill="FFFFFF"/>
          <w:lang w:val="en-US" w:eastAsia="zh-CN"/>
        </w:rPr>
        <w:t>CD4</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Segoe UI" w:cs="Times New Roman"/>
          <w:i w:val="0"/>
          <w:iCs w:val="0"/>
          <w:caps w:val="0"/>
          <w:color w:val="1F2329"/>
          <w:spacing w:val="0"/>
          <w:sz w:val="21"/>
          <w:szCs w:val="21"/>
          <w:shd w:val="clear" w:fill="FFFFFF"/>
          <w:lang w:val="en-US" w:eastAsia="zh-CN"/>
        </w:rPr>
        <w:t xml:space="preserve"> T cells: </w:t>
      </w:r>
      <w:r>
        <w:rPr>
          <w:rFonts w:hint="eastAsia" w:ascii="Times New Roman" w:hAnsi="Times New Roman" w:eastAsia="宋体" w:cs="Times New Roman"/>
          <w:i w:val="0"/>
          <w:iCs w:val="0"/>
          <w:caps w:val="0"/>
          <w:color w:val="1F2329"/>
          <w:spacing w:val="0"/>
          <w:sz w:val="21"/>
          <w:szCs w:val="21"/>
          <w:shd w:val="clear" w:fill="FFFFFF"/>
          <w:lang w:val="en-US" w:eastAsia="zh-CN"/>
        </w:rPr>
        <w:t>TEM Identification (CD44</w:t>
      </w:r>
      <w:r>
        <w:rPr>
          <w:rFonts w:hint="eastAsia"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宋体" w:cs="Times New Roman"/>
          <w:i w:val="0"/>
          <w:iCs w:val="0"/>
          <w:caps w:val="0"/>
          <w:color w:val="1F2329"/>
          <w:spacing w:val="0"/>
          <w:sz w:val="21"/>
          <w:szCs w:val="21"/>
          <w:shd w:val="clear" w:fill="FFFFFF"/>
          <w:lang w:val="en-US" w:eastAsia="zh-CN"/>
        </w:rPr>
        <w:t>CD62L</w:t>
      </w:r>
      <w:r>
        <w:rPr>
          <w:rFonts w:hint="eastAsia"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宋体" w:cs="Times New Roman"/>
          <w:i w:val="0"/>
          <w:iCs w:val="0"/>
          <w:caps w:val="0"/>
          <w:color w:val="1F2329"/>
          <w:spacing w:val="0"/>
          <w:sz w:val="21"/>
          <w:szCs w:val="21"/>
          <w:shd w:val="clear" w:fill="FFFFFF"/>
          <w:lang w:val="en-US" w:eastAsia="zh-CN"/>
        </w:rPr>
        <w:t>); TCM Identification (CD44</w:t>
      </w:r>
      <w:r>
        <w:rPr>
          <w:rFonts w:hint="eastAsia"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宋体" w:cs="Times New Roman"/>
          <w:i w:val="0"/>
          <w:iCs w:val="0"/>
          <w:caps w:val="0"/>
          <w:color w:val="1F2329"/>
          <w:spacing w:val="0"/>
          <w:sz w:val="21"/>
          <w:szCs w:val="21"/>
          <w:shd w:val="clear" w:fill="FFFFFF"/>
          <w:lang w:val="en-US" w:eastAsia="zh-CN"/>
        </w:rPr>
        <w:t>CD62L</w:t>
      </w:r>
      <w:r>
        <w:rPr>
          <w:rFonts w:hint="eastAsia"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宋体" w:cs="Times New Roman"/>
          <w:i w:val="0"/>
          <w:iCs w:val="0"/>
          <w:caps w:val="0"/>
          <w:color w:val="1F2329"/>
          <w:spacing w:val="0"/>
          <w:sz w:val="21"/>
          <w:szCs w:val="21"/>
          <w:shd w:val="clear" w:fill="FFFFFF"/>
          <w:lang w:val="en-US" w:eastAsia="zh-CN"/>
        </w:rPr>
        <w:t>)</w:t>
      </w:r>
    </w:p>
    <w:p w14:paraId="2A5871CC">
      <w:pPr>
        <w:keepNext w:val="0"/>
        <w:keepLines w:val="0"/>
        <w:pageBreakBefore w:val="0"/>
        <w:widowControl w:val="0"/>
        <w:numPr>
          <w:ilvl w:val="0"/>
          <w:numId w:val="2"/>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r>
        <w:rPr>
          <w:rFonts w:hint="eastAsia" w:ascii="Times New Roman" w:hAnsi="Times New Roman" w:eastAsia="Segoe UI" w:cs="Times New Roman"/>
          <w:i w:val="0"/>
          <w:iCs w:val="0"/>
          <w:caps w:val="0"/>
          <w:color w:val="1F2329"/>
          <w:spacing w:val="0"/>
          <w:sz w:val="21"/>
          <w:szCs w:val="21"/>
          <w:shd w:val="clear" w:fill="FFFFFF"/>
          <w:lang w:val="en-US" w:eastAsia="zh-CN"/>
        </w:rPr>
        <w:t>CD8</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Segoe UI" w:cs="Times New Roman"/>
          <w:i w:val="0"/>
          <w:iCs w:val="0"/>
          <w:caps w:val="0"/>
          <w:color w:val="1F2329"/>
          <w:spacing w:val="0"/>
          <w:sz w:val="21"/>
          <w:szCs w:val="21"/>
          <w:shd w:val="clear" w:fill="FFFFFF"/>
          <w:lang w:val="en-US" w:eastAsia="zh-CN"/>
        </w:rPr>
        <w:t xml:space="preserve"> T cells Identification (CD8</w:t>
      </w:r>
      <w:r>
        <w:rPr>
          <w:rFonts w:hint="eastAsia" w:ascii="Times New Roman" w:hAnsi="Times New Roman" w:eastAsia="Segoe UI"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Segoe UI" w:cs="Times New Roman"/>
          <w:i w:val="0"/>
          <w:iCs w:val="0"/>
          <w:caps w:val="0"/>
          <w:color w:val="1F2329"/>
          <w:spacing w:val="0"/>
          <w:sz w:val="21"/>
          <w:szCs w:val="21"/>
          <w:shd w:val="clear" w:fill="FFFFFF"/>
          <w:lang w:val="en-US" w:eastAsia="zh-CN"/>
        </w:rPr>
        <w:t xml:space="preserve">): </w:t>
      </w:r>
      <w:r>
        <w:rPr>
          <w:rFonts w:hint="eastAsia" w:ascii="Times New Roman" w:hAnsi="Times New Roman" w:eastAsia="宋体" w:cs="Times New Roman"/>
          <w:i w:val="0"/>
          <w:iCs w:val="0"/>
          <w:caps w:val="0"/>
          <w:color w:val="1F2329"/>
          <w:spacing w:val="0"/>
          <w:sz w:val="21"/>
          <w:szCs w:val="21"/>
          <w:shd w:val="clear" w:fill="FFFFFF"/>
          <w:lang w:val="en-US" w:eastAsia="zh-CN"/>
        </w:rPr>
        <w:t>TEM Identification (CD44</w:t>
      </w:r>
      <w:r>
        <w:rPr>
          <w:rFonts w:hint="eastAsia"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宋体" w:cs="Times New Roman"/>
          <w:i w:val="0"/>
          <w:iCs w:val="0"/>
          <w:caps w:val="0"/>
          <w:color w:val="1F2329"/>
          <w:spacing w:val="0"/>
          <w:sz w:val="21"/>
          <w:szCs w:val="21"/>
          <w:shd w:val="clear" w:fill="FFFFFF"/>
          <w:lang w:val="en-US" w:eastAsia="zh-CN"/>
        </w:rPr>
        <w:t>CD62L</w:t>
      </w:r>
      <w:r>
        <w:rPr>
          <w:rFonts w:hint="eastAsia"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宋体" w:cs="Times New Roman"/>
          <w:i w:val="0"/>
          <w:iCs w:val="0"/>
          <w:caps w:val="0"/>
          <w:color w:val="1F2329"/>
          <w:spacing w:val="0"/>
          <w:sz w:val="21"/>
          <w:szCs w:val="21"/>
          <w:shd w:val="clear" w:fill="FFFFFF"/>
          <w:lang w:val="en-US" w:eastAsia="zh-CN"/>
        </w:rPr>
        <w:t>); TCM Identification (CD44</w:t>
      </w:r>
      <w:r>
        <w:rPr>
          <w:rFonts w:hint="eastAsia"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宋体" w:cs="Times New Roman"/>
          <w:i w:val="0"/>
          <w:iCs w:val="0"/>
          <w:caps w:val="0"/>
          <w:color w:val="1F2329"/>
          <w:spacing w:val="0"/>
          <w:sz w:val="21"/>
          <w:szCs w:val="21"/>
          <w:shd w:val="clear" w:fill="FFFFFF"/>
          <w:lang w:val="en-US" w:eastAsia="zh-CN"/>
        </w:rPr>
        <w:t>CD62L</w:t>
      </w:r>
      <w:r>
        <w:rPr>
          <w:rFonts w:hint="eastAsia" w:ascii="Times New Roman" w:hAnsi="Times New Roman" w:eastAsia="宋体" w:cs="Times New Roman"/>
          <w:i w:val="0"/>
          <w:iCs w:val="0"/>
          <w:caps w:val="0"/>
          <w:color w:val="1F2329"/>
          <w:spacing w:val="0"/>
          <w:sz w:val="21"/>
          <w:szCs w:val="21"/>
          <w:shd w:val="clear" w:fill="FFFFFF"/>
          <w:vertAlign w:val="superscript"/>
          <w:lang w:val="en-US" w:eastAsia="zh-CN"/>
        </w:rPr>
        <w:t>+</w:t>
      </w:r>
      <w:r>
        <w:rPr>
          <w:rFonts w:hint="eastAsia" w:ascii="Times New Roman" w:hAnsi="Times New Roman" w:eastAsia="宋体" w:cs="Times New Roman"/>
          <w:i w:val="0"/>
          <w:iCs w:val="0"/>
          <w:caps w:val="0"/>
          <w:color w:val="1F2329"/>
          <w:spacing w:val="0"/>
          <w:sz w:val="21"/>
          <w:szCs w:val="21"/>
          <w:shd w:val="clear" w:fill="FFFFFF"/>
          <w:lang w:val="en-US" w:eastAsia="zh-CN"/>
        </w:rPr>
        <w:t>)</w:t>
      </w:r>
    </w:p>
    <w:p w14:paraId="17DBEA1B">
      <w:pPr>
        <w:keepNext w:val="0"/>
        <w:keepLines w:val="0"/>
        <w:pageBreakBefore w:val="0"/>
        <w:widowControl w:val="0"/>
        <w:numPr>
          <w:ilvl w:val="0"/>
          <w:numId w:val="2"/>
        </w:numPr>
        <w:kinsoku/>
        <w:wordWrap/>
        <w:overflowPunct/>
        <w:topLinePunct w:val="0"/>
        <w:autoSpaceDE/>
        <w:autoSpaceDN/>
        <w:bidi w:val="0"/>
        <w:adjustRightInd/>
        <w:snapToGrid/>
        <w:spacing w:before="157" w:beforeLines="50" w:beforeAutospacing="0" w:after="157" w:afterLines="50" w:afterAutospacing="0" w:line="312" w:lineRule="auto"/>
        <w:ind w:left="420" w:leftChars="0" w:hanging="420" w:firstLineChars="0"/>
        <w:jc w:val="both"/>
        <w:textAlignment w:val="auto"/>
        <w:rPr>
          <w:rFonts w:hint="default" w:ascii="Times New Roman" w:hAnsi="Times New Roman" w:eastAsia="Segoe UI" w:cs="Times New Roman"/>
          <w:i w:val="0"/>
          <w:iCs w:val="0"/>
          <w:caps w:val="0"/>
          <w:color w:val="1F2329"/>
          <w:spacing w:val="0"/>
          <w:sz w:val="21"/>
          <w:szCs w:val="21"/>
          <w:shd w:val="clear" w:fill="FFFFFF"/>
          <w:lang w:val="en-US" w:eastAsia="zh-CN"/>
        </w:rPr>
      </w:pPr>
    </w:p>
    <w:p w14:paraId="34055D65">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eastAsia="宋体" w:cs="Times New Roman"/>
          <w:b w:val="0"/>
          <w:bCs w:val="0"/>
          <w:i w:val="0"/>
          <w:iCs w:val="0"/>
          <w:caps w:val="0"/>
          <w:color w:val="1F2329"/>
          <w:spacing w:val="0"/>
          <w:sz w:val="24"/>
          <w:szCs w:val="24"/>
          <w:shd w:val="clear" w:fill="FFFFFF"/>
          <w:lang w:val="en-US" w:eastAsia="zh-CN"/>
        </w:rPr>
      </w:pPr>
      <w:r>
        <w:rPr>
          <w:rFonts w:hint="eastAsia" w:ascii="Times New Roman" w:hAnsi="Times New Roman" w:cs="Times New Roman" w:eastAsiaTheme="minorEastAsia"/>
          <w:b/>
          <w:bCs/>
          <w:i w:val="0"/>
          <w:iCs w:val="0"/>
          <w:kern w:val="2"/>
          <w:sz w:val="24"/>
          <w:szCs w:val="24"/>
          <w:lang w:val="en-US" w:eastAsia="zh-CN" w:bidi="ar-SA"/>
        </w:rPr>
        <w:t xml:space="preserve">Supplementary Figure </w:t>
      </w:r>
      <w:r>
        <w:rPr>
          <w:rFonts w:hint="eastAsia" w:ascii="Times New Roman" w:hAnsi="Times New Roman" w:cs="Times New Roman"/>
          <w:b/>
          <w:bCs/>
          <w:i w:val="0"/>
          <w:iCs w:val="0"/>
          <w:kern w:val="2"/>
          <w:sz w:val="24"/>
          <w:szCs w:val="24"/>
          <w:lang w:val="en-US" w:eastAsia="zh-CN" w:bidi="ar-SA"/>
        </w:rPr>
        <w:t>25</w:t>
      </w:r>
    </w:p>
    <w:p w14:paraId="2EF35C0E">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18"/>
          <w:szCs w:val="18"/>
          <w:lang w:val="en-US" w:eastAsia="zh-CN"/>
        </w:rPr>
      </w:pPr>
      <w:r>
        <w:rPr>
          <w:rFonts w:hint="eastAsia" w:ascii="Times New Roman" w:hAnsi="Times New Roman" w:cs="Times New Roman"/>
          <w:b/>
          <w:bCs/>
          <w:sz w:val="18"/>
          <w:szCs w:val="18"/>
          <w:lang w:val="en-US" w:eastAsia="zh-CN"/>
        </w:rPr>
        <w:drawing>
          <wp:inline distT="0" distB="0" distL="114300" distR="114300">
            <wp:extent cx="5262245" cy="1884680"/>
            <wp:effectExtent l="0" t="0" r="5080" b="1270"/>
            <wp:docPr id="29" name="图片 29" descr="S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S25"/>
                    <pic:cNvPicPr>
                      <a:picLocks noChangeAspect="1"/>
                    </pic:cNvPicPr>
                  </pic:nvPicPr>
                  <pic:blipFill>
                    <a:blip r:embed="rId28"/>
                    <a:stretch>
                      <a:fillRect/>
                    </a:stretch>
                  </pic:blipFill>
                  <pic:spPr>
                    <a:xfrm>
                      <a:off x="0" y="0"/>
                      <a:ext cx="5262245" cy="1884680"/>
                    </a:xfrm>
                    <a:prstGeom prst="rect">
                      <a:avLst/>
                    </a:prstGeom>
                  </pic:spPr>
                </pic:pic>
              </a:graphicData>
            </a:graphic>
          </wp:inline>
        </w:drawing>
      </w:r>
    </w:p>
    <w:p w14:paraId="1A91BF27">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val="0"/>
          <w:bCs w:val="0"/>
          <w:sz w:val="21"/>
          <w:szCs w:val="21"/>
          <w:lang w:val="en-US" w:eastAsia="zh-CN"/>
        </w:rPr>
      </w:pPr>
      <w:r>
        <w:rPr>
          <w:rFonts w:hint="eastAsia" w:ascii="Times New Roman" w:hAnsi="Times New Roman" w:cs="Times New Roman"/>
          <w:b/>
          <w:bCs/>
          <w:sz w:val="21"/>
          <w:szCs w:val="21"/>
          <w:lang w:val="en-US" w:eastAsia="zh-CN"/>
        </w:rPr>
        <w:t xml:space="preserve">S25. </w:t>
      </w:r>
      <w:r>
        <w:rPr>
          <w:rFonts w:hint="default" w:ascii="Times New Roman" w:hAnsi="Times New Roman" w:cs="Times New Roman"/>
          <w:b/>
          <w:bCs/>
          <w:sz w:val="21"/>
          <w:szCs w:val="21"/>
          <w:lang w:val="en-US" w:eastAsia="zh-CN"/>
        </w:rPr>
        <w:t>Memory T cell subsets in lymphoid tissues at 2 weeks post‑immunization.</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val="0"/>
          <w:bCs w:val="0"/>
          <w:sz w:val="21"/>
          <w:szCs w:val="21"/>
          <w:lang w:val="en-US" w:eastAsia="zh-CN"/>
        </w:rPr>
        <w:t>(A) CD8⁺ and CD4⁺ effector memory (TEM) and central memory (TCM) cells in lymph nodes. (B) CD8⁺ TEM and TCM cells in the spleen.</w:t>
      </w:r>
    </w:p>
    <w:p w14:paraId="48926F36">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eastAsiaTheme="minorEastAsia"/>
          <w:b/>
          <w:bCs/>
          <w:i w:val="0"/>
          <w:iCs w:val="0"/>
          <w:kern w:val="2"/>
          <w:sz w:val="21"/>
          <w:szCs w:val="21"/>
          <w:lang w:val="en-US" w:eastAsia="zh-CN" w:bidi="ar-SA"/>
        </w:rPr>
      </w:pPr>
    </w:p>
    <w:p w14:paraId="07C44A9B">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eastAsiaTheme="minorEastAsia"/>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 xml:space="preserve">Supplementary Figure </w:t>
      </w:r>
      <w:r>
        <w:rPr>
          <w:rFonts w:hint="eastAsia" w:ascii="Times New Roman" w:hAnsi="Times New Roman" w:cs="Times New Roman"/>
          <w:b/>
          <w:bCs/>
          <w:i w:val="0"/>
          <w:iCs w:val="0"/>
          <w:kern w:val="2"/>
          <w:sz w:val="24"/>
          <w:szCs w:val="24"/>
          <w:lang w:val="en-US" w:eastAsia="zh-CN" w:bidi="ar-SA"/>
        </w:rPr>
        <w:t>26</w:t>
      </w:r>
    </w:p>
    <w:p w14:paraId="743F6E56">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eastAsiaTheme="minorEastAsia"/>
          <w:b/>
          <w:bCs/>
          <w:i w:val="0"/>
          <w:iCs w:val="0"/>
          <w:kern w:val="2"/>
          <w:sz w:val="21"/>
          <w:szCs w:val="21"/>
          <w:lang w:val="en-US" w:eastAsia="zh-CN" w:bidi="ar-SA"/>
        </w:rPr>
      </w:pPr>
      <w:r>
        <w:rPr>
          <w:rFonts w:hint="eastAsia" w:ascii="Times New Roman" w:hAnsi="Times New Roman" w:cs="Times New Roman" w:eastAsiaTheme="minorEastAsia"/>
          <w:b/>
          <w:bCs/>
          <w:i w:val="0"/>
          <w:iCs w:val="0"/>
          <w:kern w:val="2"/>
          <w:sz w:val="21"/>
          <w:szCs w:val="21"/>
          <w:lang w:val="en-US" w:eastAsia="zh-CN" w:bidi="ar-SA"/>
        </w:rPr>
        <w:drawing>
          <wp:inline distT="0" distB="0" distL="114300" distR="114300">
            <wp:extent cx="5262245" cy="1884680"/>
            <wp:effectExtent l="0" t="0" r="5080" b="1270"/>
            <wp:docPr id="30" name="图片 30" descr="S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S25"/>
                    <pic:cNvPicPr>
                      <a:picLocks noChangeAspect="1"/>
                    </pic:cNvPicPr>
                  </pic:nvPicPr>
                  <pic:blipFill>
                    <a:blip r:embed="rId28"/>
                    <a:stretch>
                      <a:fillRect/>
                    </a:stretch>
                  </pic:blipFill>
                  <pic:spPr>
                    <a:xfrm>
                      <a:off x="0" y="0"/>
                      <a:ext cx="5262245" cy="1884680"/>
                    </a:xfrm>
                    <a:prstGeom prst="rect">
                      <a:avLst/>
                    </a:prstGeom>
                  </pic:spPr>
                </pic:pic>
              </a:graphicData>
            </a:graphic>
          </wp:inline>
        </w:drawing>
      </w:r>
    </w:p>
    <w:p w14:paraId="6E3704D7">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val="0"/>
          <w:bCs w:val="0"/>
          <w:sz w:val="21"/>
          <w:szCs w:val="21"/>
          <w:lang w:val="en-US" w:eastAsia="zh-CN"/>
        </w:rPr>
      </w:pPr>
      <w:r>
        <w:rPr>
          <w:rFonts w:hint="eastAsia" w:ascii="Times New Roman" w:hAnsi="Times New Roman" w:cs="Times New Roman"/>
          <w:b/>
          <w:bCs/>
          <w:sz w:val="21"/>
          <w:szCs w:val="21"/>
          <w:lang w:val="en-US" w:eastAsia="zh-CN"/>
        </w:rPr>
        <w:t xml:space="preserve">S26. </w:t>
      </w:r>
      <w:r>
        <w:rPr>
          <w:rFonts w:hint="default" w:ascii="Times New Roman" w:hAnsi="Times New Roman" w:cs="Times New Roman"/>
          <w:b/>
          <w:bCs/>
          <w:sz w:val="21"/>
          <w:szCs w:val="21"/>
          <w:lang w:val="en-US" w:eastAsia="zh-CN"/>
        </w:rPr>
        <w:t>Long‑term analysis of memory T cell subsets in lymphoid tissues at 24 weeks post‑immunization.</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val="0"/>
          <w:bCs w:val="0"/>
          <w:sz w:val="21"/>
          <w:szCs w:val="21"/>
          <w:lang w:val="en-US" w:eastAsia="zh-CN"/>
        </w:rPr>
        <w:t>(A) CD8⁺ and CD4⁺ TEM and TCM cells in lymph nodes. (B) CD4⁺ and CD8⁺ TEM and TCM cells in the spleen.</w:t>
      </w:r>
    </w:p>
    <w:p w14:paraId="6DB035A6">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val="0"/>
          <w:bCs w:val="0"/>
          <w:sz w:val="21"/>
          <w:szCs w:val="21"/>
          <w:lang w:val="en-US" w:eastAsia="zh-CN"/>
        </w:rPr>
      </w:pPr>
    </w:p>
    <w:p w14:paraId="76439DF1">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eastAsiaTheme="minorEastAsia"/>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Supplementary Figure 27</w:t>
      </w:r>
    </w:p>
    <w:p w14:paraId="019BEE40">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left"/>
        <w:textAlignment w:val="auto"/>
        <w:rPr>
          <w:rFonts w:hint="eastAsia" w:ascii="Times New Roman" w:hAnsi="Times New Roman" w:cs="Times New Roman" w:eastAsiaTheme="minorEastAsia"/>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drawing>
          <wp:inline distT="0" distB="0" distL="114300" distR="114300">
            <wp:extent cx="2784475" cy="2404745"/>
            <wp:effectExtent l="0" t="0" r="6350" b="5080"/>
            <wp:docPr id="31" name="图片 31" descr="S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S27"/>
                    <pic:cNvPicPr>
                      <a:picLocks noChangeAspect="1"/>
                    </pic:cNvPicPr>
                  </pic:nvPicPr>
                  <pic:blipFill>
                    <a:blip r:embed="rId29"/>
                    <a:stretch>
                      <a:fillRect/>
                    </a:stretch>
                  </pic:blipFill>
                  <pic:spPr>
                    <a:xfrm>
                      <a:off x="0" y="0"/>
                      <a:ext cx="2784475" cy="2404745"/>
                    </a:xfrm>
                    <a:prstGeom prst="rect">
                      <a:avLst/>
                    </a:prstGeom>
                  </pic:spPr>
                </pic:pic>
              </a:graphicData>
            </a:graphic>
          </wp:inline>
        </w:drawing>
      </w:r>
    </w:p>
    <w:p w14:paraId="007294EB">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S27. Colony morphology from organ homogenates in the chronic phase. Tissue bacterial load.</w:t>
      </w:r>
    </w:p>
    <w:p w14:paraId="27F96B5C">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eastAsiaTheme="minorEastAsia"/>
          <w:b/>
          <w:bCs/>
          <w:i w:val="0"/>
          <w:iCs w:val="0"/>
          <w:kern w:val="2"/>
          <w:sz w:val="24"/>
          <w:szCs w:val="24"/>
          <w:lang w:val="en-US" w:eastAsia="zh-CN" w:bidi="ar-SA"/>
        </w:rPr>
      </w:pPr>
    </w:p>
    <w:p w14:paraId="05AF0233">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eastAsiaTheme="minorEastAsia"/>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Supplementary Figure 28</w:t>
      </w:r>
    </w:p>
    <w:p w14:paraId="0926A522">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drawing>
          <wp:inline distT="0" distB="0" distL="114300" distR="114300">
            <wp:extent cx="5273040" cy="3749040"/>
            <wp:effectExtent l="0" t="0" r="3810" b="3810"/>
            <wp:docPr id="32" name="图片 32" descr="S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S28"/>
                    <pic:cNvPicPr>
                      <a:picLocks noChangeAspect="1"/>
                    </pic:cNvPicPr>
                  </pic:nvPicPr>
                  <pic:blipFill>
                    <a:blip r:embed="rId30"/>
                    <a:stretch>
                      <a:fillRect/>
                    </a:stretch>
                  </pic:blipFill>
                  <pic:spPr>
                    <a:xfrm>
                      <a:off x="0" y="0"/>
                      <a:ext cx="5273040" cy="3749040"/>
                    </a:xfrm>
                    <a:prstGeom prst="rect">
                      <a:avLst/>
                    </a:prstGeom>
                  </pic:spPr>
                </pic:pic>
              </a:graphicData>
            </a:graphic>
          </wp:inline>
        </w:drawing>
      </w:r>
    </w:p>
    <w:p w14:paraId="5E4D197D">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S28. H&amp;E staining of liver and lung tissues at two weeks post-immunization (representative images).</w:t>
      </w:r>
      <w:bookmarkStart w:id="1" w:name="_GoBack"/>
      <w:bookmarkEnd w:id="1"/>
    </w:p>
    <w:p w14:paraId="395A9BF4">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eastAsiaTheme="minorEastAsia"/>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Supplementary Figure 2</w:t>
      </w:r>
      <w:r>
        <w:rPr>
          <w:rFonts w:hint="eastAsia" w:ascii="Times New Roman" w:hAnsi="Times New Roman" w:cs="Times New Roman"/>
          <w:b/>
          <w:bCs/>
          <w:i w:val="0"/>
          <w:iCs w:val="0"/>
          <w:kern w:val="2"/>
          <w:sz w:val="24"/>
          <w:szCs w:val="24"/>
          <w:lang w:val="en-US" w:eastAsia="zh-CN" w:bidi="ar-SA"/>
        </w:rPr>
        <w:t>9</w:t>
      </w:r>
    </w:p>
    <w:p w14:paraId="274618F3">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left"/>
        <w:textAlignment w:val="auto"/>
        <w:rPr>
          <w:rFonts w:hint="eastAsia" w:ascii="Times New Roman" w:hAnsi="Times New Roman" w:cs="Times New Roman" w:eastAsiaTheme="minorEastAsia"/>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drawing>
          <wp:inline distT="0" distB="0" distL="114300" distR="114300">
            <wp:extent cx="4953000" cy="3615055"/>
            <wp:effectExtent l="0" t="0" r="0" b="4445"/>
            <wp:docPr id="33" name="图片 33" descr="S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S29"/>
                    <pic:cNvPicPr>
                      <a:picLocks noChangeAspect="1"/>
                    </pic:cNvPicPr>
                  </pic:nvPicPr>
                  <pic:blipFill>
                    <a:blip r:embed="rId31"/>
                    <a:stretch>
                      <a:fillRect/>
                    </a:stretch>
                  </pic:blipFill>
                  <pic:spPr>
                    <a:xfrm>
                      <a:off x="0" y="0"/>
                      <a:ext cx="4953000" cy="3615055"/>
                    </a:xfrm>
                    <a:prstGeom prst="rect">
                      <a:avLst/>
                    </a:prstGeom>
                  </pic:spPr>
                </pic:pic>
              </a:graphicData>
            </a:graphic>
          </wp:inline>
        </w:drawing>
      </w:r>
    </w:p>
    <w:p w14:paraId="5BE0D0C9">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S29. H&amp;E staining of liver and lung tissues in the chronic phase (representative images).</w:t>
      </w:r>
    </w:p>
    <w:p w14:paraId="5BF10A4B">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eastAsiaTheme="minorEastAsia"/>
          <w:b/>
          <w:bCs/>
          <w:i w:val="0"/>
          <w:iCs w:val="0"/>
          <w:kern w:val="2"/>
          <w:sz w:val="24"/>
          <w:szCs w:val="24"/>
          <w:lang w:val="en-US" w:eastAsia="zh-CN" w:bidi="ar-SA"/>
        </w:rPr>
      </w:pPr>
    </w:p>
    <w:p w14:paraId="3D2BA0CF">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 xml:space="preserve">Supplementary Figure </w:t>
      </w:r>
      <w:r>
        <w:rPr>
          <w:rFonts w:hint="eastAsia" w:ascii="Times New Roman" w:hAnsi="Times New Roman" w:cs="Times New Roman"/>
          <w:b/>
          <w:bCs/>
          <w:i w:val="0"/>
          <w:iCs w:val="0"/>
          <w:kern w:val="2"/>
          <w:sz w:val="24"/>
          <w:szCs w:val="24"/>
          <w:lang w:val="en-US" w:eastAsia="zh-CN" w:bidi="ar-SA"/>
        </w:rPr>
        <w:t>30</w:t>
      </w:r>
    </w:p>
    <w:p w14:paraId="580BE72A">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i w:val="0"/>
          <w:iCs w:val="0"/>
          <w:kern w:val="2"/>
          <w:sz w:val="24"/>
          <w:szCs w:val="24"/>
          <w:lang w:val="en-US" w:eastAsia="zh-CN" w:bidi="ar-SA"/>
        </w:rPr>
      </w:pPr>
      <w:r>
        <w:rPr>
          <w:rFonts w:hint="eastAsia" w:ascii="Times New Roman" w:hAnsi="Times New Roman" w:cs="Times New Roman"/>
          <w:b/>
          <w:bCs/>
          <w:i w:val="0"/>
          <w:iCs w:val="0"/>
          <w:kern w:val="2"/>
          <w:sz w:val="24"/>
          <w:szCs w:val="24"/>
          <w:lang w:val="en-US" w:eastAsia="zh-CN" w:bidi="ar-SA"/>
        </w:rPr>
        <w:drawing>
          <wp:inline distT="0" distB="0" distL="114300" distR="114300">
            <wp:extent cx="4913630" cy="3496945"/>
            <wp:effectExtent l="0" t="0" r="1270" b="8255"/>
            <wp:docPr id="34" name="图片 34" descr="S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S30"/>
                    <pic:cNvPicPr>
                      <a:picLocks noChangeAspect="1"/>
                    </pic:cNvPicPr>
                  </pic:nvPicPr>
                  <pic:blipFill>
                    <a:blip r:embed="rId32"/>
                    <a:stretch>
                      <a:fillRect/>
                    </a:stretch>
                  </pic:blipFill>
                  <pic:spPr>
                    <a:xfrm>
                      <a:off x="0" y="0"/>
                      <a:ext cx="4913630" cy="3496945"/>
                    </a:xfrm>
                    <a:prstGeom prst="rect">
                      <a:avLst/>
                    </a:prstGeom>
                  </pic:spPr>
                </pic:pic>
              </a:graphicData>
            </a:graphic>
          </wp:inline>
        </w:drawing>
      </w:r>
    </w:p>
    <w:p w14:paraId="7713BD27">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 xml:space="preserve">S30. IHC detection of </w:t>
      </w:r>
      <w:r>
        <w:rPr>
          <w:rFonts w:hint="eastAsia" w:ascii="Times New Roman" w:hAnsi="Times New Roman" w:cs="Times New Roman"/>
          <w:b/>
          <w:bCs/>
          <w:i/>
          <w:iCs/>
          <w:sz w:val="21"/>
          <w:szCs w:val="21"/>
          <w:lang w:val="en-US" w:eastAsia="zh-CN"/>
        </w:rPr>
        <w:t>Brucella</w:t>
      </w:r>
      <w:r>
        <w:rPr>
          <w:rFonts w:hint="eastAsia" w:ascii="Times New Roman" w:hAnsi="Times New Roman" w:cs="Times New Roman"/>
          <w:b/>
          <w:bCs/>
          <w:sz w:val="21"/>
          <w:szCs w:val="21"/>
          <w:lang w:val="en-US" w:eastAsia="zh-CN"/>
        </w:rPr>
        <w:t xml:space="preserve"> at two weeks post-immunization. Representative images of liver and lung tissues.</w:t>
      </w:r>
    </w:p>
    <w:p w14:paraId="713D7CD7">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eastAsiaTheme="minorEastAsia"/>
          <w:b/>
          <w:bCs/>
          <w:i w:val="0"/>
          <w:iCs w:val="0"/>
          <w:kern w:val="2"/>
          <w:sz w:val="24"/>
          <w:szCs w:val="24"/>
          <w:lang w:val="en-US" w:eastAsia="zh-CN" w:bidi="ar-SA"/>
        </w:rPr>
      </w:pPr>
    </w:p>
    <w:p w14:paraId="15A932EB">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cs="Times New Roman" w:eastAsiaTheme="minorEastAsia"/>
          <w:b/>
          <w:bCs/>
          <w:i w:val="0"/>
          <w:iCs w:val="0"/>
          <w:kern w:val="2"/>
          <w:sz w:val="24"/>
          <w:szCs w:val="24"/>
          <w:lang w:val="en-US" w:eastAsia="zh-CN" w:bidi="ar-SA"/>
        </w:rPr>
      </w:pPr>
      <w:r>
        <w:rPr>
          <w:rFonts w:hint="eastAsia" w:ascii="Times New Roman" w:hAnsi="Times New Roman" w:cs="Times New Roman" w:eastAsiaTheme="minorEastAsia"/>
          <w:b/>
          <w:bCs/>
          <w:i w:val="0"/>
          <w:iCs w:val="0"/>
          <w:kern w:val="2"/>
          <w:sz w:val="24"/>
          <w:szCs w:val="24"/>
          <w:lang w:val="en-US" w:eastAsia="zh-CN" w:bidi="ar-SA"/>
        </w:rPr>
        <w:t xml:space="preserve">Supplementary Figure </w:t>
      </w:r>
      <w:r>
        <w:rPr>
          <w:rFonts w:hint="eastAsia" w:ascii="Times New Roman" w:hAnsi="Times New Roman" w:cs="Times New Roman"/>
          <w:b/>
          <w:bCs/>
          <w:i w:val="0"/>
          <w:iCs w:val="0"/>
          <w:kern w:val="2"/>
          <w:sz w:val="24"/>
          <w:szCs w:val="24"/>
          <w:lang w:val="en-US" w:eastAsia="zh-CN" w:bidi="ar-SA"/>
        </w:rPr>
        <w:t>31</w:t>
      </w:r>
      <w:r>
        <w:rPr>
          <w:rFonts w:hint="eastAsia" w:ascii="Times New Roman" w:hAnsi="Times New Roman" w:cs="Times New Roman" w:eastAsiaTheme="minorEastAsia"/>
          <w:b/>
          <w:bCs/>
          <w:i w:val="0"/>
          <w:iCs w:val="0"/>
          <w:kern w:val="2"/>
          <w:sz w:val="24"/>
          <w:szCs w:val="24"/>
          <w:lang w:val="en-US" w:eastAsia="zh-CN" w:bidi="ar-SA"/>
        </w:rPr>
        <w:t xml:space="preserve"> </w:t>
      </w:r>
    </w:p>
    <w:p w14:paraId="5312BAB5">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drawing>
          <wp:inline distT="0" distB="0" distL="114300" distR="114300">
            <wp:extent cx="5264785" cy="3750945"/>
            <wp:effectExtent l="0" t="0" r="2540" b="1905"/>
            <wp:docPr id="35" name="图片 35" descr="S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S31"/>
                    <pic:cNvPicPr>
                      <a:picLocks noChangeAspect="1"/>
                    </pic:cNvPicPr>
                  </pic:nvPicPr>
                  <pic:blipFill>
                    <a:blip r:embed="rId33"/>
                    <a:stretch>
                      <a:fillRect/>
                    </a:stretch>
                  </pic:blipFill>
                  <pic:spPr>
                    <a:xfrm>
                      <a:off x="0" y="0"/>
                      <a:ext cx="5264785" cy="3750945"/>
                    </a:xfrm>
                    <a:prstGeom prst="rect">
                      <a:avLst/>
                    </a:prstGeom>
                  </pic:spPr>
                </pic:pic>
              </a:graphicData>
            </a:graphic>
          </wp:inline>
        </w:drawing>
      </w:r>
      <w:r>
        <w:rPr>
          <w:rFonts w:hint="eastAsia" w:ascii="Times New Roman" w:hAnsi="Times New Roman" w:cs="Times New Roman"/>
          <w:b/>
          <w:bCs/>
          <w:sz w:val="21"/>
          <w:szCs w:val="21"/>
          <w:lang w:val="en-US" w:eastAsia="zh-CN"/>
        </w:rPr>
        <w:t xml:space="preserve">S31. IHC detection of </w:t>
      </w:r>
      <w:r>
        <w:rPr>
          <w:rFonts w:hint="eastAsia" w:ascii="Times New Roman" w:hAnsi="Times New Roman" w:cs="Times New Roman"/>
          <w:b/>
          <w:bCs/>
          <w:i/>
          <w:iCs/>
          <w:sz w:val="21"/>
          <w:szCs w:val="21"/>
          <w:lang w:val="en-US" w:eastAsia="zh-CN"/>
        </w:rPr>
        <w:t>Brucella</w:t>
      </w:r>
      <w:r>
        <w:rPr>
          <w:rFonts w:hint="eastAsia" w:ascii="Times New Roman" w:hAnsi="Times New Roman" w:cs="Times New Roman"/>
          <w:b/>
          <w:bCs/>
          <w:sz w:val="21"/>
          <w:szCs w:val="21"/>
          <w:lang w:val="en-US" w:eastAsia="zh-CN"/>
        </w:rPr>
        <w:t xml:space="preserve"> in the chronic phase. Representative images of liver and lung tissues.</w:t>
      </w:r>
    </w:p>
    <w:p w14:paraId="18863E14">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default" w:ascii="Times New Roman" w:hAnsi="Times New Roman" w:cs="Times New Roman"/>
          <w:b/>
          <w:bCs/>
          <w:sz w:val="21"/>
          <w:szCs w:val="21"/>
          <w:lang w:val="en-US" w:eastAsia="zh-CN"/>
        </w:rPr>
      </w:pPr>
    </w:p>
    <w:p w14:paraId="2E8F4C17">
      <w:pPr>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12" w:lineRule="auto"/>
        <w:ind w:leftChars="0"/>
        <w:jc w:val="both"/>
        <w:textAlignment w:val="auto"/>
        <w:rPr>
          <w:rFonts w:hint="eastAsia" w:ascii="Times New Roman" w:hAnsi="Times New Roman" w:eastAsia="宋体" w:cs="Times New Roman"/>
          <w:b w:val="0"/>
          <w:bCs w:val="0"/>
          <w:i w:val="0"/>
          <w:iCs w:val="0"/>
          <w:caps w:val="0"/>
          <w:color w:val="1F2329"/>
          <w:spacing w:val="0"/>
          <w:sz w:val="21"/>
          <w:szCs w:val="21"/>
          <w:shd w:val="clear" w:fill="FFFFFF"/>
          <w:lang w:val="en-US" w:eastAsia="zh-CN"/>
        </w:rPr>
      </w:pPr>
    </w:p>
    <w:p w14:paraId="383830AF">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eastAsia" w:ascii="Times New Roman" w:hAnsi="Times New Roman" w:cs="Times New Roman"/>
          <w:b/>
          <w:bCs/>
          <w:i w:val="0"/>
          <w:iCs w:val="0"/>
          <w:kern w:val="2"/>
          <w:sz w:val="21"/>
          <w:szCs w:val="21"/>
          <w:lang w:val="en-US" w:eastAsia="zh-CN" w:bidi="ar-SA"/>
        </w:rPr>
      </w:pPr>
    </w:p>
    <w:p w14:paraId="3FF5D018">
      <w:pPr>
        <w:keepNext w:val="0"/>
        <w:keepLines w:val="0"/>
        <w:pageBreakBefore w:val="0"/>
        <w:widowControl w:val="0"/>
        <w:kinsoku/>
        <w:wordWrap/>
        <w:overflowPunct/>
        <w:topLinePunct w:val="0"/>
        <w:autoSpaceDE/>
        <w:autoSpaceDN/>
        <w:bidi w:val="0"/>
        <w:adjustRightInd/>
        <w:snapToGrid/>
        <w:spacing w:before="157" w:beforeLines="50" w:after="157" w:afterLines="50" w:line="312" w:lineRule="auto"/>
        <w:jc w:val="both"/>
        <w:textAlignment w:val="auto"/>
        <w:rPr>
          <w:rFonts w:hint="default" w:ascii="Times New Roman" w:hAnsi="Times New Roman" w:cs="Times New Roman"/>
          <w:sz w:val="18"/>
          <w:szCs w:val="1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811ECC"/>
    <w:multiLevelType w:val="singleLevel"/>
    <w:tmpl w:val="E9811ECC"/>
    <w:lvl w:ilvl="0" w:tentative="0">
      <w:start w:val="1"/>
      <w:numFmt w:val="bullet"/>
      <w:lvlText w:val=""/>
      <w:lvlJc w:val="left"/>
      <w:pPr>
        <w:ind w:left="420" w:hanging="420"/>
      </w:pPr>
      <w:rPr>
        <w:rFonts w:hint="default" w:ascii="Wingdings" w:hAnsi="Wingdings"/>
        <w:sz w:val="15"/>
        <w:szCs w:val="15"/>
      </w:rPr>
    </w:lvl>
  </w:abstractNum>
  <w:abstractNum w:abstractNumId="1">
    <w:nsid w:val="3E4993D6"/>
    <w:multiLevelType w:val="multilevel"/>
    <w:tmpl w:val="3E4993D6"/>
    <w:lvl w:ilvl="0" w:tentative="0">
      <w:start w:val="1"/>
      <w:numFmt w:val="bullet"/>
      <w:lvlText w:val=""/>
      <w:lvlJc w:val="left"/>
      <w:pPr>
        <w:ind w:left="420" w:hanging="420"/>
      </w:pPr>
      <w:rPr>
        <w:rFonts w:hint="default" w:ascii="Wingdings" w:hAnsi="Wingdings"/>
        <w:sz w:val="15"/>
        <w:szCs w:val="15"/>
      </w:rPr>
    </w:lvl>
    <w:lvl w:ilvl="1" w:tentative="0">
      <w:start w:val="1"/>
      <w:numFmt w:val="bullet"/>
      <w:lvlText w:val=""/>
      <w:lvlJc w:val="left"/>
      <w:pPr>
        <w:tabs>
          <w:tab w:val="left" w:pos="840"/>
        </w:tabs>
        <w:ind w:left="840" w:leftChars="0" w:hanging="420" w:firstLineChars="0"/>
      </w:pPr>
      <w:rPr>
        <w:rFonts w:hint="default" w:ascii="Wingdings" w:hAnsi="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2768D9"/>
    <w:rsid w:val="05C85CA6"/>
    <w:rsid w:val="0E807E3A"/>
    <w:rsid w:val="13BE2381"/>
    <w:rsid w:val="1E270330"/>
    <w:rsid w:val="2A2768D9"/>
    <w:rsid w:val="2B77216D"/>
    <w:rsid w:val="36842009"/>
    <w:rsid w:val="3935362F"/>
    <w:rsid w:val="3A287FFA"/>
    <w:rsid w:val="461B1070"/>
    <w:rsid w:val="5275501F"/>
    <w:rsid w:val="55225FB8"/>
    <w:rsid w:val="5C0E150F"/>
    <w:rsid w:val="62D358FF"/>
    <w:rsid w:val="63764FFB"/>
    <w:rsid w:val="66C8434A"/>
    <w:rsid w:val="66E35DDB"/>
    <w:rsid w:val="6A4C2D5C"/>
    <w:rsid w:val="78EB3D91"/>
    <w:rsid w:val="7D6904A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tiff"/><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tiff"/><Relationship Id="rId21" Type="http://schemas.openxmlformats.org/officeDocument/2006/relationships/image" Target="media/image18.jpeg"/><Relationship Id="rId20" Type="http://schemas.openxmlformats.org/officeDocument/2006/relationships/image" Target="media/image17.tiff"/><Relationship Id="rId2" Type="http://schemas.openxmlformats.org/officeDocument/2006/relationships/settings" Target="settings.xml"/><Relationship Id="rId19" Type="http://schemas.openxmlformats.org/officeDocument/2006/relationships/image" Target="media/image16.tiff"/><Relationship Id="rId18" Type="http://schemas.openxmlformats.org/officeDocument/2006/relationships/image" Target="media/image15.tiff"/><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tiff"/><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2510</Words>
  <Characters>15248</Characters>
  <Lines>0</Lines>
  <Paragraphs>0</Paragraphs>
  <TotalTime>1</TotalTime>
  <ScaleCrop>false</ScaleCrop>
  <LinksUpToDate>false</LinksUpToDate>
  <CharactersWithSpaces>17645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2025-12-19T18:01:00Z</dcterms:created>
  <dc:creator>TTT</dc:creator>
  <cp:lastModifiedBy>TTT</cp:lastModifiedBy>
  <dcterms:modified xsi:type="dcterms:W3CDTF">2026-06-05T13:24:52Z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F24CEC7139D04C6CAF9322B00BFC9307_13</vt:lpwstr>
  </property>
  <property fmtid="{D5CDD505-2E9C-101B-9397-08002B2CF9AE}" pid="4" name="KSOTemplateDocerSaveRecord">
    <vt:lpwstr>eyJoZGlkIjoiMDkyMGNiN2I4NDk3ZGQyY2Q1ZDU1ODYxNmNhNjQ5NjUiLCJ1c2VySWQiOiI1Mzg2NDk5NTAifQ==</vt:lpwstr>
  </property>
</Properties>
</file>