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148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ind w:left="0" w:firstLine="0" w:firstLineChars="0"/>
        <w:jc w:val="both"/>
        <w:textAlignment w:val="auto"/>
        <w:rPr>
          <w:rFonts w:hint="eastAsia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</w:rPr>
        <w:t>Table S1. shRNA sequences</w:t>
      </w: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.</w:t>
      </w:r>
    </w:p>
    <w:tbl>
      <w:tblPr>
        <w:tblStyle w:val="4"/>
        <w:tblW w:w="4999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3"/>
        <w:gridCol w:w="7509"/>
      </w:tblGrid>
      <w:tr w14:paraId="60E5ABF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pct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6B63D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Name</w:t>
            </w:r>
          </w:p>
        </w:tc>
        <w:tc>
          <w:tcPr>
            <w:tcW w:w="3810" w:type="pct"/>
            <w:tcBorders>
              <w:bottom w:val="single" w:color="000000" w:sz="12" w:space="0"/>
              <w:tl2br w:val="nil"/>
              <w:tr2bl w:val="nil"/>
            </w:tcBorders>
            <w:vAlign w:val="center"/>
          </w:tcPr>
          <w:p w14:paraId="44616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  <w:t>Sequence</w:t>
            </w:r>
          </w:p>
        </w:tc>
      </w:tr>
      <w:tr w14:paraId="563BAA7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pct"/>
            <w:tcBorders>
              <w:top w:val="single" w:color="000000" w:sz="12" w:space="0"/>
              <w:tl2br w:val="nil"/>
              <w:tr2bl w:val="nil"/>
            </w:tcBorders>
            <w:vAlign w:val="center"/>
          </w:tcPr>
          <w:p w14:paraId="0C637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sh-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lang w:eastAsia="zh-CN"/>
              </w:rPr>
              <w:t>GPX4#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810" w:type="pct"/>
            <w:tcBorders>
              <w:top w:val="single" w:color="000000" w:sz="12" w:space="0"/>
              <w:tl2br w:val="nil"/>
              <w:tr2bl w:val="nil"/>
            </w:tcBorders>
            <w:vAlign w:val="center"/>
          </w:tcPr>
          <w:p w14:paraId="4B079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5’-GTGAGGCAAGACCGAAGTAAA-3’</w:t>
            </w:r>
          </w:p>
        </w:tc>
      </w:tr>
      <w:tr w14:paraId="0794AF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pct"/>
            <w:tcBorders>
              <w:tl2br w:val="nil"/>
              <w:tr2bl w:val="nil"/>
            </w:tcBorders>
            <w:vAlign w:val="center"/>
          </w:tcPr>
          <w:p w14:paraId="6AA45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sh-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lang w:eastAsia="zh-CN"/>
              </w:rPr>
              <w:t>GPX4#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810" w:type="pct"/>
            <w:tcBorders>
              <w:tl2br w:val="nil"/>
              <w:tr2bl w:val="nil"/>
            </w:tcBorders>
            <w:vAlign w:val="center"/>
          </w:tcPr>
          <w:p w14:paraId="62CF7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5’-GTGGATGAAGATCCAACCCAA-3’</w:t>
            </w:r>
          </w:p>
        </w:tc>
      </w:tr>
      <w:tr w14:paraId="4A76FA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9" w:type="pct"/>
            <w:tcBorders>
              <w:tl2br w:val="nil"/>
              <w:tr2bl w:val="nil"/>
            </w:tcBorders>
            <w:vAlign w:val="center"/>
          </w:tcPr>
          <w:p w14:paraId="3D48A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sh-NC</w:t>
            </w:r>
          </w:p>
        </w:tc>
        <w:tc>
          <w:tcPr>
            <w:tcW w:w="3810" w:type="pct"/>
            <w:tcBorders>
              <w:tl2br w:val="nil"/>
              <w:tr2bl w:val="nil"/>
            </w:tcBorders>
            <w:vAlign w:val="center"/>
          </w:tcPr>
          <w:p w14:paraId="22150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5’-TTCTCCGAACGTGTCACGT-3’</w:t>
            </w:r>
          </w:p>
        </w:tc>
      </w:tr>
    </w:tbl>
    <w:p w14:paraId="6D063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ind w:left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color w:val="000000"/>
          <w:sz w:val="24"/>
          <w:szCs w:val="24"/>
          <w:lang w:eastAsia="zh-CN"/>
        </w:rPr>
      </w:pPr>
    </w:p>
    <w:p w14:paraId="2D9E5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br w:type="page"/>
      </w:r>
    </w:p>
    <w:p w14:paraId="3EEA7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ind w:left="0" w:firstLine="0" w:firstLineChars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</w:rPr>
        <w:t>Table S</w:t>
      </w:r>
      <w:r>
        <w:rPr>
          <w:rFonts w:hint="default" w:ascii="Times New Roman" w:hAnsi="Times New Roman" w:eastAsia="宋体" w:cs="Times New Roman"/>
          <w:b/>
          <w:bCs w:val="0"/>
          <w:sz w:val="24"/>
          <w:szCs w:val="24"/>
          <w:lang w:eastAsia="zh-CN"/>
        </w:rPr>
        <w:t>2</w:t>
      </w:r>
      <w:r>
        <w:rPr>
          <w:rFonts w:hint="default" w:ascii="Times New Roman" w:hAnsi="Times New Roman" w:eastAsia="宋体" w:cs="Times New Roman"/>
          <w:b/>
          <w:bCs w:val="0"/>
          <w:sz w:val="24"/>
          <w:szCs w:val="24"/>
        </w:rPr>
        <w:t>. RT-qPCR primer sequences</w:t>
      </w: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lang w:eastAsia="zh-CN"/>
        </w:rPr>
        <w:t xml:space="preserve"> (</w:t>
      </w:r>
      <w:r>
        <w:rPr>
          <w:rFonts w:hint="default" w:ascii="Times New Roman" w:hAnsi="Times New Roman" w:eastAsia="宋体" w:cs="Times New Roman"/>
          <w:b/>
          <w:bCs w:val="0"/>
          <w:sz w:val="24"/>
          <w:szCs w:val="24"/>
        </w:rPr>
        <w:t>human</w:t>
      </w: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lang w:eastAsia="zh-CN"/>
        </w:rPr>
        <w:t>)</w:t>
      </w:r>
      <w:r>
        <w:rPr>
          <w:rFonts w:hint="eastAsia" w:ascii="Times New Roman" w:hAnsi="Times New Roman" w:eastAsia="宋体" w:cs="Times New Roman"/>
          <w:b/>
          <w:bCs w:val="0"/>
          <w:sz w:val="24"/>
          <w:szCs w:val="24"/>
          <w:lang w:val="en-US" w:eastAsia="zh-CN"/>
        </w:rPr>
        <w:t>.</w:t>
      </w:r>
    </w:p>
    <w:tbl>
      <w:tblPr>
        <w:tblStyle w:val="3"/>
        <w:tblW w:w="4999" w:type="pct"/>
        <w:tblInd w:w="0" w:type="dxa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5"/>
        <w:gridCol w:w="6947"/>
      </w:tblGrid>
      <w:tr w14:paraId="36D28AF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tcBorders>
              <w:bottom w:val="single" w:color="000000" w:sz="12" w:space="0"/>
            </w:tcBorders>
            <w:vAlign w:val="center"/>
          </w:tcPr>
          <w:p w14:paraId="53AF6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bookmarkStart w:id="0" w:name="OLE_LINK31"/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3525" w:type="pct"/>
            <w:tcBorders>
              <w:bottom w:val="single" w:color="000000" w:sz="12" w:space="0"/>
            </w:tcBorders>
            <w:vAlign w:val="center"/>
          </w:tcPr>
          <w:p w14:paraId="7AD4E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24"/>
                <w:szCs w:val="24"/>
              </w:rPr>
              <w:t>Primer Sequence</w:t>
            </w:r>
          </w:p>
        </w:tc>
      </w:tr>
      <w:tr w14:paraId="60FFB12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restart"/>
            <w:tcBorders>
              <w:top w:val="single" w:color="000000" w:sz="12" w:space="0"/>
            </w:tcBorders>
            <w:vAlign w:val="center"/>
          </w:tcPr>
          <w:p w14:paraId="0C46B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GAPDH</w:t>
            </w:r>
          </w:p>
        </w:tc>
        <w:tc>
          <w:tcPr>
            <w:tcW w:w="3525" w:type="pct"/>
            <w:tcBorders>
              <w:top w:val="single" w:color="000000" w:sz="12" w:space="0"/>
            </w:tcBorders>
            <w:vAlign w:val="center"/>
          </w:tcPr>
          <w:p w14:paraId="57020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5'-CGGATTTGGTCGTATTGGGC-3'</w:t>
            </w:r>
          </w:p>
        </w:tc>
      </w:tr>
      <w:tr w14:paraId="26F2DAF8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continue"/>
            <w:vAlign w:val="center"/>
          </w:tcPr>
          <w:p w14:paraId="36780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525" w:type="pct"/>
            <w:vAlign w:val="center"/>
          </w:tcPr>
          <w:p w14:paraId="4652BF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5'-TTGACGGTGCCATGGAATTTG-3'</w:t>
            </w:r>
          </w:p>
        </w:tc>
      </w:tr>
      <w:tr w14:paraId="613DAEF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restart"/>
            <w:vAlign w:val="center"/>
          </w:tcPr>
          <w:p w14:paraId="110FE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KIM1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  <w:lang w:eastAsia="zh-CN"/>
              </w:rPr>
              <w:t>HAVCR1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3525" w:type="pct"/>
            <w:vAlign w:val="center"/>
          </w:tcPr>
          <w:p w14:paraId="52A83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5'- TGGCAGATTCTGTAGCTGGTT -3'</w:t>
            </w:r>
          </w:p>
        </w:tc>
      </w:tr>
      <w:tr w14:paraId="69EEDD8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continue"/>
            <w:vAlign w:val="center"/>
          </w:tcPr>
          <w:p w14:paraId="49FD9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525" w:type="pct"/>
            <w:vAlign w:val="center"/>
          </w:tcPr>
          <w:p w14:paraId="3F6F9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5'- AGAGAACATGAGCCTCTATTCCA -3'</w:t>
            </w:r>
          </w:p>
        </w:tc>
      </w:tr>
      <w:tr w14:paraId="298A81EC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restart"/>
            <w:vAlign w:val="center"/>
          </w:tcPr>
          <w:p w14:paraId="2ED25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NGAL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LCN2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3525" w:type="pct"/>
            <w:vAlign w:val="center"/>
          </w:tcPr>
          <w:p w14:paraId="30319C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5'- CCACCTCAGACCTGATCCCA -3'</w:t>
            </w:r>
          </w:p>
        </w:tc>
      </w:tr>
      <w:tr w14:paraId="7CE5BFC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continue"/>
            <w:vAlign w:val="center"/>
          </w:tcPr>
          <w:p w14:paraId="0D92A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525" w:type="pct"/>
            <w:vAlign w:val="center"/>
          </w:tcPr>
          <w:p w14:paraId="5B7E9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5'- CCCCTGGAATTGGTTGTCCTG -3'</w:t>
            </w:r>
          </w:p>
        </w:tc>
      </w:tr>
      <w:tr w14:paraId="06ABBCE2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restart"/>
            <w:vAlign w:val="center"/>
          </w:tcPr>
          <w:p w14:paraId="51698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CYSC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CST3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3525" w:type="pct"/>
            <w:vAlign w:val="center"/>
          </w:tcPr>
          <w:p w14:paraId="0FCEC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5'- GTCGGCGAGTACAACAAAGC -3'</w:t>
            </w:r>
          </w:p>
        </w:tc>
      </w:tr>
      <w:tr w14:paraId="0F8FE6E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continue"/>
            <w:vAlign w:val="center"/>
          </w:tcPr>
          <w:p w14:paraId="09567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525" w:type="pct"/>
            <w:vAlign w:val="center"/>
          </w:tcPr>
          <w:p w14:paraId="085C9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 xml:space="preserve">5'- </w:t>
            </w:r>
            <w:bookmarkStart w:id="1" w:name="OLE_LINK29"/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 xml:space="preserve">CACCCCAGCTACGATCTGC </w:t>
            </w:r>
            <w:bookmarkEnd w:id="1"/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-3'</w:t>
            </w:r>
          </w:p>
        </w:tc>
      </w:tr>
      <w:tr w14:paraId="4A7AD8BF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restart"/>
            <w:vAlign w:val="center"/>
          </w:tcPr>
          <w:p w14:paraId="12E7C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ACTA2</w:t>
            </w:r>
          </w:p>
        </w:tc>
        <w:tc>
          <w:tcPr>
            <w:tcW w:w="3525" w:type="pct"/>
            <w:vAlign w:val="center"/>
          </w:tcPr>
          <w:p w14:paraId="1B65E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5'- AAAAGACAGCTACGTGGGTGA -3'</w:t>
            </w:r>
          </w:p>
        </w:tc>
      </w:tr>
      <w:tr w14:paraId="037FA24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continue"/>
            <w:vAlign w:val="center"/>
          </w:tcPr>
          <w:p w14:paraId="53298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525" w:type="pct"/>
            <w:vAlign w:val="center"/>
          </w:tcPr>
          <w:p w14:paraId="1C825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5'- GCCATGTTCTATCGGGTACTTC -3'</w:t>
            </w:r>
          </w:p>
        </w:tc>
      </w:tr>
      <w:tr w14:paraId="4375D1E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restart"/>
            <w:vAlign w:val="center"/>
          </w:tcPr>
          <w:p w14:paraId="2D524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Fn1</w:t>
            </w:r>
          </w:p>
        </w:tc>
        <w:tc>
          <w:tcPr>
            <w:tcW w:w="3525" w:type="pct"/>
            <w:vAlign w:val="center"/>
          </w:tcPr>
          <w:p w14:paraId="4A7389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5'- CGGTGGCTGTCAGTCAAAG -3'</w:t>
            </w:r>
          </w:p>
        </w:tc>
      </w:tr>
      <w:tr w14:paraId="6CC72D8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continue"/>
            <w:vAlign w:val="center"/>
          </w:tcPr>
          <w:p w14:paraId="495D4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525" w:type="pct"/>
            <w:vAlign w:val="center"/>
          </w:tcPr>
          <w:p w14:paraId="29841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5'- AAACCTCGGCTTCCTCCATAA -3'</w:t>
            </w:r>
          </w:p>
        </w:tc>
      </w:tr>
      <w:tr w14:paraId="49628134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restart"/>
            <w:vAlign w:val="center"/>
          </w:tcPr>
          <w:p w14:paraId="1BA40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sz w:val="24"/>
                <w:szCs w:val="24"/>
              </w:rPr>
              <w:t>VIMENTIN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VIM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)</w:t>
            </w:r>
          </w:p>
        </w:tc>
        <w:tc>
          <w:tcPr>
            <w:tcW w:w="3525" w:type="pct"/>
            <w:vAlign w:val="center"/>
          </w:tcPr>
          <w:p w14:paraId="783B4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F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5'- CGGTGGCTGTCAGTCAAAG -3'</w:t>
            </w:r>
          </w:p>
        </w:tc>
      </w:tr>
      <w:tr w14:paraId="6A645170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74" w:type="pct"/>
            <w:vMerge w:val="continue"/>
            <w:vAlign w:val="center"/>
          </w:tcPr>
          <w:p w14:paraId="1A7D2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6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525" w:type="pct"/>
            <w:vAlign w:val="center"/>
          </w:tcPr>
          <w:p w14:paraId="7174A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left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 xml:space="preserve">: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5'- CTTTGTCGTTGGTTAGCTGGT -3'</w:t>
            </w:r>
          </w:p>
        </w:tc>
      </w:tr>
      <w:bookmarkEnd w:id="0"/>
    </w:tbl>
    <w:p w14:paraId="0FA6317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ind w:left="0" w:firstLine="0" w:firstLineChars="0"/>
        <w:jc w:val="both"/>
        <w:textAlignment w:val="auto"/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Note: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F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eastAsia="zh-CN"/>
        </w:rPr>
        <w:t xml:space="preserve">: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Forward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R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eastAsia="zh-CN"/>
        </w:rPr>
        <w:t xml:space="preserve">: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Reverse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.</w:t>
      </w:r>
    </w:p>
    <w:p w14:paraId="2D3E1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ind w:left="0"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color w:val="000000"/>
          <w:sz w:val="24"/>
          <w:szCs w:val="24"/>
        </w:rPr>
      </w:pPr>
    </w:p>
    <w:p w14:paraId="0D4EAA40">
      <w:pPr>
        <w:rPr>
          <w:rFonts w:hint="default" w:ascii="Times New Roman" w:hAnsi="Times New Roman" w:eastAsia="宋体" w:cs="Times New Roman"/>
          <w:b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</w:rPr>
        <w:br w:type="page"/>
      </w:r>
    </w:p>
    <w:p w14:paraId="1D5EF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b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 w:val="0"/>
          <w:sz w:val="24"/>
          <w:szCs w:val="24"/>
        </w:rPr>
        <w:t>Table S3. Comparison of MHY@MO@PPP with representative nanozyme-based strategies reported for AKI-related oxidative injury.</w:t>
      </w:r>
    </w:p>
    <w:tbl>
      <w:tblPr>
        <w:tblStyle w:val="4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1200"/>
        <w:gridCol w:w="2146"/>
        <w:gridCol w:w="1817"/>
        <w:gridCol w:w="2185"/>
        <w:gridCol w:w="914"/>
      </w:tblGrid>
      <w:tr w14:paraId="269EDA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l2br w:val="nil"/>
              <w:tr2bl w:val="nil"/>
            </w:tcBorders>
          </w:tcPr>
          <w:p w14:paraId="38870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System/material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6F499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Disease context/model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63355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Main therapeutic emphasis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617F0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Key endpoints reported or emphasized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2D739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Difference from MHY@MO@PPP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5CF46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Reference</w:t>
            </w:r>
          </w:p>
        </w:tc>
      </w:tr>
      <w:tr w14:paraId="7A9FB9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l2br w:val="nil"/>
              <w:tr2bl w:val="nil"/>
            </w:tcBorders>
          </w:tcPr>
          <w:p w14:paraId="708EA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Valence-engineered MoOx nanozyme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167F6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bookmarkStart w:id="2" w:name="_GoBack"/>
            <w:bookmarkEnd w:id="2"/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Experimental AKI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35C89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ROS scavenging through valence/catalysis-selectivity regulation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676CAB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Renal oxidative stress, renal injury, and post-cure assessment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17122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Focuses on MoOx catalytic regulation; does not incorporate MHY1485-mediated mTORC1/GPX4 intervention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5E6EC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[12]</w:t>
            </w:r>
          </w:p>
        </w:tc>
      </w:tr>
      <w:tr w14:paraId="4F2B63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l2br w:val="nil"/>
              <w:tr2bl w:val="nil"/>
            </w:tcBorders>
          </w:tcPr>
          <w:p w14:paraId="4B65D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Manganese-based nanozyme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10EBD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Experimental AKI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6B144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Antioxidant and anti-inflammatory regulation involving Nrf2/HO-1 and PI3K/Akt/NF-κB signaling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3849D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Renal function, oxidative stress, inflammatory signaling, and tissue injury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7898E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Focuses on manganese-based redox regulation rather than Fe2+-mTORC1-GPX4 ferroptosis-axis remodeling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1701C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[15]</w:t>
            </w:r>
          </w:p>
        </w:tc>
      </w:tr>
      <w:tr w14:paraId="336B0D1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l2br w:val="nil"/>
              <w:tr2bl w:val="nil"/>
            </w:tcBorders>
          </w:tcPr>
          <w:p w14:paraId="2D2BB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Gold nanozyme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2811D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Experimental AKI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4FCCB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Broad-spectrum antioxidant and anti-inflammatory activity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28FD7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ROS/inflammation reduction and kidney-protective effects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6DB49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Emphasizes clinically translatable antioxidant nanozyme activity without pH-responsive MHY1485 delivery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567EB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[16]</w:t>
            </w:r>
          </w:p>
        </w:tc>
      </w:tr>
      <w:tr w14:paraId="7753FB6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l2br w:val="nil"/>
              <w:tr2bl w:val="nil"/>
            </w:tcBorders>
          </w:tcPr>
          <w:p w14:paraId="2D840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Fe-flavonoid nanozyme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7CFD8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Experimental AKI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4DE99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Natural antioxidant/metal-organic nanozyme modulation of oxidative injury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02F885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ROS-related injury alleviation and renal protection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6637A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Represents antioxidant nanozyme therapy but does not directly test the MHY1485-mTORC1-GPX4 module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051E1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[17]</w:t>
            </w:r>
          </w:p>
        </w:tc>
      </w:tr>
      <w:tr w14:paraId="112A209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2" w:type="dxa"/>
            <w:tcBorders>
              <w:tl2br w:val="nil"/>
              <w:tr2bl w:val="nil"/>
            </w:tcBorders>
          </w:tcPr>
          <w:p w14:paraId="72ACF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MHY@MO@PPP (this study)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0E349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UIRI-induced AKI-to-CKD transition and HK-2 ferroptosis model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14880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Integrated ROS scavenging, responsive release, mTORC1 activation, and GPX4 restoration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187C4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Fe2+ burden, ROS/MDA/GSH, p-mTOR/GPX4/FTH1, renal function, fibrosis, and inflammation markers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6DF64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Designed to target the ferroptosis-associated Fe2+-mTORC1-GPX4 network and fibrosis progression; component-specific in vivo attribution remains a limitation</w:t>
            </w:r>
          </w:p>
        </w:tc>
        <w:tc>
          <w:tcPr>
            <w:tcW w:w="1662" w:type="dxa"/>
            <w:tcBorders>
              <w:tl2br w:val="nil"/>
              <w:tr2bl w:val="nil"/>
            </w:tcBorders>
          </w:tcPr>
          <w:p w14:paraId="10205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This study</w:t>
            </w:r>
          </w:p>
        </w:tc>
      </w:tr>
    </w:tbl>
    <w:p w14:paraId="68E81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Note: This comparison is intended to position the present platform relative to representative antioxidant nanozyme strategies. Efficacy endpoints are summarized qualitatively because disease models, doses, and follow-up durations differ across studies.</w:t>
      </w:r>
    </w:p>
    <w:p w14:paraId="0A0E8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ind w:firstLine="0" w:firstLineChars="0"/>
        <w:jc w:val="both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</w:p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B00A36"/>
    <w:rsid w:val="155777F8"/>
    <w:rsid w:val="1C185DCD"/>
    <w:rsid w:val="203267B4"/>
    <w:rsid w:val="28123DA1"/>
    <w:rsid w:val="457461C1"/>
    <w:rsid w:val="57204CCB"/>
    <w:rsid w:val="57B34CA3"/>
    <w:rsid w:val="58337298"/>
    <w:rsid w:val="69623539"/>
    <w:rsid w:val="7E6B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148</Words>
  <Characters>1162</Characters>
  <Lines>0</Lines>
  <Paragraphs>0</Paragraphs>
  <TotalTime>0</TotalTime>
  <ScaleCrop>false</ScaleCrop>
  <LinksUpToDate>false</LinksUpToDate>
  <CharactersWithSpaces>1263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2024-07-25T06:28:00Z</dcterms:created>
  <dc:creator>Administrator</dc:creator>
  <cp:lastModifiedBy>Administrator</cp:lastModifiedBy>
  <dcterms:modified xsi:type="dcterms:W3CDTF">2026-07-16T03:07:45Z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193A792B432840F68CA23EC04D823547_12</vt:lpwstr>
  </property>
  <property fmtid="{D5CDD505-2E9C-101B-9397-08002B2CF9AE}" pid="4" name="KSOTemplateDocerSaveRecord">
    <vt:lpwstr>eyJoZGlkIjoiYjgyZDdhYjRiMTIxNWU4Y2NjZmM0YWQ3NThiZDY3MWUiLCJ1c2VySWQiOiI3OTk0MzMyMDcifQ==</vt:lpwstr>
  </property>
</Properties>
</file>