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7CCE37">
      <w:pPr>
        <w:bidi w:val="0"/>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Supplementary Information</w:t>
      </w:r>
    </w:p>
    <w:p w14:paraId="4B27E310">
      <w:pPr>
        <w:bidi w:val="0"/>
        <w:rPr>
          <w:rFonts w:hint="eastAsia" w:ascii="Times New Roman" w:hAnsi="Times New Roman" w:cs="Times New Roman"/>
          <w:b/>
          <w:bCs/>
          <w:sz w:val="30"/>
          <w:szCs w:val="30"/>
          <w:lang w:val="en-US" w:eastAsia="zh-CN"/>
        </w:rPr>
      </w:pPr>
    </w:p>
    <w:p w14:paraId="0C53A688">
      <w:pPr>
        <w:spacing w:line="360" w:lineRule="auto"/>
        <w:jc w:val="center"/>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rPr>
        <w:t>Taraxacum-Derived Extracellular Nanovesicles Attenuate DSS-Induced Colitis Through Coordinated Modulation of Gut Microbiota, Intestinal Barrier, and Mucosal Inflammation</w:t>
      </w:r>
    </w:p>
    <w:p w14:paraId="1C16BE98">
      <w:pPr>
        <w:spacing w:line="360" w:lineRule="auto"/>
        <w:jc w:val="center"/>
        <w:rPr>
          <w:rFonts w:hint="default" w:ascii="Times New Roman" w:hAnsi="Times New Roman" w:eastAsia="宋体" w:cs="Times New Roman"/>
          <w:color w:val="auto"/>
          <w:sz w:val="24"/>
          <w:szCs w:val="24"/>
        </w:rPr>
      </w:pPr>
    </w:p>
    <w:p w14:paraId="2100B5CC">
      <w:pPr>
        <w:spacing w:line="360" w:lineRule="auto"/>
        <w:jc w:val="center"/>
        <w:rPr>
          <w:rFonts w:hint="default" w:ascii="Times New Roman" w:hAnsi="Times New Roman" w:eastAsia="宋体" w:cs="Times New Roman"/>
          <w:color w:val="auto"/>
          <w:sz w:val="24"/>
          <w:szCs w:val="24"/>
          <w:vertAlign w:val="superscript"/>
        </w:rPr>
      </w:pPr>
      <w:r>
        <w:rPr>
          <w:rFonts w:hint="default" w:ascii="Times New Roman" w:hAnsi="Times New Roman" w:eastAsia="宋体" w:cs="Times New Roman"/>
          <w:color w:val="auto"/>
          <w:sz w:val="24"/>
          <w:szCs w:val="24"/>
        </w:rPr>
        <w:t>Zilong Lun</w:t>
      </w:r>
      <w:r>
        <w:rPr>
          <w:rFonts w:hint="default" w:ascii="Times New Roman" w:hAnsi="Times New Roman" w:eastAsia="宋体" w:cs="Times New Roman"/>
          <w:color w:val="auto"/>
          <w:sz w:val="24"/>
          <w:szCs w:val="24"/>
          <w:vertAlign w:val="superscript"/>
          <w:lang w:val="en-US" w:eastAsia="zh-CN"/>
        </w:rPr>
        <w:t>1</w:t>
      </w:r>
      <w:r>
        <w:rPr>
          <w:rFonts w:hint="default" w:ascii="Times New Roman" w:hAnsi="Times New Roman" w:eastAsia="宋体" w:cs="Times New Roman"/>
          <w:color w:val="auto"/>
          <w:sz w:val="24"/>
          <w:szCs w:val="24"/>
        </w:rPr>
        <w:t xml:space="preserve">, </w:t>
      </w:r>
      <w:r>
        <w:rPr>
          <w:rFonts w:hint="default" w:ascii="Times New Roman" w:hAnsi="Times New Roman" w:eastAsia="Segoe UI Emoji" w:cs="Times New Roman"/>
          <w:i w:val="0"/>
          <w:iCs w:val="0"/>
          <w:caps w:val="0"/>
          <w:color w:val="auto"/>
          <w:spacing w:val="0"/>
          <w:sz w:val="24"/>
          <w:szCs w:val="24"/>
        </w:rPr>
        <w:t>Yanan Han</w:t>
      </w:r>
      <w:r>
        <w:rPr>
          <w:rFonts w:hint="default" w:ascii="Times New Roman" w:hAnsi="Times New Roman" w:eastAsia="宋体" w:cs="Times New Roman"/>
          <w:color w:val="auto"/>
          <w:sz w:val="24"/>
          <w:szCs w:val="24"/>
          <w:vertAlign w:val="superscript"/>
          <w:lang w:val="en-US" w:eastAsia="zh-CN"/>
        </w:rPr>
        <w:t>1</w:t>
      </w:r>
      <w:r>
        <w:rPr>
          <w:rFonts w:hint="default" w:ascii="Times New Roman" w:hAnsi="Times New Roman" w:eastAsia="宋体" w:cs="Times New Roman"/>
          <w:color w:val="auto"/>
          <w:sz w:val="24"/>
          <w:szCs w:val="24"/>
        </w:rPr>
        <w:t xml:space="preserve">, </w:t>
      </w:r>
      <w:r>
        <w:rPr>
          <w:rFonts w:hint="default" w:ascii="Times New Roman" w:hAnsi="Times New Roman" w:eastAsia="Segoe UI Emoji" w:cs="Times New Roman"/>
          <w:i w:val="0"/>
          <w:iCs w:val="0"/>
          <w:caps w:val="0"/>
          <w:color w:val="auto"/>
          <w:spacing w:val="0"/>
          <w:sz w:val="24"/>
          <w:szCs w:val="24"/>
        </w:rPr>
        <w:t>Nan Li</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vertAlign w:val="baseline"/>
          <w:lang w:val="en-US" w:eastAsia="zh-CN"/>
        </w:rPr>
        <w:t>, Shiying Li</w:t>
      </w:r>
      <w:r>
        <w:rPr>
          <w:rFonts w:hint="eastAsia" w:ascii="Times New Roman" w:hAnsi="Times New Roman" w:eastAsia="宋体" w:cs="Times New Roman"/>
          <w:color w:val="auto"/>
          <w:sz w:val="24"/>
          <w:szCs w:val="24"/>
          <w:vertAlign w:val="superscript"/>
          <w:lang w:val="en-US" w:eastAsia="zh-CN"/>
        </w:rPr>
        <w:t>3, 5</w:t>
      </w:r>
      <w:r>
        <w:rPr>
          <w:rFonts w:hint="default" w:ascii="Times New Roman" w:hAnsi="Times New Roman" w:eastAsia="宋体" w:cs="Times New Roman"/>
          <w:color w:val="auto"/>
          <w:sz w:val="24"/>
          <w:szCs w:val="24"/>
          <w:vertAlign w:val="baseline"/>
          <w:lang w:val="en-US" w:eastAsia="zh-CN"/>
        </w:rPr>
        <w:t xml:space="preserve">, </w:t>
      </w:r>
      <w:r>
        <w:rPr>
          <w:rFonts w:hint="default" w:ascii="Times New Roman" w:hAnsi="Times New Roman" w:eastAsia="宋体" w:cs="Times New Roman"/>
          <w:color w:val="auto"/>
          <w:sz w:val="24"/>
          <w:szCs w:val="24"/>
        </w:rPr>
        <w:t>Wei Liu</w:t>
      </w:r>
      <w:r>
        <w:rPr>
          <w:rFonts w:hint="eastAsia" w:ascii="Times New Roman" w:hAnsi="Times New Roman" w:eastAsia="宋体" w:cs="Times New Roman"/>
          <w:color w:val="auto"/>
          <w:sz w:val="24"/>
          <w:szCs w:val="24"/>
          <w:vertAlign w:val="superscript"/>
          <w:lang w:val="en-US" w:eastAsia="zh-CN"/>
        </w:rPr>
        <w:t>4</w:t>
      </w:r>
      <w:r>
        <w:rPr>
          <w:rFonts w:hint="default" w:ascii="Times New Roman" w:hAnsi="Times New Roman" w:eastAsia="宋体" w:cs="Times New Roman"/>
          <w:color w:val="auto"/>
          <w:sz w:val="24"/>
          <w:szCs w:val="24"/>
          <w:vertAlign w:val="superscript"/>
        </w:rPr>
        <w:t>*</w:t>
      </w:r>
      <w:r>
        <w:rPr>
          <w:rFonts w:hint="default" w:ascii="Times New Roman" w:hAnsi="Times New Roman" w:eastAsia="宋体" w:cs="Times New Roman"/>
          <w:color w:val="auto"/>
          <w:sz w:val="24"/>
          <w:szCs w:val="24"/>
          <w:vertAlign w:val="baseline"/>
          <w:lang w:val="en-US" w:eastAsia="zh-CN"/>
        </w:rPr>
        <w:t>,</w:t>
      </w:r>
      <w:r>
        <w:rPr>
          <w:rFonts w:hint="eastAsia" w:ascii="Times New Roman" w:hAnsi="Times New Roman" w:eastAsia="宋体" w:cs="Times New Roman"/>
          <w:color w:val="auto"/>
          <w:sz w:val="24"/>
          <w:szCs w:val="24"/>
          <w:vertAlign w:val="baseline"/>
          <w:lang w:val="en-US" w:eastAsia="zh-CN"/>
        </w:rPr>
        <w:t xml:space="preserve"> </w:t>
      </w:r>
      <w:r>
        <w:rPr>
          <w:rFonts w:hint="default" w:ascii="Times New Roman" w:hAnsi="Times New Roman" w:eastAsia="宋体" w:cs="Times New Roman"/>
          <w:color w:val="auto"/>
          <w:sz w:val="24"/>
          <w:szCs w:val="24"/>
        </w:rPr>
        <w:t>Chun Yang</w:t>
      </w:r>
      <w:r>
        <w:rPr>
          <w:rFonts w:hint="default" w:ascii="Times New Roman" w:hAnsi="Times New Roman" w:eastAsia="宋体" w:cs="Times New Roman"/>
          <w:color w:val="auto"/>
          <w:sz w:val="24"/>
          <w:szCs w:val="24"/>
          <w:vertAlign w:val="superscript"/>
          <w:lang w:val="en-US" w:eastAsia="zh-CN"/>
        </w:rPr>
        <w:t>1</w:t>
      </w:r>
      <w:r>
        <w:rPr>
          <w:rFonts w:hint="default" w:ascii="Times New Roman" w:hAnsi="Times New Roman" w:eastAsia="宋体" w:cs="Times New Roman"/>
          <w:color w:val="auto"/>
          <w:sz w:val="24"/>
          <w:szCs w:val="24"/>
          <w:vertAlign w:val="superscript"/>
        </w:rPr>
        <w:t>*</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vertAlign w:val="baseline"/>
          <w:lang w:val="en-US" w:eastAsia="zh-CN"/>
        </w:rPr>
        <w:t xml:space="preserve"> </w:t>
      </w:r>
      <w:r>
        <w:rPr>
          <w:rFonts w:hint="default" w:ascii="Times New Roman" w:hAnsi="Times New Roman" w:eastAsia="宋体" w:cs="Times New Roman"/>
          <w:color w:val="auto"/>
          <w:sz w:val="24"/>
          <w:szCs w:val="24"/>
        </w:rPr>
        <w:t>Yan Zhang</w:t>
      </w:r>
      <w:r>
        <w:rPr>
          <w:rFonts w:hint="eastAsia" w:ascii="Times New Roman" w:hAnsi="Times New Roman" w:eastAsia="宋体" w:cs="Times New Roman"/>
          <w:color w:val="auto"/>
          <w:sz w:val="24"/>
          <w:szCs w:val="24"/>
          <w:vertAlign w:val="superscript"/>
          <w:lang w:val="en-US" w:eastAsia="zh-CN"/>
        </w:rPr>
        <w:t>5</w:t>
      </w:r>
      <w:r>
        <w:rPr>
          <w:rFonts w:hint="default" w:ascii="Times New Roman" w:hAnsi="Times New Roman" w:eastAsia="宋体" w:cs="Times New Roman"/>
          <w:color w:val="auto"/>
          <w:sz w:val="24"/>
          <w:szCs w:val="24"/>
          <w:vertAlign w:val="superscript"/>
        </w:rPr>
        <w:t>*</w:t>
      </w:r>
    </w:p>
    <w:p w14:paraId="70F366D9">
      <w:pPr>
        <w:spacing w:line="360" w:lineRule="auto"/>
        <w:jc w:val="both"/>
        <w:rPr>
          <w:rFonts w:hint="default" w:ascii="Times New Roman" w:hAnsi="Times New Roman" w:eastAsia="宋体" w:cs="Times New Roman"/>
          <w:color w:val="auto"/>
          <w:sz w:val="24"/>
          <w:szCs w:val="24"/>
          <w:vertAlign w:val="superscript"/>
        </w:rPr>
      </w:pPr>
    </w:p>
    <w:p w14:paraId="05CB47B7">
      <w:pPr>
        <w:numPr>
          <w:ilvl w:val="0"/>
          <w:numId w:val="1"/>
        </w:numPr>
        <w:spacing w:line="360" w:lineRule="auto"/>
        <w:ind w:left="0" w:firstLine="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College of Basic Medicine, Beihua University, Jilin 132013, P. R. China</w:t>
      </w:r>
    </w:p>
    <w:p w14:paraId="07E0BFC1">
      <w:pPr>
        <w:numPr>
          <w:ilvl w:val="0"/>
          <w:numId w:val="1"/>
        </w:numPr>
        <w:spacing w:line="360" w:lineRule="auto"/>
        <w:ind w:left="0" w:firstLine="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Key Laboratory of Jilin Province for Zoonoses Prevention and Control, State Key Laboratory of Pathogen and Biosecurity, Academy of Military Medical Sciences, Changchun 130122, P. R. China</w:t>
      </w:r>
    </w:p>
    <w:p w14:paraId="1DFE492C">
      <w:pPr>
        <w:numPr>
          <w:ilvl w:val="0"/>
          <w:numId w:val="1"/>
        </w:numPr>
        <w:spacing w:line="360" w:lineRule="auto"/>
        <w:ind w:left="0" w:firstLine="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Great Bay University, Dongguan 523000, P. R. China</w:t>
      </w:r>
    </w:p>
    <w:p w14:paraId="406E60D4">
      <w:pPr>
        <w:numPr>
          <w:ilvl w:val="0"/>
          <w:numId w:val="1"/>
        </w:numPr>
        <w:spacing w:line="360" w:lineRule="auto"/>
        <w:ind w:left="0" w:firstLine="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College of Pharmacy, Beihua University, Jilin 132013, P. R. China</w:t>
      </w:r>
    </w:p>
    <w:p w14:paraId="1A5E864A">
      <w:pPr>
        <w:numPr>
          <w:ilvl w:val="0"/>
          <w:numId w:val="1"/>
        </w:numPr>
        <w:spacing w:line="360" w:lineRule="auto"/>
        <w:ind w:left="0" w:firstLine="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School of Public Health, Beihua University, Jilin 132013, P. R. China</w:t>
      </w:r>
    </w:p>
    <w:p w14:paraId="00F80105">
      <w:pPr>
        <w:spacing w:line="360" w:lineRule="auto"/>
        <w:rPr>
          <w:rFonts w:hint="default" w:ascii="Times New Roman" w:hAnsi="Times New Roman" w:eastAsia="宋体" w:cs="Times New Roman"/>
          <w:color w:val="auto"/>
          <w:sz w:val="24"/>
          <w:szCs w:val="24"/>
        </w:rPr>
      </w:pPr>
    </w:p>
    <w:p w14:paraId="30E65828">
      <w:pPr>
        <w:spacing w:line="48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*Corresponding authors: </w:t>
      </w:r>
    </w:p>
    <w:p w14:paraId="2AAD99B3">
      <w:pPr>
        <w:spacing w:line="480" w:lineRule="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 xml:space="preserve">Yan Zhang, </w:t>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"mailto:zhangyan.jl@163.com;" </w:instrText>
      </w:r>
      <w:r>
        <w:rPr>
          <w:rFonts w:hint="default" w:ascii="Times New Roman" w:hAnsi="Times New Roman" w:eastAsia="宋体" w:cs="Times New Roman"/>
          <w:color w:val="auto"/>
          <w:sz w:val="24"/>
          <w:szCs w:val="24"/>
        </w:rPr>
        <w:fldChar w:fldCharType="separate"/>
      </w:r>
      <w:r>
        <w:rPr>
          <w:rStyle w:val="12"/>
          <w:rFonts w:hint="default" w:ascii="Times New Roman" w:hAnsi="Times New Roman" w:eastAsia="宋体" w:cs="Times New Roman"/>
          <w:color w:val="auto"/>
          <w:sz w:val="24"/>
          <w:szCs w:val="24"/>
        </w:rPr>
        <w:t>zhangyan.jl@163.com</w:t>
      </w:r>
      <w:r>
        <w:rPr>
          <w:rStyle w:val="12"/>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fldChar w:fldCharType="end"/>
      </w:r>
      <w:r>
        <w:rPr>
          <w:rFonts w:hint="eastAsia" w:ascii="Times New Roman" w:hAnsi="Times New Roman" w:eastAsia="宋体" w:cs="Times New Roman"/>
          <w:color w:val="auto"/>
          <w:sz w:val="24"/>
          <w:szCs w:val="24"/>
          <w:lang w:val="en-US" w:eastAsia="zh-CN"/>
        </w:rPr>
        <w:t xml:space="preserve"> Chun Yang, </w:t>
      </w:r>
      <w:r>
        <w:rPr>
          <w:rFonts w:ascii="Times New Roman" w:hAnsi="Times New Roman" w:eastAsia="宋体"/>
          <w:color w:val="auto"/>
          <w:sz w:val="24"/>
          <w:szCs w:val="24"/>
        </w:rPr>
        <w:fldChar w:fldCharType="begin"/>
      </w:r>
      <w:r>
        <w:rPr>
          <w:rFonts w:ascii="Times New Roman" w:hAnsi="Times New Roman" w:eastAsia="宋体"/>
          <w:color w:val="auto"/>
          <w:sz w:val="24"/>
          <w:szCs w:val="24"/>
        </w:rPr>
        <w:instrText xml:space="preserve"> HYPERLINK "mailto:yangchun@beihua.edu.cn" </w:instrText>
      </w:r>
      <w:r>
        <w:rPr>
          <w:rFonts w:ascii="Times New Roman" w:hAnsi="Times New Roman" w:eastAsia="宋体"/>
          <w:color w:val="auto"/>
          <w:sz w:val="24"/>
          <w:szCs w:val="24"/>
        </w:rPr>
        <w:fldChar w:fldCharType="separate"/>
      </w:r>
      <w:r>
        <w:rPr>
          <w:rStyle w:val="12"/>
          <w:rFonts w:ascii="Times New Roman" w:hAnsi="Times New Roman" w:eastAsia="宋体"/>
          <w:color w:val="auto"/>
          <w:sz w:val="24"/>
          <w:szCs w:val="24"/>
        </w:rPr>
        <w:t>yangchun@beihua.edu.cn</w:t>
      </w:r>
      <w:r>
        <w:rPr>
          <w:rFonts w:ascii="Times New Roman" w:hAnsi="Times New Roman" w:eastAsia="宋体"/>
          <w:color w:val="auto"/>
          <w:sz w:val="24"/>
          <w:szCs w:val="24"/>
        </w:rPr>
        <w:fldChar w:fldCharType="end"/>
      </w:r>
      <w:r>
        <w:rPr>
          <w:rFonts w:hint="eastAsia" w:ascii="Times New Roman" w:hAnsi="Times New Roman" w:eastAsia="宋体"/>
          <w:color w:val="auto"/>
          <w:sz w:val="24"/>
          <w:szCs w:val="24"/>
          <w:lang w:val="en-US" w:eastAsia="zh-CN"/>
        </w:rPr>
        <w:t xml:space="preserve">; </w:t>
      </w:r>
      <w:r>
        <w:rPr>
          <w:rFonts w:hint="default" w:ascii="Times New Roman" w:hAnsi="Times New Roman" w:eastAsia="宋体" w:cs="Times New Roman"/>
          <w:color w:val="auto"/>
          <w:sz w:val="24"/>
          <w:szCs w:val="24"/>
        </w:rPr>
        <w:t>Wei Liu</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liuweibh@beihua.edu.cn</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 xml:space="preserve"> </w:t>
      </w:r>
    </w:p>
    <w:p w14:paraId="39CCD1FD">
      <w:pPr>
        <w:pStyle w:val="6"/>
        <w:widowControl/>
        <w:spacing w:beforeAutospacing="0" w:afterAutospacing="0" w:line="262" w:lineRule="auto"/>
        <w:jc w:val="both"/>
        <w:rPr>
          <w:rStyle w:val="10"/>
          <w:rFonts w:hint="default" w:ascii="Times New Roman" w:hAnsi="Times New Roman" w:cs="Times New Roman"/>
        </w:rPr>
      </w:pPr>
    </w:p>
    <w:p w14:paraId="719B2055">
      <w:pPr>
        <w:rPr>
          <w:rFonts w:hint="default"/>
        </w:rPr>
      </w:pPr>
      <w:r>
        <w:rPr>
          <w:rFonts w:hint="default"/>
        </w:rPr>
        <w:br w:type="page"/>
      </w:r>
    </w:p>
    <w:p w14:paraId="2CBE862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sz w:val="30"/>
          <w:szCs w:val="30"/>
        </w:rPr>
      </w:pPr>
      <w:r>
        <w:rPr>
          <w:rFonts w:hint="default" w:ascii="Times New Roman" w:hAnsi="Times New Roman" w:eastAsia="MyriadPro-Bold" w:cs="Times New Roman"/>
          <w:b/>
          <w:bCs/>
          <w:color w:val="000000"/>
          <w:kern w:val="0"/>
          <w:sz w:val="30"/>
          <w:szCs w:val="30"/>
          <w:lang w:val="en-US" w:eastAsia="zh-CN" w:bidi="ar"/>
        </w:rPr>
        <w:t>Materials and methods</w:t>
      </w:r>
    </w:p>
    <w:p w14:paraId="08B6EC02">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ascii="Times New Roman" w:hAnsi="Times New Roman" w:eastAsia="MyriadPro-Bold"/>
          <w:b/>
          <w:bCs/>
          <w:color w:val="000000" w:themeColor="text1"/>
          <w:sz w:val="24"/>
          <w:szCs w:val="24"/>
          <w:lang w:bidi="ar"/>
          <w14:textFill>
            <w14:solidFill>
              <w14:schemeClr w14:val="tx1"/>
            </w14:solidFill>
          </w14:textFill>
        </w:rPr>
      </w:pPr>
      <w:r>
        <w:rPr>
          <w:rFonts w:ascii="Times New Roman" w:hAnsi="Times New Roman" w:eastAsia="MyriadPro-Bold"/>
          <w:b/>
          <w:bCs/>
          <w:color w:val="000000" w:themeColor="text1"/>
          <w:sz w:val="24"/>
          <w:szCs w:val="24"/>
          <w:lang w:bidi="ar"/>
          <w14:textFill>
            <w14:solidFill>
              <w14:schemeClr w14:val="tx1"/>
            </w14:solidFill>
          </w14:textFill>
        </w:rPr>
        <w:t>Materials</w:t>
      </w:r>
    </w:p>
    <w:p w14:paraId="7643BA44">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rPr>
        <w:t>DiR fluorescent dye (40757ES25) was purchased from YEASEN (Shanghai, China). PKH67 fluorescent dye (UR52303) was purchased from Umbio (Shanghai, China). Alexa Fluor 555-phalloidin (C2235), the CCK-8 assay kit (C0038), and the endotoxin assay kit (C0266DS) were purchased from Beyotime (Shanghai, China). The Omni-ECL™ Ultra Sensitive Chemiluminescent Substrate kit (SQ201) was purchased from Epizyme (Shanghai, China). The BioFlux SimplyP Total RNA Extraction Kit (BSC52S1) was purchased from Bioer (Hangzhou, China). The reverse transcription kit (RK20433) and SYBR Green qPCR reagent (RM21217) were purchased from ABclonal (Wuhan, China). The BCA protein assay kit (E112-02) was purchased from Vazyme (Nanjing, China). The Alcian blue staining kit (G1560) was purchased from Beijing Solarbio (Beijing, China). The fecal occult blood qualitative test kit (TC0511) was purchased from Leagene (Beijing, China).</w:t>
      </w:r>
      <w:r>
        <w:rPr>
          <w:rFonts w:hint="eastAsia" w:ascii="Times New Roman" w:hAnsi="Times New Roman" w:eastAsia="宋体" w:cs="Times New Roman"/>
          <w:b w:val="0"/>
          <w:bCs w:val="0"/>
          <w:color w:val="auto"/>
          <w:sz w:val="24"/>
          <w:szCs w:val="24"/>
          <w:lang w:val="en-US" w:eastAsia="zh-CN"/>
        </w:rPr>
        <w:t xml:space="preserve"> The two-step immunohistochemical detection kit (mouse/rabbit enhanced polymer system; PV-9000) was purchased from ZSGB-Bio (Beijing, China).</w:t>
      </w:r>
    </w:p>
    <w:p w14:paraId="49338FE2">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ascii="Times New Roman" w:hAnsi="Times New Roman" w:eastAsia="宋体"/>
          <w:b/>
          <w:bCs/>
          <w:color w:val="auto"/>
          <w:sz w:val="24"/>
          <w:szCs w:val="24"/>
        </w:rPr>
      </w:pPr>
      <w:r>
        <w:rPr>
          <w:rFonts w:ascii="Times New Roman" w:hAnsi="Times New Roman" w:eastAsia="宋体"/>
          <w:b/>
          <w:bCs/>
          <w:color w:val="auto"/>
          <w:sz w:val="24"/>
          <w:szCs w:val="24"/>
        </w:rPr>
        <w:t xml:space="preserve">Cellular </w:t>
      </w:r>
      <w:r>
        <w:rPr>
          <w:rFonts w:hint="eastAsia" w:ascii="Times New Roman" w:hAnsi="Times New Roman" w:eastAsia="宋体"/>
          <w:b/>
          <w:bCs/>
          <w:color w:val="auto"/>
          <w:sz w:val="24"/>
          <w:szCs w:val="24"/>
        </w:rPr>
        <w:t>u</w:t>
      </w:r>
      <w:r>
        <w:rPr>
          <w:rFonts w:ascii="Times New Roman" w:hAnsi="Times New Roman" w:eastAsia="宋体"/>
          <w:b/>
          <w:bCs/>
          <w:color w:val="auto"/>
          <w:sz w:val="24"/>
          <w:szCs w:val="24"/>
        </w:rPr>
        <w:t xml:space="preserve">ptake </w:t>
      </w:r>
      <w:r>
        <w:rPr>
          <w:rFonts w:hint="eastAsia" w:ascii="Times New Roman" w:hAnsi="Times New Roman" w:eastAsia="宋体"/>
          <w:b/>
          <w:bCs/>
          <w:color w:val="auto"/>
          <w:sz w:val="24"/>
          <w:szCs w:val="24"/>
        </w:rPr>
        <w:t>a</w:t>
      </w:r>
      <w:r>
        <w:rPr>
          <w:rFonts w:ascii="Times New Roman" w:hAnsi="Times New Roman" w:eastAsia="宋体"/>
          <w:b/>
          <w:bCs/>
          <w:color w:val="auto"/>
          <w:sz w:val="24"/>
          <w:szCs w:val="24"/>
        </w:rPr>
        <w:t>ssay</w:t>
      </w:r>
    </w:p>
    <w:p w14:paraId="405623CF">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TENVs were incubated with PKH67 fluorescent dye in the dark for 15 min. Free unbound dye was removed by ultracentrifugation at 120,000 × g for 60 min. The labeled TENVs were then incubated with RAW264.7 macrophages or Caco-2 cells in serum-free medium for 0, 6, or 12 h. At each time point, cells were washed three times with PBS and fixed with 4% paraformaldehyde for 15 min. Alexa Fluor 555-phalloidin was used to stain F-actin for 30 min to visualize the cytoskeleton, and DAPI was used for nuclear staining. Cellular uptake of TENVs was observed using a laser confocal microscope.</w:t>
      </w:r>
    </w:p>
    <w:p w14:paraId="46744C80">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 xml:space="preserve">Anti-Inflammatory </w:t>
      </w:r>
      <w:r>
        <w:rPr>
          <w:rFonts w:hint="eastAsia" w:ascii="Times New Roman" w:hAnsi="Times New Roman" w:eastAsia="宋体" w:cs="Times New Roman"/>
          <w:b/>
          <w:bCs/>
          <w:sz w:val="24"/>
          <w:szCs w:val="24"/>
          <w:lang w:val="en-US" w:eastAsia="zh-CN"/>
        </w:rPr>
        <w:t>e</w:t>
      </w:r>
      <w:r>
        <w:rPr>
          <w:rFonts w:hint="default" w:ascii="Times New Roman" w:hAnsi="Times New Roman" w:eastAsia="宋体" w:cs="Times New Roman"/>
          <w:b/>
          <w:bCs/>
          <w:sz w:val="24"/>
          <w:szCs w:val="24"/>
        </w:rPr>
        <w:t xml:space="preserve">ffects of TENVs in </w:t>
      </w:r>
      <w:r>
        <w:rPr>
          <w:rFonts w:hint="eastAsia" w:ascii="Times New Roman" w:hAnsi="Times New Roman" w:eastAsia="宋体" w:cs="Times New Roman"/>
          <w:b/>
          <w:bCs/>
          <w:sz w:val="24"/>
          <w:szCs w:val="24"/>
          <w:lang w:val="en-US" w:eastAsia="zh-CN"/>
        </w:rPr>
        <w:t>m</w:t>
      </w:r>
      <w:r>
        <w:rPr>
          <w:rFonts w:hint="default" w:ascii="Times New Roman" w:hAnsi="Times New Roman" w:eastAsia="宋体" w:cs="Times New Roman"/>
          <w:b/>
          <w:bCs/>
          <w:sz w:val="24"/>
          <w:szCs w:val="24"/>
        </w:rPr>
        <w:t>acrophages</w:t>
      </w:r>
    </w:p>
    <w:p w14:paraId="67EE5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RAW264.7 macrophages were pretreated with TENVs at concentrations of 5, 10, and 20 μg・mL⁻¹ for 12 h. Cells were then exposed to LPS (</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00 ng・mL⁻¹)</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or recombinant mouse IL-17A (</w:t>
      </w: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00 ng・mL⁻¹) for 12 h for subsequent inflammatory and signaling analyses.For MAPK phosphorylation assays, IL-17A exposure was shortened to 1 h.</w:t>
      </w:r>
    </w:p>
    <w:p w14:paraId="0E699AB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b/>
          <w:bCs/>
          <w:color w:val="auto"/>
          <w:kern w:val="0"/>
          <w:sz w:val="24"/>
          <w:lang w:val="en-US" w:eastAsia="zh-CN" w:bidi="ar"/>
        </w:rPr>
      </w:pPr>
      <w:r>
        <w:rPr>
          <w:rFonts w:hint="eastAsia" w:ascii="Times New Roman" w:hAnsi="Times New Roman" w:eastAsia="宋体" w:cs="Times New Roman"/>
          <w:b/>
          <w:bCs/>
          <w:color w:val="auto"/>
          <w:kern w:val="0"/>
          <w:sz w:val="24"/>
          <w:lang w:val="en-US" w:eastAsia="zh-CN" w:bidi="ar"/>
        </w:rPr>
        <w:t>Biosafety assessment</w:t>
      </w:r>
    </w:p>
    <w:p w14:paraId="6A42D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color w:val="auto"/>
          <w:kern w:val="0"/>
          <w:sz w:val="24"/>
          <w:lang w:val="en-US" w:eastAsia="zh-CN" w:bidi="ar"/>
        </w:rPr>
      </w:pPr>
      <w:r>
        <w:rPr>
          <w:rFonts w:hint="default" w:ascii="Times New Roman" w:hAnsi="Times New Roman" w:eastAsia="宋体" w:cs="Times New Roman"/>
          <w:b w:val="0"/>
          <w:bCs w:val="0"/>
          <w:color w:val="auto"/>
          <w:kern w:val="0"/>
          <w:sz w:val="24"/>
          <w:lang w:val="en-US" w:eastAsia="zh-CN" w:bidi="ar"/>
        </w:rPr>
        <w:t>RAW264.7 and Caco-2 cells were seeded in plates and allowed to adhere overnight. The cells were then incubated with different concentrations of TENVs for 24 or 48 h, and cell viability was measured using the CCK-8 assay.</w:t>
      </w:r>
      <w:r>
        <w:rPr>
          <w:rFonts w:hint="eastAsia" w:ascii="Times New Roman" w:hAnsi="Times New Roman" w:eastAsia="宋体" w:cs="Times New Roman"/>
          <w:b w:val="0"/>
          <w:bCs w:val="0"/>
          <w:color w:val="auto"/>
          <w:kern w:val="0"/>
          <w:sz w:val="24"/>
          <w:lang w:val="en-US" w:eastAsia="zh-CN" w:bidi="ar"/>
        </w:rPr>
        <w:t xml:space="preserve"> </w:t>
      </w:r>
      <w:r>
        <w:rPr>
          <w:rFonts w:hint="default" w:ascii="Times New Roman" w:hAnsi="Times New Roman" w:eastAsia="宋体" w:cs="Times New Roman"/>
          <w:b w:val="0"/>
          <w:bCs w:val="0"/>
          <w:color w:val="auto"/>
          <w:kern w:val="0"/>
          <w:sz w:val="24"/>
          <w:lang w:val="en-US" w:eastAsia="zh-CN" w:bidi="ar"/>
        </w:rPr>
        <w:t>Male ICR mice aged 6–8 weeks were randomly assigned to the control, TENVs 15 mg/kg, and TENVs 35 mg/kg groups. Mice in the TENVs-treated groups received the corresponding dose of TENVs by oral gavage once daily for 8 consecutive days. The mice were then euthanized, and biocompatibility was evaluated by histopathological analysis of major organs and blood biochemical parameters.</w:t>
      </w:r>
    </w:p>
    <w:p w14:paraId="2A8CB82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auto"/>
          <w:kern w:val="0"/>
          <w:sz w:val="24"/>
          <w:lang w:val="en-US" w:eastAsia="zh-CN" w:bidi="ar"/>
        </w:rPr>
      </w:pPr>
      <w:r>
        <w:rPr>
          <w:rFonts w:hint="default" w:ascii="Times New Roman" w:hAnsi="Times New Roman" w:eastAsia="宋体" w:cs="Times New Roman"/>
          <w:b/>
          <w:bCs/>
          <w:color w:val="auto"/>
          <w:kern w:val="0"/>
          <w:sz w:val="24"/>
          <w:lang w:val="en-US" w:eastAsia="zh-CN" w:bidi="ar"/>
        </w:rPr>
        <w:t>ELISA</w:t>
      </w:r>
    </w:p>
    <w:p w14:paraId="454B5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color w:val="auto"/>
          <w:kern w:val="0"/>
          <w:sz w:val="24"/>
          <w:lang w:val="en-US" w:eastAsia="zh-CN" w:bidi="ar"/>
        </w:rPr>
      </w:pPr>
      <w:r>
        <w:rPr>
          <w:rFonts w:hint="default" w:ascii="Times New Roman" w:hAnsi="Times New Roman" w:eastAsia="宋体" w:cs="Times New Roman"/>
          <w:b w:val="0"/>
          <w:bCs w:val="0"/>
          <w:color w:val="auto"/>
          <w:kern w:val="0"/>
          <w:sz w:val="24"/>
          <w:lang w:val="en-US" w:eastAsia="zh-CN" w:bidi="ar"/>
        </w:rPr>
        <w:t>Whole blood samples were kept at room temperature for 2 h and centrifuged at 1,000 × g for 20 min. The serum supernatant was collected for analysis. Serum levels of TNF-α, IL-1β,  IL-6, IL-17A, DAO, MDA, and GSH-PX were measured using commercial assay kits following the kit instructions. Kit information is provided in the Materials section. Values were calculated from standard curves and adjusted for dilution when needed. Since serum was used for these assays, the data were not normalized to total protein.</w:t>
      </w:r>
    </w:p>
    <w:p w14:paraId="758C730C">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eastAsia="Myriad Pro Light" w:cs="Times New Roman"/>
          <w:b/>
          <w:bCs/>
          <w:color w:val="auto"/>
          <w:kern w:val="0"/>
          <w:sz w:val="24"/>
          <w:lang w:bidi="ar"/>
        </w:rPr>
      </w:pPr>
      <w:r>
        <w:rPr>
          <w:rFonts w:hint="eastAsia" w:ascii="Times New Roman" w:hAnsi="Times New Roman" w:eastAsia="Myriad Pro Light" w:cs="Times New Roman"/>
          <w:b/>
          <w:bCs/>
          <w:color w:val="auto"/>
          <w:kern w:val="0"/>
          <w:sz w:val="24"/>
          <w:lang w:bidi="ar"/>
        </w:rPr>
        <w:t>H&amp;E staining and Alcian blue staining</w:t>
      </w:r>
    </w:p>
    <w:p w14:paraId="3D6DAA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ascii="Times New Roman" w:hAnsi="Times New Roman" w:eastAsia="宋体" w:cs="Times New Roman"/>
          <w:sz w:val="24"/>
        </w:rPr>
        <w:t>The sections were dried in xylene to remove the paraffin and then rehydrated in a series of ethanol. Following hematoxylin staining, the samples were washed in distilled water, followed by incidence of 50, 70 and 85 ethanol and eosin counter staining. The excess eosin was washed off in anhydrous alcohol and the slides cleared in xylene.</w:t>
      </w:r>
    </w:p>
    <w:p w14:paraId="6FE65E5D">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For Alcian blue staining, paraffin-embedded colon sections were deparaffinized and rehydrated. The sections were stained with Alcian blue staining solution for 20 min at room temperature, gently rinsed under running tap water, and then washed with distilled water. Nuclear fast red was used for counterstaining for 5 min. After washing, the sections were dehydrated through graded ethanol, cleared in xylene, and mounted with neutral resin.</w:t>
      </w:r>
    </w:p>
    <w:p w14:paraId="613A250F">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rPr>
        <w:t>Immunohistochemistry</w:t>
      </w:r>
      <w:r>
        <w:rPr>
          <w:rFonts w:hint="default" w:ascii="Times New Roman" w:hAnsi="Times New Roman" w:eastAsia="宋体" w:cs="Times New Roman"/>
          <w:b/>
          <w:bCs/>
          <w:color w:val="auto"/>
          <w:sz w:val="24"/>
          <w:szCs w:val="24"/>
          <w:lang w:val="en-US" w:eastAsia="zh-CN"/>
        </w:rPr>
        <w:t xml:space="preserve"> </w:t>
      </w:r>
    </w:p>
    <w:p w14:paraId="0385CBC6">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sz w:val="24"/>
          <w:szCs w:val="24"/>
        </w:rPr>
        <w:t xml:space="preserve">Paraffin-embedded colon sections were deparaffinized, rehydrated through graded ethanol, and subjected to antigen retrieval. Endogenous peroxidase activity was blocked with 3% H₂O₂, and the sections were washed three times with PBS. The sections were then blocked with 5% goat serum for 30 min at room temperature to reduce nonspecific staining. Primary antibodies were added and incubated overnight at 4 °C in a humidified chamber. After washing with PBS, the sections were </w:t>
      </w:r>
      <w:r>
        <w:rPr>
          <w:rFonts w:hint="default" w:ascii="Times New Roman" w:hAnsi="Times New Roman" w:eastAsia="宋体" w:cs="Times New Roman"/>
          <w:color w:val="auto"/>
          <w:sz w:val="24"/>
          <w:szCs w:val="24"/>
        </w:rPr>
        <w:t>incubated with HRP-conjugated secondary antibodies for 60 min at 37 °C. Immunoreactivity was developed with 3,3′-diaminobenzidine (DAB), and the reaction time was controlled under a microscope. The sections were counterstained with hematoxylin, differentiated in hydrochloric acid alcohol, dehydrated, cleared, and mounted. Stained sections were observed under a light microscope, and DAB-positive areas were semi-quantified using ImageJ software.</w:t>
      </w:r>
      <w:r>
        <w:rPr>
          <w:rFonts w:hint="eastAsia" w:ascii="Times New Roman" w:hAnsi="Times New Roman" w:eastAsia="宋体" w:cs="Times New Roman"/>
          <w:color w:val="auto"/>
          <w:sz w:val="24"/>
          <w:szCs w:val="24"/>
          <w:lang w:val="en-US" w:eastAsia="zh-CN"/>
        </w:rPr>
        <w:t xml:space="preserve"> For quantitative analysis, multiple high-power fields were selected from each biological replicate. The values from different fields of the same sample were averaged to obtain one value for each mouse, and these values were then used for statistical analysis.</w:t>
      </w:r>
    </w:p>
    <w:p w14:paraId="768344CC">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Western blot</w:t>
      </w:r>
    </w:p>
    <w:p w14:paraId="3B9445A0">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RIPA buffer supplemented with protease and phosphatase inhibitors was used to lyse both colon tissues and RAW264.7 macrophages. Equal amounts of protein (25 μg per lane) were separated by electrophoresis on 10% SDS-polyacrylamide gels and then electrotransferred onto PVDF membranes. To block nonspecific binding, the membranes were incubated with 5% nonfat milk for 1 hour at room temperature, followed by overnight exposure to primary antibodies at 4 °C. After three washes with TBST, secondary antibody incubation was performed for 2 hours at ambient temperature. Protein bands were visualized with Omni-ECL™ Ultra Sensitive Chemiluminescent Substrate (Epizyme, Shanghai, China) and recorded using a gel imaging system (Cytiva, Marlborough, MA, USA). Band intensities were quantified using ImageJ software, and target protein expression was normalized against GAPDH.</w:t>
      </w:r>
    </w:p>
    <w:p w14:paraId="3C86227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 xml:space="preserve">RNA </w:t>
      </w:r>
      <w:r>
        <w:rPr>
          <w:rFonts w:hint="eastAsia" w:ascii="Times New Roman" w:hAnsi="Times New Roman" w:eastAsia="宋体" w:cs="Times New Roman"/>
          <w:b/>
          <w:bCs/>
          <w:color w:val="auto"/>
          <w:sz w:val="24"/>
          <w:szCs w:val="24"/>
          <w:lang w:val="en-US" w:eastAsia="zh-CN"/>
        </w:rPr>
        <w:t>s</w:t>
      </w:r>
      <w:r>
        <w:rPr>
          <w:rFonts w:hint="default" w:ascii="Times New Roman" w:hAnsi="Times New Roman" w:eastAsia="宋体" w:cs="Times New Roman"/>
          <w:b/>
          <w:bCs/>
          <w:color w:val="auto"/>
          <w:sz w:val="24"/>
          <w:szCs w:val="24"/>
        </w:rPr>
        <w:t xml:space="preserve">equencing </w:t>
      </w:r>
      <w:r>
        <w:rPr>
          <w:rFonts w:hint="eastAsia" w:ascii="Times New Roman" w:hAnsi="Times New Roman" w:eastAsia="宋体" w:cs="Times New Roman"/>
          <w:b/>
          <w:bCs/>
          <w:color w:val="auto"/>
          <w:sz w:val="24"/>
          <w:szCs w:val="24"/>
          <w:lang w:val="en-US" w:eastAsia="zh-CN"/>
        </w:rPr>
        <w:t>a</w:t>
      </w:r>
      <w:r>
        <w:rPr>
          <w:rFonts w:hint="default" w:ascii="Times New Roman" w:hAnsi="Times New Roman" w:eastAsia="宋体" w:cs="Times New Roman"/>
          <w:b/>
          <w:bCs/>
          <w:color w:val="auto"/>
          <w:sz w:val="24"/>
          <w:szCs w:val="24"/>
        </w:rPr>
        <w:t>nalysis</w:t>
      </w:r>
    </w:p>
    <w:p w14:paraId="337CF319">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To examine the effects of TENVs on the colonic transcriptome in DSS-induced </w:t>
      </w:r>
      <w:r>
        <w:rPr>
          <w:rFonts w:hint="default" w:ascii="Times New Roman" w:hAnsi="Times New Roman" w:cs="Times New Roman"/>
          <w:b w:val="0"/>
          <w:bCs w:val="0"/>
          <w:color w:val="auto"/>
          <w:sz w:val="24"/>
          <w:szCs w:val="24"/>
        </w:rPr>
        <w:t>colitis</w:t>
      </w:r>
      <w:r>
        <w:rPr>
          <w:rFonts w:hint="default" w:ascii="Times New Roman" w:hAnsi="Times New Roman" w:eastAsia="宋体" w:cs="Times New Roman"/>
          <w:color w:val="auto"/>
          <w:sz w:val="24"/>
          <w:szCs w:val="24"/>
        </w:rPr>
        <w:t xml:space="preserve"> mice, colon tissues from the DSS group and the TENVs</w:t>
      </w:r>
      <w:r>
        <w:rPr>
          <w:rFonts w:hint="eastAsia" w:ascii="Times New Roman" w:hAnsi="Times New Roman" w:eastAsia="宋体" w:cs="Times New Roman"/>
          <w:color w:val="auto"/>
          <w:sz w:val="24"/>
          <w:szCs w:val="24"/>
          <w:lang w:val="en-US" w:eastAsia="zh-CN"/>
        </w:rPr>
        <w:t xml:space="preserve"> (35mg/kg)</w:t>
      </w:r>
      <w:r>
        <w:rPr>
          <w:rFonts w:hint="default" w:ascii="Times New Roman" w:hAnsi="Times New Roman" w:eastAsia="宋体" w:cs="Times New Roman"/>
          <w:color w:val="auto"/>
          <w:sz w:val="24"/>
          <w:szCs w:val="24"/>
        </w:rPr>
        <w:t xml:space="preserve"> group were used for RNA-seq analysis, with three biological replicates in each group. RNA extraction, library construction, and sequencing were performed by LC-Bio Technology Co., Ltd. (Hangzhou, China). After total RNA extraction, RNA concentration, purity, and integrity were assessed using Qubit and an Agilent 5300 Fragment Analyzer. Samples with RIN values &gt;7.0 were used for library preparation. Enriched mRNA was fragmented and reverse-transcribed into cDNA. End repair, adapter ligation, and PCR amplification were then performed to construct strand-specific cDNA libraries. After library quality control, paired-end 150 bp sequencing was carried out on an Illumina NovaSeq X Plus platform.</w:t>
      </w:r>
    </w:p>
    <w:p w14:paraId="7827DCA7">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szCs w:val="24"/>
          <w:lang w:val="en-US" w:eastAsia="zh-CN" w:bidi="ar"/>
        </w:rPr>
        <w:br w:type="page"/>
      </w:r>
    </w:p>
    <w:p w14:paraId="210BEBC7">
      <w:pPr>
        <w:keepNext w:val="0"/>
        <w:keepLines w:val="0"/>
        <w:widowControl/>
        <w:suppressLineNumbers w:val="0"/>
        <w:jc w:val="left"/>
        <w:rPr>
          <w:rFonts w:hint="default" w:ascii="Times New Roman" w:hAnsi="Times New Roman" w:eastAsia="宋体" w:cs="Times New Roman"/>
          <w:b/>
          <w:bCs/>
          <w:color w:val="auto"/>
          <w:kern w:val="0"/>
          <w:sz w:val="30"/>
          <w:szCs w:val="30"/>
          <w:lang w:val="en-US" w:eastAsia="zh-CN" w:bidi="ar"/>
        </w:rPr>
      </w:pPr>
      <w:r>
        <w:rPr>
          <w:rFonts w:hint="default" w:ascii="Times New Roman" w:hAnsi="Times New Roman" w:eastAsia="宋体" w:cs="Times New Roman"/>
          <w:b/>
          <w:bCs/>
          <w:color w:val="auto"/>
          <w:kern w:val="0"/>
          <w:sz w:val="30"/>
          <w:szCs w:val="30"/>
          <w:lang w:val="en-US" w:eastAsia="zh-CN" w:bidi="ar"/>
        </w:rPr>
        <w:t>Supplementary Figures</w:t>
      </w:r>
    </w:p>
    <w:p w14:paraId="688C89EF">
      <w:pPr>
        <w:keepNext w:val="0"/>
        <w:keepLines w:val="0"/>
        <w:widowControl/>
        <w:suppressLineNumbers w:val="0"/>
        <w:jc w:val="left"/>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drawing>
          <wp:inline distT="0" distB="0" distL="114300" distR="114300">
            <wp:extent cx="5273040" cy="5894705"/>
            <wp:effectExtent l="0" t="0" r="10160" b="10795"/>
            <wp:docPr id="7" name="图片 7" descr="S1 TENVs指控与稳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1 TENVs指控与稳定"/>
                    <pic:cNvPicPr>
                      <a:picLocks noChangeAspect="1"/>
                    </pic:cNvPicPr>
                  </pic:nvPicPr>
                  <pic:blipFill>
                    <a:blip r:embed="rId5"/>
                    <a:stretch>
                      <a:fillRect/>
                    </a:stretch>
                  </pic:blipFill>
                  <pic:spPr>
                    <a:xfrm>
                      <a:off x="0" y="0"/>
                      <a:ext cx="5273040" cy="5894705"/>
                    </a:xfrm>
                    <a:prstGeom prst="rect">
                      <a:avLst/>
                    </a:prstGeom>
                  </pic:spPr>
                </pic:pic>
              </a:graphicData>
            </a:graphic>
          </wp:inline>
        </w:drawing>
      </w:r>
    </w:p>
    <w:p w14:paraId="06242720">
      <w:pPr>
        <w:rPr>
          <w:rFonts w:hint="default" w:ascii="Times New Roman" w:hAnsi="Times New Roman" w:cs="Times New Roman"/>
          <w:color w:val="auto"/>
          <w:sz w:val="24"/>
          <w:szCs w:val="24"/>
          <w:lang w:val="en-US" w:eastAsia="zh-CN"/>
        </w:rPr>
      </w:pPr>
      <w:r>
        <w:rPr>
          <w:rFonts w:hint="default" w:ascii="Times New Roman" w:hAnsi="Times New Roman" w:cs="Times New Roman"/>
          <w:b/>
          <w:bCs/>
          <w:color w:val="auto"/>
          <w:sz w:val="24"/>
          <w:szCs w:val="24"/>
        </w:rPr>
        <w:t>Figure S</w:t>
      </w:r>
      <w:r>
        <w:rPr>
          <w:rFonts w:hint="default" w:ascii="Times New Roman" w:hAnsi="Times New Roman" w:cs="Times New Roman"/>
          <w:b/>
          <w:bCs/>
          <w:color w:val="auto"/>
          <w:sz w:val="24"/>
          <w:szCs w:val="24"/>
          <w:lang w:val="en-US" w:eastAsia="zh-CN"/>
        </w:rPr>
        <w:t>1</w:t>
      </w:r>
      <w:r>
        <w:rPr>
          <w:rStyle w:val="10"/>
          <w:rFonts w:hint="default" w:ascii="Times New Roman" w:hAnsi="Times New Roman" w:eastAsia="宋体" w:cs="Times New Roman"/>
          <w:b w:val="0"/>
          <w:bCs w:val="0"/>
          <w:color w:val="auto"/>
          <w:sz w:val="24"/>
          <w:szCs w:val="24"/>
          <w:lang w:val="en-US" w:eastAsia="zh-CN"/>
        </w:rPr>
        <w:t xml:space="preserve">. </w:t>
      </w:r>
      <w:r>
        <w:rPr>
          <w:rFonts w:hint="default" w:ascii="Times New Roman" w:hAnsi="Times New Roman" w:cs="Times New Roman"/>
          <w:color w:val="auto"/>
          <w:sz w:val="24"/>
          <w:szCs w:val="24"/>
          <w:lang w:val="en-US" w:eastAsia="zh-CN"/>
        </w:rPr>
        <w:t xml:space="preserve">Quality control and gastrointestinal stability of TENVs. (A) Aerobic sterility assessment of TENVs on LB agar after 24 h, with Escherichia coli as the positive control (n = 3 technical replicates). (B) Endotoxin detection in TENVs using the gel-clot assay. Formation of a firm gel that remained intact after 180° inversion was considered a positive reaction, whereas a loose or mobile gel that failed to remain intact after inversion was considered negative. PC, positive control; PPC, positive product control; NC, negative control. (C) Summary of gel-clot endotoxin assay results for the pooled TENV preparation (n = 3 technical replicates). (D, </w:t>
      </w:r>
      <w:r>
        <w:rPr>
          <w:rFonts w:hint="eastAsia" w:ascii="Times New Roman" w:hAnsi="Times New Roman" w:cs="Times New Roman"/>
          <w:color w:val="auto"/>
          <w:sz w:val="24"/>
          <w:szCs w:val="24"/>
          <w:lang w:val="en-US" w:eastAsia="zh-CN"/>
        </w:rPr>
        <w:t>E</w:t>
      </w:r>
      <w:r>
        <w:rPr>
          <w:rFonts w:hint="default" w:ascii="Times New Roman" w:hAnsi="Times New Roman" w:cs="Times New Roman"/>
          <w:color w:val="auto"/>
          <w:sz w:val="24"/>
          <w:szCs w:val="24"/>
          <w:lang w:val="en-US" w:eastAsia="zh-CN"/>
        </w:rPr>
        <w:t>) Changes in the hydrodynamic diameter of TENVs in simulated gastric and intestinal fluids measured by DLS.</w:t>
      </w:r>
    </w:p>
    <w:p w14:paraId="412B948E">
      <w:pPr>
        <w:keepNext w:val="0"/>
        <w:keepLines w:val="0"/>
        <w:widowControl/>
        <w:suppressLineNumbers w:val="0"/>
        <w:jc w:val="left"/>
        <w:rPr>
          <w:rFonts w:hint="default" w:ascii="Times New Roman" w:hAnsi="Times New Roman" w:eastAsia="宋体" w:cs="Times New Roman"/>
          <w:b/>
          <w:bCs/>
          <w:color w:val="000000"/>
          <w:kern w:val="0"/>
          <w:sz w:val="24"/>
          <w:szCs w:val="24"/>
          <w:lang w:val="en-US" w:eastAsia="zh-CN" w:bidi="ar"/>
        </w:rPr>
      </w:pPr>
    </w:p>
    <w:p w14:paraId="0143E994">
      <w:pPr>
        <w:rPr>
          <w:rFonts w:hint="eastAsia" w:ascii="Times New Roman" w:hAnsi="Times New Roman" w:cs="Times New Roman" w:eastAsiaTheme="minorEastAsia"/>
          <w:color w:val="auto"/>
          <w:sz w:val="24"/>
          <w:szCs w:val="24"/>
          <w:lang w:val="en-US" w:eastAsia="zh-CN"/>
        </w:rPr>
      </w:pPr>
      <w:r>
        <w:rPr>
          <w:rFonts w:hint="default" w:ascii="Times New Roman" w:hAnsi="Times New Roman" w:cs="Times New Roman"/>
          <w:b/>
          <w:bCs/>
          <w:color w:val="C00000"/>
          <w:sz w:val="24"/>
          <w:szCs w:val="24"/>
        </w:rPr>
        <w:drawing>
          <wp:inline distT="0" distB="0" distL="114300" distR="114300">
            <wp:extent cx="5270500" cy="8126095"/>
            <wp:effectExtent l="0" t="0" r="0" b="1905"/>
            <wp:docPr id="8" name="图片 8" descr="作用物质基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作用物质基础"/>
                    <pic:cNvPicPr>
                      <a:picLocks noChangeAspect="1"/>
                    </pic:cNvPicPr>
                  </pic:nvPicPr>
                  <pic:blipFill>
                    <a:blip r:embed="rId6"/>
                    <a:stretch>
                      <a:fillRect/>
                    </a:stretch>
                  </pic:blipFill>
                  <pic:spPr>
                    <a:xfrm>
                      <a:off x="0" y="0"/>
                      <a:ext cx="5270500" cy="8126095"/>
                    </a:xfrm>
                    <a:prstGeom prst="rect">
                      <a:avLst/>
                    </a:prstGeom>
                  </pic:spPr>
                </pic:pic>
              </a:graphicData>
            </a:graphic>
          </wp:inline>
        </w:drawing>
      </w:r>
      <w:r>
        <w:rPr>
          <w:rFonts w:hint="default" w:ascii="Times New Roman" w:hAnsi="Times New Roman" w:cs="Times New Roman"/>
          <w:b/>
          <w:bCs/>
          <w:color w:val="C00000"/>
          <w:sz w:val="24"/>
          <w:szCs w:val="24"/>
        </w:rPr>
        <w:t>Figure S</w:t>
      </w:r>
      <w:r>
        <w:rPr>
          <w:rFonts w:hint="eastAsia" w:ascii="Times New Roman" w:hAnsi="Times New Roman" w:cs="Times New Roman"/>
          <w:b/>
          <w:bCs/>
          <w:color w:val="C00000"/>
          <w:sz w:val="24"/>
          <w:szCs w:val="24"/>
          <w:lang w:val="en-US" w:eastAsia="zh-CN"/>
        </w:rPr>
        <w:t>2</w:t>
      </w:r>
      <w:r>
        <w:rPr>
          <w:rStyle w:val="10"/>
          <w:rFonts w:hint="default" w:ascii="Times New Roman" w:hAnsi="Times New Roman" w:eastAsia="宋体" w:cs="Times New Roman"/>
          <w:b w:val="0"/>
          <w:bCs w:val="0"/>
          <w:color w:val="C00000"/>
          <w:sz w:val="24"/>
          <w:szCs w:val="24"/>
          <w:lang w:val="en-US" w:eastAsia="zh-CN"/>
        </w:rPr>
        <w:t>.</w:t>
      </w:r>
      <w:r>
        <w:rPr>
          <w:rStyle w:val="10"/>
          <w:rFonts w:hint="default" w:ascii="Times New Roman" w:hAnsi="Times New Roman" w:eastAsia="宋体" w:cs="Times New Roman"/>
          <w:b w:val="0"/>
          <w:bCs w:val="0"/>
          <w:color w:val="auto"/>
          <w:sz w:val="24"/>
          <w:szCs w:val="24"/>
          <w:lang w:val="en-US" w:eastAsia="zh-CN"/>
        </w:rPr>
        <w:t xml:space="preserve"> Potential bioactive components contributing to the effects of TENVs. (A) Schematic illustration of enzymatic digestion of TENVs followed by ultrafiltration. (B) qRT-PCR analysis of inflammatory cytokine mRNA expression in RAW264.7 macrophages pretreated with differently processed TENVs for 12 h, followed by LPS stimulation for 12 h. (C) Selected KEGG functional categories of proteins identified in TENVs by proteomic analysis. (D) qRT-PCR analysis of inflammatory cytokine mRNA expression in RAW264.7 macrophages pretreated with intact TENVs, heat-inactivated TENVs, or supernatant depleted of TENVs for 12 h, followed by LPS stimulation for 12 h. Data are presented as mean ± SD from three independent in vitro experiments (n = 3).</w:t>
      </w:r>
      <w:r>
        <w:rPr>
          <w:rFonts w:hint="default" w:ascii="Times New Roman" w:hAnsi="Times New Roman" w:cs="Times New Roman"/>
          <w:color w:val="auto"/>
          <w:sz w:val="24"/>
          <w:szCs w:val="24"/>
        </w:rPr>
        <w:t xml:space="preserve">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0.05,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0.01,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0.001 compared with the control group;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0.05,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0.01,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0.001 compared with the LPS group</w:t>
      </w:r>
      <w:r>
        <w:rPr>
          <w:rFonts w:hint="eastAsia" w:ascii="Times New Roman" w:hAnsi="Times New Roman" w:cs="Times New Roman"/>
          <w:color w:val="auto"/>
          <w:sz w:val="24"/>
          <w:szCs w:val="24"/>
          <w:lang w:val="en-US" w:eastAsia="zh-CN"/>
        </w:rPr>
        <w:t>; &amp;</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0.05, </w:t>
      </w:r>
      <w:r>
        <w:rPr>
          <w:rFonts w:hint="eastAsia" w:ascii="Times New Roman" w:hAnsi="Times New Roman" w:cs="Times New Roman"/>
          <w:color w:val="auto"/>
          <w:sz w:val="24"/>
          <w:szCs w:val="24"/>
          <w:lang w:val="en-US" w:eastAsia="zh-CN"/>
        </w:rPr>
        <w:t>&amp;&amp;</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0.01, </w:t>
      </w:r>
      <w:r>
        <w:rPr>
          <w:rFonts w:hint="eastAsia" w:ascii="Times New Roman" w:hAnsi="Times New Roman" w:cs="Times New Roman"/>
          <w:color w:val="auto"/>
          <w:sz w:val="24"/>
          <w:szCs w:val="24"/>
          <w:lang w:val="en-US" w:eastAsia="zh-CN"/>
        </w:rPr>
        <w:t>&amp;&amp;&amp;</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0.001 compared with the LPS</w:t>
      </w:r>
      <w:r>
        <w:rPr>
          <w:rFonts w:hint="eastAsia" w:ascii="Times New Roman" w:hAnsi="Times New Roman" w:cs="Times New Roman"/>
          <w:color w:val="auto"/>
          <w:sz w:val="24"/>
          <w:szCs w:val="24"/>
          <w:lang w:val="en-US" w:eastAsia="zh-CN"/>
        </w:rPr>
        <w:t xml:space="preserve"> + TENVs</w:t>
      </w:r>
      <w:r>
        <w:rPr>
          <w:rFonts w:hint="default" w:ascii="Times New Roman" w:hAnsi="Times New Roman" w:cs="Times New Roman"/>
          <w:color w:val="auto"/>
          <w:sz w:val="24"/>
          <w:szCs w:val="24"/>
        </w:rPr>
        <w:t xml:space="preserve"> group</w:t>
      </w:r>
      <w:r>
        <w:rPr>
          <w:rFonts w:hint="eastAsia" w:ascii="Times New Roman" w:hAnsi="Times New Roman" w:cs="Times New Roman"/>
          <w:color w:val="auto"/>
          <w:sz w:val="24"/>
          <w:szCs w:val="24"/>
          <w:lang w:val="en-US" w:eastAsia="zh-CN"/>
        </w:rPr>
        <w:t>.</w:t>
      </w:r>
    </w:p>
    <w:p w14:paraId="7BF467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1667EC">
      <w:pPr>
        <w:keepNext w:val="0"/>
        <w:keepLines w:val="0"/>
        <w:widowControl/>
        <w:suppressLineNumbers w:val="0"/>
        <w:jc w:val="left"/>
        <w:rPr>
          <w:rFonts w:hint="default" w:ascii="Times New Roman" w:hAnsi="Times New Roman" w:eastAsia="宋体" w:cs="Times New Roman"/>
          <w:b/>
          <w:bCs/>
          <w:color w:val="000000"/>
          <w:kern w:val="0"/>
          <w:sz w:val="24"/>
          <w:szCs w:val="24"/>
          <w:lang w:val="en-US" w:eastAsia="zh-CN" w:bidi="ar"/>
        </w:rPr>
      </w:pPr>
    </w:p>
    <w:p w14:paraId="17629DB4">
      <w:pPr>
        <w:rPr>
          <w:rStyle w:val="10"/>
          <w:rFonts w:hint="default" w:ascii="Times New Roman" w:hAnsi="Times New Roman" w:eastAsia="宋体" w:cs="Times New Roman"/>
          <w:b w:val="0"/>
          <w:bCs w:val="0"/>
          <w:color w:val="auto"/>
          <w:sz w:val="24"/>
          <w:szCs w:val="24"/>
          <w:lang w:val="en-US" w:eastAsia="zh-CN"/>
        </w:rPr>
      </w:pPr>
      <w:r>
        <w:rPr>
          <w:rFonts w:hint="default" w:ascii="Times New Roman" w:hAnsi="Times New Roman" w:cs="Times New Roman"/>
          <w:b/>
          <w:bCs/>
          <w:color w:val="C00000"/>
          <w:sz w:val="24"/>
          <w:szCs w:val="24"/>
        </w:rPr>
        <w:drawing>
          <wp:inline distT="0" distB="0" distL="114300" distR="114300">
            <wp:extent cx="5273040" cy="4356735"/>
            <wp:effectExtent l="0" t="0" r="10160" b="12065"/>
            <wp:docPr id="2" name="图片 2" descr="体内治疗补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体内治疗补充"/>
                    <pic:cNvPicPr>
                      <a:picLocks noChangeAspect="1"/>
                    </pic:cNvPicPr>
                  </pic:nvPicPr>
                  <pic:blipFill>
                    <a:blip r:embed="rId7"/>
                    <a:stretch>
                      <a:fillRect/>
                    </a:stretch>
                  </pic:blipFill>
                  <pic:spPr>
                    <a:xfrm>
                      <a:off x="0" y="0"/>
                      <a:ext cx="5273040" cy="4356735"/>
                    </a:xfrm>
                    <a:prstGeom prst="rect">
                      <a:avLst/>
                    </a:prstGeom>
                  </pic:spPr>
                </pic:pic>
              </a:graphicData>
            </a:graphic>
          </wp:inline>
        </w:drawing>
      </w:r>
      <w:bookmarkStart w:id="0" w:name="_GoBack"/>
      <w:r>
        <w:rPr>
          <w:rFonts w:hint="default" w:ascii="Times New Roman" w:hAnsi="Times New Roman" w:cs="Times New Roman"/>
          <w:b/>
          <w:bCs/>
          <w:color w:val="C00000"/>
          <w:sz w:val="24"/>
          <w:szCs w:val="24"/>
        </w:rPr>
        <w:t>Figure S</w:t>
      </w:r>
      <w:r>
        <w:rPr>
          <w:rFonts w:hint="default" w:ascii="Times New Roman" w:hAnsi="Times New Roman" w:cs="Times New Roman"/>
          <w:b/>
          <w:bCs/>
          <w:color w:val="C00000"/>
          <w:sz w:val="24"/>
          <w:szCs w:val="24"/>
          <w:lang w:val="en-US" w:eastAsia="zh-CN"/>
        </w:rPr>
        <w:t>3</w:t>
      </w:r>
      <w:r>
        <w:rPr>
          <w:rStyle w:val="10"/>
          <w:rFonts w:hint="default" w:ascii="Times New Roman" w:hAnsi="Times New Roman" w:eastAsia="宋体" w:cs="Times New Roman"/>
          <w:b w:val="0"/>
          <w:bCs w:val="0"/>
          <w:color w:val="C00000"/>
          <w:sz w:val="24"/>
          <w:szCs w:val="24"/>
          <w:lang w:val="en-US" w:eastAsia="zh-CN"/>
        </w:rPr>
        <w:t>.</w:t>
      </w:r>
      <w:bookmarkEnd w:id="0"/>
      <w:r>
        <w:rPr>
          <w:rStyle w:val="10"/>
          <w:rFonts w:hint="default" w:ascii="Times New Roman" w:hAnsi="Times New Roman" w:eastAsia="宋体" w:cs="Times New Roman"/>
          <w:b w:val="0"/>
          <w:bCs w:val="0"/>
          <w:color w:val="auto"/>
          <w:sz w:val="24"/>
          <w:szCs w:val="24"/>
          <w:lang w:val="en-US" w:eastAsia="zh-CN"/>
        </w:rPr>
        <w:t xml:space="preserve"> Treatment with TENVs ameliorates DSS-induced </w:t>
      </w:r>
      <w:r>
        <w:rPr>
          <w:rFonts w:hint="default" w:ascii="Times New Roman" w:hAnsi="Times New Roman" w:cs="Times New Roman"/>
          <w:b w:val="0"/>
          <w:bCs w:val="0"/>
          <w:color w:val="auto"/>
          <w:sz w:val="24"/>
          <w:szCs w:val="24"/>
        </w:rPr>
        <w:t>colitis</w:t>
      </w:r>
      <w:r>
        <w:rPr>
          <w:rStyle w:val="10"/>
          <w:rFonts w:hint="default" w:ascii="Times New Roman" w:hAnsi="Times New Roman" w:eastAsia="宋体" w:cs="Times New Roman"/>
          <w:b w:val="0"/>
          <w:bCs w:val="0"/>
          <w:color w:val="auto"/>
          <w:sz w:val="24"/>
          <w:szCs w:val="24"/>
          <w:lang w:val="en-US" w:eastAsia="zh-CN"/>
        </w:rPr>
        <w:t xml:space="preserve"> in mice (additional data for Figure 2).</w:t>
      </w:r>
      <w:r>
        <w:rPr>
          <w:rStyle w:val="13"/>
          <w:rFonts w:hint="default" w:ascii="Times New Roman" w:hAnsi="Times New Roman" w:eastAsia="黑体" w:cs="Times New Roman"/>
          <w:color w:val="auto"/>
          <w:sz w:val="24"/>
          <w:szCs w:val="24"/>
          <w:lang w:val="en-US" w:eastAsia="zh-CN"/>
        </w:rPr>
        <w:t xml:space="preserve"> (</w:t>
      </w:r>
      <w:r>
        <w:rPr>
          <w:rStyle w:val="13"/>
          <w:rFonts w:hint="eastAsia" w:ascii="Times New Roman" w:hAnsi="Times New Roman" w:eastAsia="黑体" w:cs="Times New Roman"/>
          <w:color w:val="auto"/>
          <w:sz w:val="24"/>
          <w:szCs w:val="24"/>
          <w:lang w:val="en-US" w:eastAsia="zh-CN"/>
        </w:rPr>
        <w:t>A, B</w:t>
      </w:r>
      <w:r>
        <w:rPr>
          <w:rStyle w:val="13"/>
          <w:rFonts w:hint="default" w:ascii="Times New Roman" w:hAnsi="Times New Roman" w:eastAsia="黑体" w:cs="Times New Roman"/>
          <w:color w:val="auto"/>
          <w:sz w:val="24"/>
          <w:szCs w:val="24"/>
          <w:lang w:val="en-US" w:eastAsia="zh-CN"/>
        </w:rPr>
        <w:t>)</w:t>
      </w:r>
      <w:r>
        <w:rPr>
          <w:rFonts w:hint="default" w:ascii="Times New Roman" w:hAnsi="Times New Roman" w:eastAsia="宋体" w:cs="Times New Roman"/>
          <w:color w:val="auto"/>
          <w:sz w:val="24"/>
          <w:szCs w:val="24"/>
        </w:rPr>
        <w:t xml:space="preserve"> Western blot analysis and densitometric quantification of ZO-1, occludin, and claudin-1 in colonic tissues</w:t>
      </w:r>
      <w:r>
        <w:rPr>
          <w:rFonts w:hint="default" w:ascii="Times New Roman" w:hAnsi="Times New Roman" w:eastAsia="宋体" w:cs="Times New Roman"/>
          <w:color w:val="auto"/>
          <w:sz w:val="24"/>
          <w:szCs w:val="24"/>
          <w:lang w:val="en-US" w:eastAsia="zh-CN"/>
        </w:rPr>
        <w:t xml:space="preserve"> (n</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 xml:space="preserve"> </w:t>
      </w:r>
      <w:r>
        <w:rPr>
          <w:rStyle w:val="10"/>
          <w:rFonts w:hint="default" w:ascii="Times New Roman" w:hAnsi="Times New Roman" w:eastAsia="宋体" w:cs="Times New Roman"/>
          <w:b w:val="0"/>
          <w:bCs w:val="0"/>
          <w:color w:val="auto"/>
          <w:sz w:val="24"/>
          <w:szCs w:val="24"/>
          <w:lang w:val="en-US" w:eastAsia="zh-CN"/>
        </w:rPr>
        <w:t>(</w:t>
      </w:r>
      <w:r>
        <w:rPr>
          <w:rStyle w:val="10"/>
          <w:rFonts w:hint="eastAsia" w:ascii="Times New Roman" w:hAnsi="Times New Roman" w:eastAsia="宋体" w:cs="Times New Roman"/>
          <w:b w:val="0"/>
          <w:bCs w:val="0"/>
          <w:color w:val="auto"/>
          <w:sz w:val="24"/>
          <w:szCs w:val="24"/>
          <w:lang w:val="en-US" w:eastAsia="zh-CN"/>
        </w:rPr>
        <w:t>C</w:t>
      </w:r>
      <w:r>
        <w:rPr>
          <w:rStyle w:val="10"/>
          <w:rFonts w:hint="default" w:ascii="Times New Roman" w:hAnsi="Times New Roman" w:eastAsia="宋体" w:cs="Times New Roman"/>
          <w:b w:val="0"/>
          <w:bCs w:val="0"/>
          <w:color w:val="auto"/>
          <w:sz w:val="24"/>
          <w:szCs w:val="24"/>
          <w:lang w:val="en-US" w:eastAsia="zh-CN"/>
        </w:rPr>
        <w:t>)</w:t>
      </w:r>
      <w:r>
        <w:rPr>
          <w:rStyle w:val="10"/>
          <w:rFonts w:hint="default" w:ascii="Times New Roman" w:hAnsi="Times New Roman" w:eastAsia="宋体" w:cs="Times New Roman"/>
          <w:b w:val="0"/>
          <w:bCs w:val="0"/>
          <w:color w:val="auto"/>
          <w:sz w:val="24"/>
          <w:szCs w:val="24"/>
          <w:lang w:val="en-US" w:eastAsia="zh-CN"/>
        </w:rPr>
        <w:t xml:space="preserve"> Q</w:t>
      </w:r>
      <w:r>
        <w:rPr>
          <w:rStyle w:val="13"/>
          <w:rFonts w:hint="default" w:ascii="Times New Roman" w:hAnsi="Times New Roman" w:eastAsia="黑体" w:cs="Times New Roman"/>
          <w:color w:val="auto"/>
          <w:sz w:val="24"/>
          <w:szCs w:val="24"/>
          <w:lang w:val="en-US" w:eastAsia="zh-CN"/>
        </w:rPr>
        <w:t>uantification of Alcian blue-positive goblet cells (n = 4).</w:t>
      </w:r>
      <w:r>
        <w:rPr>
          <w:rStyle w:val="13"/>
          <w:rFonts w:hint="eastAsia" w:ascii="Times New Roman" w:hAnsi="Times New Roman" w:eastAsia="黑体" w:cs="Times New Roman"/>
          <w:color w:val="auto"/>
          <w:sz w:val="24"/>
          <w:szCs w:val="24"/>
          <w:lang w:val="en-US" w:eastAsia="zh-CN"/>
        </w:rPr>
        <w:t xml:space="preserve"> </w:t>
      </w:r>
      <w:r>
        <w:rPr>
          <w:rFonts w:hint="default" w:ascii="Times New Roman" w:hAnsi="Times New Roman" w:cs="Times New Roman"/>
          <w:color w:val="auto"/>
          <w:sz w:val="24"/>
          <w:szCs w:val="24"/>
        </w:rPr>
        <w:t>Data are presented as mean ± SD</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0.05,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0.01,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0.001 compared with the control group;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0.05,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0.01,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0.001 compared with the DSS group.</w:t>
      </w:r>
    </w:p>
    <w:p w14:paraId="0D833526">
      <w:pPr>
        <w:keepNext w:val="0"/>
        <w:keepLines w:val="0"/>
        <w:widowControl/>
        <w:suppressLineNumbers w:val="0"/>
        <w:jc w:val="left"/>
        <w:rPr>
          <w:rFonts w:hint="eastAsia" w:ascii="Times New Roman" w:hAnsi="Times New Roman" w:eastAsia="宋体" w:cs="Times New Roman"/>
          <w:b/>
          <w:bCs/>
          <w:color w:val="000000"/>
          <w:kern w:val="0"/>
          <w:sz w:val="24"/>
          <w:szCs w:val="24"/>
          <w:lang w:val="en-US" w:eastAsia="zh-CN" w:bidi="ar"/>
        </w:rPr>
      </w:pPr>
    </w:p>
    <w:p w14:paraId="4AAF3D86">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eastAsiaTheme="minorEastAsia"/>
          <w:b/>
          <w:bCs/>
          <w:lang w:eastAsia="zh-CN"/>
        </w:rPr>
      </w:pPr>
      <w:r>
        <w:rPr>
          <w:rFonts w:hint="eastAsia" w:eastAsiaTheme="minorEastAsia"/>
          <w:b/>
          <w:bCs/>
          <w:lang w:eastAsia="zh-CN"/>
        </w:rPr>
        <w:drawing>
          <wp:inline distT="0" distB="0" distL="114300" distR="114300">
            <wp:extent cx="5273040" cy="7284720"/>
            <wp:effectExtent l="0" t="0" r="10160" b="5080"/>
            <wp:docPr id="5" name="图片 5" descr="体内抗炎补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体内抗炎补充"/>
                    <pic:cNvPicPr>
                      <a:picLocks noChangeAspect="1"/>
                    </pic:cNvPicPr>
                  </pic:nvPicPr>
                  <pic:blipFill>
                    <a:blip r:embed="rId8"/>
                    <a:stretch>
                      <a:fillRect/>
                    </a:stretch>
                  </pic:blipFill>
                  <pic:spPr>
                    <a:xfrm>
                      <a:off x="0" y="0"/>
                      <a:ext cx="5273040" cy="7284720"/>
                    </a:xfrm>
                    <a:prstGeom prst="rect">
                      <a:avLst/>
                    </a:prstGeom>
                  </pic:spPr>
                </pic:pic>
              </a:graphicData>
            </a:graphic>
          </wp:inline>
        </w:drawing>
      </w:r>
    </w:p>
    <w:p w14:paraId="2BE72ED1">
      <w:pPr>
        <w:pStyle w:val="3"/>
        <w:bidi w:val="0"/>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 xml:space="preserve">Figure S4. </w:t>
      </w:r>
      <w:r>
        <w:rPr>
          <w:rFonts w:hint="default" w:ascii="Times New Roman" w:hAnsi="Times New Roman" w:cs="Times New Roman"/>
          <w:b w:val="0"/>
          <w:bCs w:val="0"/>
          <w:color w:val="auto"/>
          <w:sz w:val="24"/>
          <w:szCs w:val="24"/>
        </w:rPr>
        <w:t>TENVs suppress inflammatory responses in the colonic tissues of mice with DSS-induced colitis (additional data for Figure 3). (A, B) Western blot analysis and densitometric quantification of CD86 in colonic tissues (n = 3). (C) Representative immunohistochemical images showing IL-1β-, IL-6-, and TNF-α-positive cells in colonic tissues from each group (scale bars: 100 μm). (D) Quantification of IL-1β-, IL-6-, and TNF-α-positive cells in colonic tissues using ImageJ software (n = 3). (E) Serum GSH-Px levels measured by ELISA (n = 6).</w:t>
      </w:r>
      <w:r>
        <w:rPr>
          <w:rFonts w:hint="eastAsia" w:ascii="Times New Roman" w:hAnsi="Times New Roman" w:cs="Times New Roman"/>
          <w:b w:val="0"/>
          <w:bCs w:val="0"/>
          <w:color w:val="auto"/>
          <w:sz w:val="24"/>
          <w:szCs w:val="24"/>
          <w:lang w:val="en-US" w:eastAsia="zh-CN"/>
        </w:rPr>
        <w:t xml:space="preserve"> </w:t>
      </w:r>
      <w:r>
        <w:rPr>
          <w:rFonts w:hint="default" w:ascii="Times New Roman" w:hAnsi="Times New Roman" w:cs="Times New Roman"/>
          <w:color w:val="auto"/>
          <w:sz w:val="24"/>
          <w:szCs w:val="24"/>
        </w:rPr>
        <w:t>Data are presented as mean ± SD.</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0.05,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0.01,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0.001 compared with the control group;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0.05,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0.01,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0.001 compared with the </w:t>
      </w:r>
      <w:r>
        <w:rPr>
          <w:rFonts w:hint="eastAsia" w:ascii="Times New Roman" w:hAnsi="Times New Roman" w:cs="Times New Roman"/>
          <w:color w:val="auto"/>
          <w:sz w:val="24"/>
          <w:szCs w:val="24"/>
          <w:lang w:val="en-US" w:eastAsia="zh-CN"/>
        </w:rPr>
        <w:t>DSS</w:t>
      </w:r>
      <w:r>
        <w:rPr>
          <w:rFonts w:hint="default" w:ascii="Times New Roman" w:hAnsi="Times New Roman" w:cs="Times New Roman"/>
          <w:color w:val="auto"/>
          <w:sz w:val="24"/>
          <w:szCs w:val="24"/>
        </w:rPr>
        <w:t xml:space="preserve"> group.</w:t>
      </w:r>
    </w:p>
    <w:p w14:paraId="39AE3E4B">
      <w:pPr>
        <w:rPr>
          <w:rFonts w:hint="default"/>
          <w:lang w:eastAsia="zh-CN"/>
        </w:rPr>
      </w:pPr>
    </w:p>
    <w:p w14:paraId="534D5E61">
      <w:pPr>
        <w:rPr>
          <w:rFonts w:hint="default" w:ascii="Times New Roman" w:hAnsi="Times New Roman" w:cs="Times New Roman" w:eastAsiaTheme="minorEastAsia"/>
          <w:b w:val="0"/>
          <w:bCs w:val="0"/>
          <w:sz w:val="20"/>
          <w:szCs w:val="20"/>
          <w:lang w:val="en-US" w:eastAsia="zh-CN"/>
        </w:rPr>
      </w:pPr>
      <w:r>
        <w:rPr>
          <w:rFonts w:hint="default" w:ascii="Times New Roman" w:hAnsi="Times New Roman" w:cs="Times New Roman" w:eastAsiaTheme="minorEastAsia"/>
          <w:b w:val="0"/>
          <w:bCs w:val="0"/>
          <w:sz w:val="20"/>
          <w:szCs w:val="20"/>
          <w:lang w:val="en-US" w:eastAsia="zh-CN"/>
        </w:rPr>
        <w:drawing>
          <wp:inline distT="0" distB="0" distL="114300" distR="114300">
            <wp:extent cx="5350510" cy="8150860"/>
            <wp:effectExtent l="0" t="0" r="8890" b="2540"/>
            <wp:docPr id="3" name="图片 3" descr="AB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BX"/>
                    <pic:cNvPicPr>
                      <a:picLocks noChangeAspect="1"/>
                    </pic:cNvPicPr>
                  </pic:nvPicPr>
                  <pic:blipFill>
                    <a:blip r:embed="rId9"/>
                    <a:stretch>
                      <a:fillRect/>
                    </a:stretch>
                  </pic:blipFill>
                  <pic:spPr>
                    <a:xfrm>
                      <a:off x="0" y="0"/>
                      <a:ext cx="5350510" cy="8150860"/>
                    </a:xfrm>
                    <a:prstGeom prst="rect">
                      <a:avLst/>
                    </a:prstGeom>
                  </pic:spPr>
                </pic:pic>
              </a:graphicData>
            </a:graphic>
          </wp:inline>
        </w:drawing>
      </w:r>
    </w:p>
    <w:p w14:paraId="72864AFF">
      <w:pPr>
        <w:rPr>
          <w:rFonts w:hint="eastAsia" w:ascii="Times New Roman" w:hAnsi="Times New Roman" w:cs="Times New Roman"/>
          <w:color w:val="auto"/>
          <w:sz w:val="24"/>
          <w:szCs w:val="24"/>
          <w:lang w:val="en-US" w:eastAsia="zh-CN"/>
        </w:rPr>
      </w:pPr>
      <w:r>
        <w:rPr>
          <w:rFonts w:hint="default" w:ascii="Times New Roman" w:hAnsi="Times New Roman" w:cs="Times New Roman"/>
          <w:b/>
          <w:bCs/>
          <w:color w:val="auto"/>
          <w:sz w:val="24"/>
          <w:szCs w:val="24"/>
        </w:rPr>
        <w:t>Figure S</w:t>
      </w:r>
      <w:r>
        <w:rPr>
          <w:rFonts w:hint="eastAsia" w:ascii="Times New Roman" w:hAnsi="Times New Roman" w:cs="Times New Roman"/>
          <w:b/>
          <w:bCs/>
          <w:color w:val="auto"/>
          <w:sz w:val="24"/>
          <w:szCs w:val="24"/>
          <w:lang w:val="en-US" w:eastAsia="zh-CN"/>
        </w:rPr>
        <w:t>5</w:t>
      </w:r>
      <w:r>
        <w:rPr>
          <w:rFonts w:hint="default" w:ascii="Times New Roman" w:hAnsi="Times New Roman" w:cs="Times New Roman"/>
          <w:b/>
          <w:bCs/>
          <w:color w:val="auto"/>
          <w:sz w:val="24"/>
          <w:szCs w:val="24"/>
        </w:rPr>
        <w:t xml:space="preserve">. </w:t>
      </w:r>
      <w:r>
        <w:rPr>
          <w:rFonts w:hint="default" w:ascii="Times New Roman" w:hAnsi="Times New Roman" w:cs="Times New Roman"/>
          <w:b w:val="0"/>
          <w:bCs w:val="0"/>
          <w:color w:val="auto"/>
          <w:sz w:val="24"/>
          <w:szCs w:val="24"/>
        </w:rPr>
        <w:t>Effects of TENVs on DSS-induced colitis following gut microbiota depletion.</w:t>
      </w:r>
      <w:r>
        <w:rPr>
          <w:rFonts w:hint="eastAsia" w:ascii="Times New Roman" w:hAnsi="Times New Roman" w:cs="Times New Roman"/>
          <w:b w:val="0"/>
          <w:bCs w:val="0"/>
          <w:color w:val="auto"/>
          <w:sz w:val="24"/>
          <w:szCs w:val="24"/>
          <w:lang w:val="en-US" w:eastAsia="zh-CN"/>
        </w:rPr>
        <w:t xml:space="preserve"> (A) Schematic diagram of ABX pretreatment, DSS induction, and TENVs administration. (B) Representative colony growth from fecal samples collected on day 7 after four consecutive 10-fold dilutions in PBS. Samples were cultured on LB agar aerobically for 24 h and on blood agar anaerobically for 48 h. (C) </w:t>
      </w:r>
      <w:r>
        <w:rPr>
          <w:rFonts w:hint="default" w:ascii="Times New Roman" w:hAnsi="Times New Roman" w:cs="Times New Roman"/>
          <w:color w:val="auto"/>
          <w:sz w:val="24"/>
          <w:szCs w:val="24"/>
        </w:rPr>
        <w:t>Body weight changes over 8 days.</w:t>
      </w:r>
      <w:r>
        <w:rPr>
          <w:rFonts w:hint="eastAsia" w:ascii="Times New Roman" w:hAnsi="Times New Roman" w:cs="Times New Roman"/>
          <w:color w:val="auto"/>
          <w:sz w:val="24"/>
          <w:szCs w:val="24"/>
          <w:lang w:val="en-US" w:eastAsia="zh-CN"/>
        </w:rPr>
        <w:t xml:space="preserve"> (D) </w:t>
      </w:r>
      <w:r>
        <w:rPr>
          <w:rFonts w:hint="default" w:ascii="Times New Roman" w:hAnsi="Times New Roman" w:cs="Times New Roman"/>
          <w:color w:val="auto"/>
          <w:sz w:val="24"/>
          <w:szCs w:val="24"/>
        </w:rPr>
        <w:t>DAI scores over 8 days.</w:t>
      </w:r>
      <w:r>
        <w:rPr>
          <w:rFonts w:hint="eastAsia" w:ascii="Times New Roman" w:hAnsi="Times New Roman" w:cs="Times New Roman"/>
          <w:color w:val="auto"/>
          <w:sz w:val="24"/>
          <w:szCs w:val="24"/>
          <w:lang w:val="en-US" w:eastAsia="zh-CN"/>
        </w:rPr>
        <w:t xml:space="preserve"> (E) </w:t>
      </w:r>
      <w:r>
        <w:rPr>
          <w:rFonts w:hint="default" w:ascii="Times New Roman" w:hAnsi="Times New Roman" w:cs="Times New Roman"/>
          <w:color w:val="auto"/>
          <w:sz w:val="24"/>
          <w:szCs w:val="24"/>
          <w:lang w:val="en-US" w:eastAsia="zh-CN"/>
        </w:rPr>
        <w:t>Representative gross morphology of colons from each group.</w:t>
      </w:r>
      <w:r>
        <w:rPr>
          <w:rFonts w:hint="eastAsia" w:ascii="Times New Roman" w:hAnsi="Times New Roman" w:cs="Times New Roman"/>
          <w:color w:val="auto"/>
          <w:sz w:val="24"/>
          <w:szCs w:val="24"/>
          <w:lang w:val="en-US" w:eastAsia="zh-CN"/>
        </w:rPr>
        <w:t xml:space="preserve"> (F) </w:t>
      </w:r>
      <w:r>
        <w:rPr>
          <w:rFonts w:hint="default" w:ascii="Times New Roman" w:hAnsi="Times New Roman" w:cs="Times New Roman"/>
          <w:color w:val="auto"/>
          <w:sz w:val="24"/>
          <w:szCs w:val="24"/>
        </w:rPr>
        <w:t>Quantification of colon length</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(G) </w:t>
      </w:r>
      <w:r>
        <w:rPr>
          <w:rFonts w:hint="default" w:ascii="Times New Roman" w:hAnsi="Times New Roman" w:cs="Times New Roman"/>
          <w:color w:val="auto"/>
          <w:sz w:val="24"/>
          <w:szCs w:val="24"/>
        </w:rPr>
        <w:t>Colon H&amp;E staining</w:t>
      </w:r>
      <w:r>
        <w:rPr>
          <w:rFonts w:hint="default" w:ascii="Times New Roman" w:hAnsi="Times New Roman" w:cs="Times New Roman"/>
          <w:color w:val="auto"/>
          <w:sz w:val="24"/>
          <w:szCs w:val="24"/>
          <w:lang w:val="en-US" w:eastAsia="zh-CN"/>
        </w:rPr>
        <w:t xml:space="preserve"> (Scale bars: 200 μm)</w:t>
      </w:r>
      <w:r>
        <w:rPr>
          <w:rFonts w:hint="default"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 xml:space="preserve"> (H) </w:t>
      </w:r>
      <w:r>
        <w:rPr>
          <w:rFonts w:hint="default" w:ascii="Times New Roman" w:hAnsi="Times New Roman" w:cs="Times New Roman"/>
          <w:color w:val="auto"/>
          <w:sz w:val="24"/>
          <w:szCs w:val="24"/>
        </w:rPr>
        <w:t>Histological scores of H&amp;E-stained colon sections.</w:t>
      </w:r>
      <w:r>
        <w:rPr>
          <w:rFonts w:hint="eastAsia" w:ascii="Times New Roman" w:hAnsi="Times New Roman" w:cs="Times New Roman"/>
          <w:color w:val="auto"/>
          <w:sz w:val="24"/>
          <w:szCs w:val="24"/>
          <w:lang w:val="en-US" w:eastAsia="zh-CN"/>
        </w:rPr>
        <w:t xml:space="preserve"> (I) </w:t>
      </w:r>
      <w:r>
        <w:rPr>
          <w:rFonts w:hint="default" w:ascii="Times New Roman" w:hAnsi="Times New Roman" w:cs="Times New Roman"/>
          <w:b w:val="0"/>
          <w:bCs w:val="0"/>
          <w:color w:val="auto"/>
          <w:sz w:val="24"/>
          <w:szCs w:val="24"/>
        </w:rPr>
        <w:t>Serum levels of IL-1β, IL-6</w:t>
      </w:r>
      <w:r>
        <w:rPr>
          <w:rFonts w:hint="eastAsia" w:ascii="Times New Roman" w:hAnsi="Times New Roman" w:cs="Times New Roman"/>
          <w:b w:val="0"/>
          <w:bCs w:val="0"/>
          <w:color w:val="auto"/>
          <w:sz w:val="24"/>
          <w:szCs w:val="24"/>
          <w:lang w:val="en-US" w:eastAsia="zh-CN"/>
        </w:rPr>
        <w:t xml:space="preserve"> and</w:t>
      </w:r>
      <w:r>
        <w:rPr>
          <w:rFonts w:hint="default" w:ascii="Times New Roman" w:hAnsi="Times New Roman" w:cs="Times New Roman"/>
          <w:b w:val="0"/>
          <w:bCs w:val="0"/>
          <w:color w:val="auto"/>
          <w:sz w:val="24"/>
          <w:szCs w:val="24"/>
        </w:rPr>
        <w:t xml:space="preserve"> TNF-α measured by ELISA</w:t>
      </w:r>
      <w:r>
        <w:rPr>
          <w:rFonts w:hint="eastAsia" w:ascii="Times New Roman" w:hAnsi="Times New Roman" w:cs="Times New Roman"/>
          <w:b w:val="0"/>
          <w:bCs w:val="0"/>
          <w:color w:val="auto"/>
          <w:sz w:val="24"/>
          <w:szCs w:val="24"/>
          <w:lang w:val="en-US" w:eastAsia="zh-CN"/>
        </w:rPr>
        <w:t xml:space="preserve">. </w:t>
      </w:r>
      <w:r>
        <w:rPr>
          <w:rFonts w:hint="default" w:ascii="Times New Roman" w:hAnsi="Times New Roman" w:cs="Times New Roman"/>
          <w:color w:val="auto"/>
          <w:sz w:val="24"/>
          <w:szCs w:val="24"/>
        </w:rPr>
        <w:t>Data are presented as mean ± SD</w:t>
      </w:r>
      <w:r>
        <w:rPr>
          <w:rFonts w:hint="default" w:ascii="Times New Roman" w:hAnsi="Times New Roman" w:cs="Times New Roman"/>
          <w:color w:val="auto"/>
          <w:sz w:val="24"/>
          <w:szCs w:val="24"/>
          <w:lang w:val="en-US" w:eastAsia="zh-CN"/>
        </w:rPr>
        <w:t xml:space="preserve"> (n</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6 mice per group).</w:t>
      </w:r>
      <w:r>
        <w:rPr>
          <w:rFonts w:hint="default" w:ascii="Times New Roman" w:hAnsi="Times New Roman" w:cs="Times New Roman"/>
          <w:color w:val="auto"/>
          <w:sz w:val="24"/>
          <w:szCs w:val="24"/>
        </w:rPr>
        <w:t xml:space="preserve">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0.05,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0.01,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0.001</w:t>
      </w:r>
      <w:r>
        <w:rPr>
          <w:rFonts w:hint="eastAsia" w:ascii="Times New Roman" w:hAnsi="Times New Roman" w:cs="Times New Roman"/>
          <w:color w:val="auto"/>
          <w:sz w:val="24"/>
          <w:szCs w:val="24"/>
          <w:lang w:val="en-US" w:eastAsia="zh-CN"/>
        </w:rPr>
        <w:t>.</w:t>
      </w:r>
    </w:p>
    <w:p w14:paraId="79B7D7F7">
      <w:pPr>
        <w:rPr>
          <w:rFonts w:hint="eastAsia" w:ascii="Times New Roman" w:hAnsi="Times New Roman" w:cs="Times New Roman"/>
          <w:color w:val="auto"/>
          <w:sz w:val="24"/>
          <w:szCs w:val="24"/>
          <w:lang w:val="en-US" w:eastAsia="zh-CN"/>
        </w:rPr>
      </w:pPr>
    </w:p>
    <w:p w14:paraId="634F1CC9">
      <w:pPr>
        <w:pStyle w:val="3"/>
        <w:rPr>
          <w:rFonts w:hint="default" w:ascii="Times New Roman" w:hAnsi="Times New Roman" w:cs="Times New Roman" w:eastAsiaTheme="minorEastAsia"/>
          <w:b w:val="0"/>
          <w:bCs w:val="0"/>
          <w:sz w:val="20"/>
          <w:szCs w:val="20"/>
          <w:lang w:val="en-US" w:eastAsia="zh-CN"/>
        </w:rPr>
      </w:pPr>
      <w:r>
        <w:rPr>
          <w:rFonts w:hint="default" w:ascii="Times New Roman" w:hAnsi="Times New Roman" w:cs="Times New Roman" w:eastAsiaTheme="minorEastAsia"/>
          <w:b w:val="0"/>
          <w:bCs w:val="0"/>
          <w:sz w:val="20"/>
          <w:szCs w:val="20"/>
          <w:lang w:val="en-US" w:eastAsia="zh-CN"/>
        </w:rPr>
        <w:drawing>
          <wp:inline distT="0" distB="0" distL="114300" distR="114300">
            <wp:extent cx="5271770" cy="5234305"/>
            <wp:effectExtent l="0" t="0" r="11430" b="10795"/>
            <wp:docPr id="9" name="图片 9" descr="S5补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5补充"/>
                    <pic:cNvPicPr>
                      <a:picLocks noChangeAspect="1"/>
                    </pic:cNvPicPr>
                  </pic:nvPicPr>
                  <pic:blipFill>
                    <a:blip r:embed="rId10"/>
                    <a:stretch>
                      <a:fillRect/>
                    </a:stretch>
                  </pic:blipFill>
                  <pic:spPr>
                    <a:xfrm>
                      <a:off x="0" y="0"/>
                      <a:ext cx="5271770" cy="5234305"/>
                    </a:xfrm>
                    <a:prstGeom prst="rect">
                      <a:avLst/>
                    </a:prstGeom>
                  </pic:spPr>
                </pic:pic>
              </a:graphicData>
            </a:graphic>
          </wp:inline>
        </w:drawing>
      </w:r>
    </w:p>
    <w:p w14:paraId="1435908C">
      <w:pPr>
        <w:pStyle w:val="6"/>
        <w:widowControl/>
        <w:spacing w:beforeAutospacing="0" w:afterAutospacing="0"/>
        <w:jc w:val="both"/>
        <w:rPr>
          <w:rStyle w:val="13"/>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Figure S</w:t>
      </w:r>
      <w:r>
        <w:rPr>
          <w:rFonts w:hint="default" w:ascii="Times New Roman" w:hAnsi="Times New Roman" w:cs="Times New Roman"/>
          <w:b/>
          <w:bCs/>
          <w:color w:val="auto"/>
          <w:sz w:val="24"/>
          <w:szCs w:val="24"/>
          <w:lang w:val="en-US" w:eastAsia="zh-CN"/>
        </w:rPr>
        <w:t>6</w:t>
      </w:r>
      <w:r>
        <w:rPr>
          <w:rStyle w:val="10"/>
          <w:rFonts w:hint="default" w:ascii="Times New Roman" w:hAnsi="Times New Roman" w:eastAsia="宋体" w:cs="Times New Roman"/>
          <w:b w:val="0"/>
          <w:bCs w:val="0"/>
          <w:color w:val="auto"/>
          <w:sz w:val="24"/>
          <w:szCs w:val="24"/>
          <w:lang w:val="en-US" w:eastAsia="zh-CN"/>
        </w:rPr>
        <w:t xml:space="preserve">. </w:t>
      </w:r>
      <w:r>
        <w:rPr>
          <w:rFonts w:hint="default" w:ascii="Times New Roman" w:hAnsi="Times New Roman" w:cs="Times New Roman"/>
          <w:color w:val="auto"/>
          <w:sz w:val="24"/>
          <w:szCs w:val="24"/>
          <w:lang w:val="en-US" w:eastAsia="zh-CN"/>
        </w:rPr>
        <w:t xml:space="preserve">FMT from TENVs-treated donor mice attenuates DSS-induced </w:t>
      </w:r>
      <w:r>
        <w:rPr>
          <w:rFonts w:hint="default" w:ascii="Times New Roman" w:hAnsi="Times New Roman" w:cs="Times New Roman"/>
          <w:b w:val="0"/>
          <w:bCs w:val="0"/>
          <w:color w:val="auto"/>
          <w:sz w:val="24"/>
          <w:szCs w:val="24"/>
        </w:rPr>
        <w:t>colitis</w:t>
      </w:r>
      <w:r>
        <w:rPr>
          <w:rFonts w:hint="default" w:ascii="Times New Roman" w:hAnsi="Times New Roman" w:cs="Times New Roman"/>
          <w:color w:val="auto"/>
          <w:sz w:val="24"/>
          <w:szCs w:val="24"/>
          <w:lang w:val="en-US" w:eastAsia="zh-CN"/>
        </w:rPr>
        <w:t xml:space="preserve"> in microbiota-depleted recipient mice (additional data for Figure 9). (A) </w:t>
      </w:r>
      <w:r>
        <w:rPr>
          <w:rFonts w:hint="default" w:ascii="Times New Roman" w:hAnsi="Times New Roman" w:cs="Times New Roman"/>
          <w:b w:val="0"/>
          <w:bCs w:val="0"/>
          <w:color w:val="auto"/>
          <w:sz w:val="24"/>
          <w:szCs w:val="24"/>
          <w:lang w:val="en-US" w:eastAsia="zh-CN"/>
        </w:rPr>
        <w:t xml:space="preserve">Representative colony growth from fecal samples collected on day 7 after four consecutive 10-fold dilutions in PBS. Samples were cultured on LB agar aerobically for 24 h and on blood agar anaerobically for 48 h. (B, C) Western blot analysis and densitometric quantification of ZO-1, occludin, and claudin-1 in colonic tissues. </w:t>
      </w:r>
      <w:r>
        <w:rPr>
          <w:rStyle w:val="13"/>
          <w:rFonts w:hint="default" w:ascii="Times New Roman" w:hAnsi="Times New Roman" w:cs="Times New Roman"/>
          <w:color w:val="auto"/>
          <w:sz w:val="24"/>
          <w:szCs w:val="24"/>
        </w:rPr>
        <w:t>Data are presented as mean ± SD</w:t>
      </w:r>
      <w:r>
        <w:rPr>
          <w:rStyle w:val="13"/>
          <w:rFonts w:hint="default" w:ascii="Times New Roman" w:hAnsi="Times New Roman" w:eastAsia="黑体" w:cs="Times New Roman"/>
          <w:color w:val="auto"/>
          <w:sz w:val="24"/>
          <w:szCs w:val="24"/>
          <w:lang w:val="en-US" w:eastAsia="zh-CN"/>
        </w:rPr>
        <w:t xml:space="preserve"> (n = 3 mice per group)</w:t>
      </w:r>
      <w:r>
        <w:rPr>
          <w:rStyle w:val="13"/>
          <w:rFonts w:hint="default" w:ascii="Times New Roman" w:hAnsi="Times New Roman" w:cs="Times New Roman"/>
          <w:color w:val="auto"/>
          <w:sz w:val="24"/>
          <w:szCs w:val="24"/>
        </w:rPr>
        <w:t>. *</w:t>
      </w:r>
      <w:r>
        <w:rPr>
          <w:rStyle w:val="13"/>
          <w:rFonts w:hint="default" w:ascii="Times New Roman" w:hAnsi="Times New Roman" w:cs="Times New Roman"/>
          <w:i/>
          <w:iCs/>
          <w:color w:val="auto"/>
          <w:sz w:val="24"/>
          <w:szCs w:val="24"/>
        </w:rPr>
        <w:t>P</w:t>
      </w:r>
      <w:r>
        <w:rPr>
          <w:rStyle w:val="13"/>
          <w:rFonts w:hint="default" w:ascii="Times New Roman" w:hAnsi="Times New Roman" w:cs="Times New Roman"/>
          <w:color w:val="auto"/>
          <w:sz w:val="24"/>
          <w:szCs w:val="24"/>
        </w:rPr>
        <w:t xml:space="preserve"> &lt; 0.05, **</w:t>
      </w:r>
      <w:r>
        <w:rPr>
          <w:rStyle w:val="13"/>
          <w:rFonts w:hint="default" w:ascii="Times New Roman" w:hAnsi="Times New Roman" w:cs="Times New Roman"/>
          <w:i/>
          <w:iCs/>
          <w:color w:val="auto"/>
          <w:sz w:val="24"/>
          <w:szCs w:val="24"/>
        </w:rPr>
        <w:t>P</w:t>
      </w:r>
      <w:r>
        <w:rPr>
          <w:rStyle w:val="13"/>
          <w:rFonts w:hint="default" w:ascii="Times New Roman" w:hAnsi="Times New Roman" w:cs="Times New Roman"/>
          <w:color w:val="auto"/>
          <w:sz w:val="24"/>
          <w:szCs w:val="24"/>
        </w:rPr>
        <w:t xml:space="preserve"> &lt; 0.01, ***</w:t>
      </w:r>
      <w:r>
        <w:rPr>
          <w:rStyle w:val="13"/>
          <w:rFonts w:hint="default" w:ascii="Times New Roman" w:hAnsi="Times New Roman" w:cs="Times New Roman"/>
          <w:i/>
          <w:iCs/>
          <w:color w:val="auto"/>
          <w:sz w:val="24"/>
          <w:szCs w:val="24"/>
        </w:rPr>
        <w:t>P</w:t>
      </w:r>
      <w:r>
        <w:rPr>
          <w:rStyle w:val="13"/>
          <w:rFonts w:hint="default" w:ascii="Times New Roman" w:hAnsi="Times New Roman" w:cs="Times New Roman"/>
          <w:color w:val="auto"/>
          <w:sz w:val="24"/>
          <w:szCs w:val="24"/>
        </w:rPr>
        <w:t xml:space="preserve"> &lt; 0.001 compared with the FMT-control group; #</w:t>
      </w:r>
      <w:r>
        <w:rPr>
          <w:rStyle w:val="13"/>
          <w:rFonts w:hint="default" w:ascii="Times New Roman" w:hAnsi="Times New Roman" w:cs="Times New Roman"/>
          <w:i/>
          <w:iCs/>
          <w:color w:val="auto"/>
          <w:sz w:val="24"/>
          <w:szCs w:val="24"/>
        </w:rPr>
        <w:t>P</w:t>
      </w:r>
      <w:r>
        <w:rPr>
          <w:rStyle w:val="13"/>
          <w:rFonts w:hint="default" w:ascii="Times New Roman" w:hAnsi="Times New Roman" w:cs="Times New Roman"/>
          <w:color w:val="auto"/>
          <w:sz w:val="24"/>
          <w:szCs w:val="24"/>
        </w:rPr>
        <w:t xml:space="preserve"> &lt; 0.05, ##</w:t>
      </w:r>
      <w:r>
        <w:rPr>
          <w:rStyle w:val="13"/>
          <w:rFonts w:hint="default" w:ascii="Times New Roman" w:hAnsi="Times New Roman" w:cs="Times New Roman"/>
          <w:i/>
          <w:iCs/>
          <w:color w:val="auto"/>
          <w:sz w:val="24"/>
          <w:szCs w:val="24"/>
        </w:rPr>
        <w:t>P</w:t>
      </w:r>
      <w:r>
        <w:rPr>
          <w:rStyle w:val="13"/>
          <w:rFonts w:hint="default" w:ascii="Times New Roman" w:hAnsi="Times New Roman" w:cs="Times New Roman"/>
          <w:color w:val="auto"/>
          <w:sz w:val="24"/>
          <w:szCs w:val="24"/>
        </w:rPr>
        <w:t xml:space="preserve"> &lt; 0.01, ###</w:t>
      </w:r>
      <w:r>
        <w:rPr>
          <w:rStyle w:val="13"/>
          <w:rFonts w:hint="default" w:ascii="Times New Roman" w:hAnsi="Times New Roman" w:cs="Times New Roman"/>
          <w:i/>
          <w:iCs/>
          <w:color w:val="auto"/>
          <w:sz w:val="24"/>
          <w:szCs w:val="24"/>
        </w:rPr>
        <w:t>P</w:t>
      </w:r>
      <w:r>
        <w:rPr>
          <w:rStyle w:val="13"/>
          <w:rFonts w:hint="default" w:ascii="Times New Roman" w:hAnsi="Times New Roman" w:cs="Times New Roman"/>
          <w:color w:val="auto"/>
          <w:sz w:val="24"/>
          <w:szCs w:val="24"/>
        </w:rPr>
        <w:t xml:space="preserve"> &lt; 0.001 compared with the FMT-DSS group.</w:t>
      </w:r>
    </w:p>
    <w:p w14:paraId="7D97F988">
      <w:pPr>
        <w:rPr>
          <w:rFonts w:hint="eastAsia" w:ascii="Times New Roman" w:hAnsi="Times New Roman" w:eastAsia="宋体" w:cs="Times New Roman"/>
          <w:b w:val="0"/>
          <w:bCs w:val="0"/>
          <w:sz w:val="20"/>
          <w:szCs w:val="20"/>
          <w:lang w:val="en-US" w:eastAsia="zh-CN"/>
        </w:rPr>
      </w:pPr>
      <w:r>
        <w:rPr>
          <w:rFonts w:hint="eastAsia" w:ascii="Times New Roman" w:hAnsi="Times New Roman" w:eastAsia="宋体" w:cs="Times New Roman"/>
          <w:b w:val="0"/>
          <w:bCs w:val="0"/>
          <w:sz w:val="20"/>
          <w:szCs w:val="20"/>
          <w:lang w:val="en-US" w:eastAsia="zh-CN"/>
        </w:rPr>
        <w:drawing>
          <wp:inline distT="0" distB="0" distL="114300" distR="114300">
            <wp:extent cx="5271135" cy="5758180"/>
            <wp:effectExtent l="0" t="0" r="12065" b="7620"/>
            <wp:docPr id="6" name="图片 6" descr="FMT 16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MT 16S"/>
                    <pic:cNvPicPr>
                      <a:picLocks noChangeAspect="1"/>
                    </pic:cNvPicPr>
                  </pic:nvPicPr>
                  <pic:blipFill>
                    <a:blip r:embed="rId11"/>
                    <a:stretch>
                      <a:fillRect/>
                    </a:stretch>
                  </pic:blipFill>
                  <pic:spPr>
                    <a:xfrm>
                      <a:off x="0" y="0"/>
                      <a:ext cx="5271135" cy="5758180"/>
                    </a:xfrm>
                    <a:prstGeom prst="rect">
                      <a:avLst/>
                    </a:prstGeom>
                  </pic:spPr>
                </pic:pic>
              </a:graphicData>
            </a:graphic>
          </wp:inline>
        </w:drawing>
      </w:r>
    </w:p>
    <w:p w14:paraId="4BAF47E4">
      <w:pPr>
        <w:pStyle w:val="3"/>
        <w:rPr>
          <w:rFonts w:hint="default" w:ascii="Times New Roman" w:hAnsi="Times New Roman" w:eastAsia="黑体" w:cs="Times New Roman"/>
          <w:color w:val="auto"/>
          <w:sz w:val="24"/>
          <w:szCs w:val="24"/>
          <w:lang w:val="en-US" w:eastAsia="zh-CN"/>
        </w:rPr>
      </w:pPr>
      <w:r>
        <w:rPr>
          <w:rFonts w:hint="default" w:ascii="Times New Roman" w:hAnsi="Times New Roman" w:cs="Times New Roman"/>
          <w:b/>
          <w:bCs/>
          <w:color w:val="auto"/>
          <w:sz w:val="24"/>
          <w:szCs w:val="24"/>
        </w:rPr>
        <w:t>Figure</w:t>
      </w:r>
      <w:r>
        <w:rPr>
          <w:rFonts w:hint="eastAsia" w:ascii="Times New Roman" w:hAnsi="Times New Roman" w:cs="Times New Roman"/>
          <w:b/>
          <w:bCs/>
          <w:color w:val="auto"/>
          <w:sz w:val="24"/>
          <w:szCs w:val="24"/>
          <w:lang w:val="en-US" w:eastAsia="zh-CN"/>
        </w:rPr>
        <w:t xml:space="preserve"> </w:t>
      </w:r>
      <w:r>
        <w:rPr>
          <w:rFonts w:hint="default" w:ascii="Times New Roman" w:hAnsi="Times New Roman" w:cs="Times New Roman"/>
          <w:b/>
          <w:bCs/>
          <w:color w:val="auto"/>
          <w:sz w:val="24"/>
          <w:szCs w:val="24"/>
        </w:rPr>
        <w:t>S</w:t>
      </w:r>
      <w:r>
        <w:rPr>
          <w:rFonts w:hint="default" w:ascii="Times New Roman" w:hAnsi="Times New Roman" w:cs="Times New Roman"/>
          <w:b/>
          <w:bCs/>
          <w:color w:val="auto"/>
          <w:sz w:val="24"/>
          <w:szCs w:val="24"/>
          <w:lang w:val="en-US" w:eastAsia="zh-CN"/>
        </w:rPr>
        <w:t>7</w:t>
      </w:r>
      <w:r>
        <w:rPr>
          <w:rStyle w:val="10"/>
          <w:rFonts w:hint="default" w:ascii="Times New Roman" w:hAnsi="Times New Roman" w:eastAsia="宋体" w:cs="Times New Roman"/>
          <w:b w:val="0"/>
          <w:bCs w:val="0"/>
          <w:color w:val="auto"/>
          <w:sz w:val="24"/>
          <w:szCs w:val="24"/>
          <w:lang w:val="en-US" w:eastAsia="zh-CN"/>
        </w:rPr>
        <w:t xml:space="preserve">. Gut microbiota composition in recipient mice following FMT. (A) β-diversity analysis of gut microbial composition based on PCoA. (B, C) α-diversity of the gut microbiota assessed using the ACE and Shannon indices. (D) </w:t>
      </w:r>
      <w:r>
        <w:rPr>
          <w:rFonts w:hint="default" w:ascii="Times New Roman" w:hAnsi="Times New Roman" w:cs="Times New Roman"/>
          <w:b w:val="0"/>
          <w:bCs w:val="0"/>
          <w:color w:val="auto"/>
          <w:sz w:val="24"/>
          <w:szCs w:val="24"/>
        </w:rPr>
        <w:t xml:space="preserve">Relative abundances of microbial taxa at the family ranks. </w:t>
      </w:r>
      <w:r>
        <w:rPr>
          <w:rFonts w:hint="default" w:ascii="Times New Roman" w:hAnsi="Times New Roman" w:cs="Times New Roman"/>
          <w:b w:val="0"/>
          <w:bCs w:val="0"/>
          <w:color w:val="auto"/>
          <w:sz w:val="24"/>
          <w:szCs w:val="24"/>
          <w:lang w:val="en-US" w:eastAsia="zh-CN"/>
        </w:rPr>
        <w:t xml:space="preserve">(E) LEfSe analysis of differential bacterial taxa with an LDA score &gt; 3.0. (F) PICRUSt2-based prediction of differential gut microbial functional pathways at KEGG level 3. </w:t>
      </w:r>
      <w:r>
        <w:rPr>
          <w:rFonts w:hint="default" w:ascii="Times New Roman" w:hAnsi="Times New Roman" w:cs="Times New Roman"/>
          <w:b w:val="0"/>
          <w:bCs w:val="0"/>
          <w:color w:val="auto"/>
          <w:sz w:val="24"/>
          <w:szCs w:val="24"/>
        </w:rPr>
        <w:t>Data are presented as mean ± SD (n = 6 biological replicates per group).</w:t>
      </w:r>
      <w:r>
        <w:rPr>
          <w:rFonts w:hint="default" w:ascii="Times New Roman" w:hAnsi="Times New Roman" w:cs="Times New Roman"/>
          <w:color w:val="auto"/>
          <w:sz w:val="24"/>
          <w:szCs w:val="24"/>
        </w:rPr>
        <w:t xml:space="preserve">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0.05,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0.01,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0.001</w:t>
      </w:r>
      <w:r>
        <w:rPr>
          <w:rFonts w:hint="default" w:ascii="Times New Roman" w:hAnsi="Times New Roman" w:cs="Times New Roman"/>
          <w:color w:val="auto"/>
          <w:sz w:val="24"/>
          <w:szCs w:val="24"/>
          <w:lang w:val="en-US" w:eastAsia="zh-CN"/>
        </w:rPr>
        <w:t>.</w:t>
      </w:r>
    </w:p>
    <w:p w14:paraId="56679155">
      <w:pPr>
        <w:rPr>
          <w:rFonts w:hint="eastAsia" w:ascii="Times New Roman" w:hAnsi="Times New Roman" w:eastAsia="宋体" w:cs="Times New Roman"/>
          <w:b w:val="0"/>
          <w:bCs w:val="0"/>
          <w:color w:val="auto"/>
          <w:sz w:val="20"/>
          <w:szCs w:val="20"/>
          <w:lang w:val="en-US" w:eastAsia="zh-CN"/>
        </w:rPr>
      </w:pPr>
    </w:p>
    <w:p w14:paraId="35F86DB4">
      <w:pPr>
        <w:rPr>
          <w:rFonts w:hint="default"/>
          <w:color w:val="auto"/>
        </w:rPr>
      </w:pPr>
      <w:r>
        <w:rPr>
          <w:rFonts w:hint="default"/>
          <w:color w:val="auto"/>
        </w:rPr>
        <w:br w:type="page"/>
      </w:r>
    </w:p>
    <w:p w14:paraId="4F58F30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auto"/>
          <w:kern w:val="0"/>
          <w:sz w:val="30"/>
          <w:szCs w:val="30"/>
          <w:lang w:val="en-US" w:eastAsia="zh-CN" w:bidi="ar"/>
        </w:rPr>
      </w:pPr>
      <w:r>
        <w:rPr>
          <w:rFonts w:hint="default" w:ascii="Times New Roman" w:hAnsi="Times New Roman" w:eastAsia="宋体" w:cs="Times New Roman"/>
          <w:b/>
          <w:bCs/>
          <w:color w:val="auto"/>
          <w:kern w:val="0"/>
          <w:sz w:val="30"/>
          <w:szCs w:val="30"/>
          <w:lang w:val="en-US" w:eastAsia="zh-CN" w:bidi="ar"/>
        </w:rPr>
        <w:t>Supplementary Table</w:t>
      </w:r>
    </w:p>
    <w:p w14:paraId="58927F8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Times New Roman" w:hAnsi="Times New Roman"/>
          <w:b/>
          <w:color w:val="auto"/>
          <w:sz w:val="24"/>
        </w:rPr>
      </w:pPr>
      <w:r>
        <w:rPr>
          <w:rFonts w:ascii="Times New Roman" w:hAnsi="Times New Roman"/>
          <w:b/>
          <w:color w:val="auto"/>
          <w:sz w:val="24"/>
        </w:rPr>
        <w:t>Table S1. Antibodies used in this study</w:t>
      </w:r>
    </w:p>
    <w:p w14:paraId="54F5657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Times New Roman" w:hAnsi="Times New Roman"/>
          <w:b/>
          <w:sz w:val="24"/>
        </w:rPr>
      </w:pPr>
    </w:p>
    <w:tbl>
      <w:tblPr>
        <w:tblStyle w:val="7"/>
        <w:tblW w:w="9282"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60"/>
        <w:gridCol w:w="1777"/>
        <w:gridCol w:w="1495"/>
        <w:gridCol w:w="1233"/>
        <w:gridCol w:w="1817"/>
      </w:tblGrid>
      <w:tr w14:paraId="7CA92AD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single" w:color="000000" w:sz="12" w:space="0"/>
              <w:left w:val="nil"/>
              <w:bottom w:val="single" w:color="000000" w:sz="8" w:space="0"/>
              <w:right w:val="nil"/>
            </w:tcBorders>
            <w:tcMar>
              <w:top w:w="20" w:type="dxa"/>
              <w:left w:w="60" w:type="dxa"/>
              <w:bottom w:w="20" w:type="dxa"/>
              <w:right w:w="60" w:type="dxa"/>
            </w:tcMar>
            <w:vAlign w:val="center"/>
          </w:tcPr>
          <w:p w14:paraId="53AD8E80">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sz w:val="20"/>
                <w:szCs w:val="20"/>
              </w:rPr>
              <w:t>Antibody</w:t>
            </w:r>
          </w:p>
        </w:tc>
        <w:tc>
          <w:tcPr>
            <w:tcW w:w="1777" w:type="dxa"/>
            <w:tcBorders>
              <w:top w:val="single" w:color="000000" w:sz="12" w:space="0"/>
              <w:left w:val="nil"/>
              <w:bottom w:val="single" w:color="000000" w:sz="8" w:space="0"/>
              <w:right w:val="nil"/>
            </w:tcBorders>
            <w:noWrap/>
            <w:tcMar>
              <w:top w:w="20" w:type="dxa"/>
              <w:left w:w="60" w:type="dxa"/>
              <w:bottom w:w="20" w:type="dxa"/>
              <w:right w:w="60" w:type="dxa"/>
            </w:tcMar>
            <w:vAlign w:val="center"/>
          </w:tcPr>
          <w:p w14:paraId="0851978B">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sz w:val="20"/>
                <w:szCs w:val="20"/>
              </w:rPr>
              <w:t>Company</w:t>
            </w:r>
          </w:p>
        </w:tc>
        <w:tc>
          <w:tcPr>
            <w:tcW w:w="1495" w:type="dxa"/>
            <w:tcBorders>
              <w:top w:val="single" w:color="000000" w:sz="12" w:space="0"/>
              <w:left w:val="nil"/>
              <w:bottom w:val="single" w:color="000000" w:sz="8" w:space="0"/>
              <w:right w:val="nil"/>
            </w:tcBorders>
            <w:noWrap/>
            <w:tcMar>
              <w:top w:w="20" w:type="dxa"/>
              <w:left w:w="60" w:type="dxa"/>
              <w:bottom w:w="20" w:type="dxa"/>
              <w:right w:w="60" w:type="dxa"/>
            </w:tcMar>
            <w:vAlign w:val="center"/>
          </w:tcPr>
          <w:p w14:paraId="1F40B818">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sz w:val="20"/>
                <w:szCs w:val="20"/>
              </w:rPr>
              <w:t>Catalogue No.</w:t>
            </w:r>
          </w:p>
        </w:tc>
        <w:tc>
          <w:tcPr>
            <w:tcW w:w="1233" w:type="dxa"/>
            <w:tcBorders>
              <w:top w:val="single" w:color="000000" w:sz="12" w:space="0"/>
              <w:left w:val="nil"/>
              <w:bottom w:val="single" w:color="000000" w:sz="8" w:space="0"/>
              <w:right w:val="nil"/>
            </w:tcBorders>
            <w:noWrap/>
            <w:tcMar>
              <w:top w:w="20" w:type="dxa"/>
              <w:left w:w="60" w:type="dxa"/>
              <w:bottom w:w="20" w:type="dxa"/>
              <w:right w:w="60" w:type="dxa"/>
            </w:tcMar>
            <w:vAlign w:val="center"/>
          </w:tcPr>
          <w:p w14:paraId="179E8876">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sz w:val="20"/>
                <w:szCs w:val="20"/>
              </w:rPr>
              <w:t>Application</w:t>
            </w:r>
          </w:p>
        </w:tc>
        <w:tc>
          <w:tcPr>
            <w:tcW w:w="1817" w:type="dxa"/>
            <w:tcBorders>
              <w:top w:val="single" w:color="000000" w:sz="12" w:space="0"/>
              <w:left w:val="nil"/>
              <w:bottom w:val="single" w:color="000000" w:sz="8" w:space="0"/>
              <w:right w:val="nil"/>
            </w:tcBorders>
            <w:noWrap/>
            <w:tcMar>
              <w:top w:w="20" w:type="dxa"/>
              <w:left w:w="60" w:type="dxa"/>
              <w:bottom w:w="20" w:type="dxa"/>
              <w:right w:w="60" w:type="dxa"/>
            </w:tcMar>
            <w:vAlign w:val="center"/>
          </w:tcPr>
          <w:p w14:paraId="23883ABB">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sz w:val="20"/>
                <w:szCs w:val="20"/>
              </w:rPr>
              <w:t>Dilution</w:t>
            </w:r>
          </w:p>
        </w:tc>
      </w:tr>
      <w:tr w14:paraId="185D70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39D2BF30">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anti-CD3</w:t>
            </w:r>
          </w:p>
        </w:tc>
        <w:tc>
          <w:tcPr>
            <w:tcW w:w="1777" w:type="dxa"/>
            <w:tcBorders>
              <w:top w:val="nil"/>
              <w:left w:val="nil"/>
              <w:bottom w:val="nil"/>
              <w:right w:val="nil"/>
            </w:tcBorders>
            <w:noWrap/>
            <w:tcMar>
              <w:top w:w="20" w:type="dxa"/>
              <w:left w:w="60" w:type="dxa"/>
              <w:bottom w:w="20" w:type="dxa"/>
              <w:right w:w="60" w:type="dxa"/>
            </w:tcMar>
            <w:vAlign w:val="center"/>
          </w:tcPr>
          <w:p w14:paraId="2B99551E">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eastAsia" w:ascii="Times New Roman" w:hAnsi="Times New Roman" w:eastAsia="宋体" w:cs="Times New Roman"/>
                <w:sz w:val="20"/>
                <w:szCs w:val="20"/>
                <w:lang w:val="en-US" w:eastAsia="zh-CN"/>
              </w:rPr>
            </w:pPr>
            <w:r>
              <w:rPr>
                <w:rFonts w:hint="eastAsia" w:ascii="Times New Roman" w:hAnsi="Times New Roman" w:eastAsia="Times New Roman"/>
                <w:b w:val="0"/>
                <w:sz w:val="20"/>
                <w:szCs w:val="20"/>
              </w:rPr>
              <w:t>Sigma-Aldrich</w:t>
            </w:r>
            <w:r>
              <w:rPr>
                <w:rFonts w:hint="eastAsia" w:ascii="Times New Roman" w:hAnsi="Times New Roman" w:eastAsia="宋体"/>
                <w:b w:val="0"/>
                <w:sz w:val="20"/>
                <w:szCs w:val="20"/>
                <w:lang w:val="en-US" w:eastAsia="zh-CN"/>
              </w:rPr>
              <w:t xml:space="preserve"> </w:t>
            </w:r>
            <w:r>
              <w:rPr>
                <w:rFonts w:ascii="Times New Roman" w:hAnsi="Times New Roman" w:eastAsia="宋体"/>
                <w:sz w:val="20"/>
                <w:szCs w:val="20"/>
              </w:rPr>
              <w:t>(</w:t>
            </w:r>
            <w:r>
              <w:rPr>
                <w:rFonts w:hint="eastAsia" w:ascii="Times New Roman" w:hAnsi="Times New Roman" w:eastAsia="宋体"/>
                <w:sz w:val="20"/>
                <w:szCs w:val="20"/>
              </w:rPr>
              <w:t>St. Louis, MO, USA</w:t>
            </w:r>
            <w:r>
              <w:rPr>
                <w:rFonts w:ascii="Times New Roman" w:hAnsi="Times New Roman" w:eastAsia="宋体"/>
                <w:sz w:val="20"/>
                <w:szCs w:val="20"/>
              </w:rPr>
              <w:t>)</w:t>
            </w:r>
          </w:p>
        </w:tc>
        <w:tc>
          <w:tcPr>
            <w:tcW w:w="1495" w:type="dxa"/>
            <w:tcBorders>
              <w:top w:val="nil"/>
              <w:left w:val="nil"/>
              <w:bottom w:val="nil"/>
              <w:right w:val="nil"/>
            </w:tcBorders>
            <w:noWrap/>
            <w:tcMar>
              <w:top w:w="20" w:type="dxa"/>
              <w:left w:w="60" w:type="dxa"/>
              <w:bottom w:w="20" w:type="dxa"/>
              <w:right w:w="60" w:type="dxa"/>
            </w:tcMar>
            <w:vAlign w:val="center"/>
          </w:tcPr>
          <w:p w14:paraId="1E4C220C">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C7930</w:t>
            </w:r>
          </w:p>
        </w:tc>
        <w:tc>
          <w:tcPr>
            <w:tcW w:w="1233" w:type="dxa"/>
            <w:tcBorders>
              <w:top w:val="nil"/>
              <w:left w:val="nil"/>
              <w:bottom w:val="nil"/>
              <w:right w:val="nil"/>
            </w:tcBorders>
            <w:noWrap/>
            <w:tcMar>
              <w:top w:w="20" w:type="dxa"/>
              <w:left w:w="60" w:type="dxa"/>
              <w:bottom w:w="20" w:type="dxa"/>
              <w:right w:w="60" w:type="dxa"/>
            </w:tcMar>
            <w:vAlign w:val="center"/>
          </w:tcPr>
          <w:p w14:paraId="08DF34D6">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IHC</w:t>
            </w:r>
          </w:p>
        </w:tc>
        <w:tc>
          <w:tcPr>
            <w:tcW w:w="1817" w:type="dxa"/>
            <w:tcBorders>
              <w:top w:val="nil"/>
              <w:left w:val="nil"/>
              <w:bottom w:val="nil"/>
              <w:right w:val="nil"/>
            </w:tcBorders>
            <w:noWrap/>
            <w:tcMar>
              <w:top w:w="20" w:type="dxa"/>
              <w:left w:w="60" w:type="dxa"/>
              <w:bottom w:w="20" w:type="dxa"/>
              <w:right w:w="60" w:type="dxa"/>
            </w:tcMar>
            <w:vAlign w:val="center"/>
          </w:tcPr>
          <w:p w14:paraId="1E1AA13A">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1:200</w:t>
            </w:r>
          </w:p>
        </w:tc>
      </w:tr>
      <w:tr w14:paraId="78571A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530B78B4">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anti-F4/80</w:t>
            </w:r>
          </w:p>
        </w:tc>
        <w:tc>
          <w:tcPr>
            <w:tcW w:w="1777" w:type="dxa"/>
            <w:tcBorders>
              <w:top w:val="nil"/>
              <w:left w:val="nil"/>
              <w:bottom w:val="nil"/>
              <w:right w:val="nil"/>
            </w:tcBorders>
            <w:noWrap/>
            <w:tcMar>
              <w:top w:w="20" w:type="dxa"/>
              <w:left w:w="60" w:type="dxa"/>
              <w:bottom w:w="20" w:type="dxa"/>
              <w:right w:w="60" w:type="dxa"/>
            </w:tcMar>
            <w:vAlign w:val="center"/>
          </w:tcPr>
          <w:p w14:paraId="1E1A0857">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Abcam</w:t>
            </w:r>
            <w:r>
              <w:rPr>
                <w:rFonts w:hint="eastAsia" w:ascii="Times New Roman" w:hAnsi="Times New Roman" w:eastAsia="宋体"/>
                <w:b w:val="0"/>
                <w:sz w:val="20"/>
                <w:szCs w:val="20"/>
                <w:lang w:val="en-US" w:eastAsia="zh-CN"/>
              </w:rPr>
              <w:t xml:space="preserve"> </w:t>
            </w:r>
            <w:r>
              <w:rPr>
                <w:rFonts w:ascii="Times New Roman" w:hAnsi="Times New Roman" w:eastAsia="宋体"/>
                <w:sz w:val="20"/>
                <w:szCs w:val="20"/>
              </w:rPr>
              <w:t>(</w:t>
            </w:r>
            <w:r>
              <w:rPr>
                <w:rFonts w:hint="eastAsia" w:ascii="Times New Roman" w:hAnsi="Times New Roman" w:eastAsia="宋体"/>
                <w:sz w:val="20"/>
                <w:szCs w:val="20"/>
              </w:rPr>
              <w:t>Cambridge, UK</w:t>
            </w:r>
            <w:r>
              <w:rPr>
                <w:rFonts w:ascii="Times New Roman" w:hAnsi="Times New Roman" w:eastAsia="宋体"/>
                <w:sz w:val="20"/>
                <w:szCs w:val="20"/>
              </w:rPr>
              <w:t>)</w:t>
            </w:r>
          </w:p>
        </w:tc>
        <w:tc>
          <w:tcPr>
            <w:tcW w:w="1495" w:type="dxa"/>
            <w:tcBorders>
              <w:top w:val="nil"/>
              <w:left w:val="nil"/>
              <w:bottom w:val="nil"/>
              <w:right w:val="nil"/>
            </w:tcBorders>
            <w:noWrap/>
            <w:tcMar>
              <w:top w:w="20" w:type="dxa"/>
              <w:left w:w="60" w:type="dxa"/>
              <w:bottom w:w="20" w:type="dxa"/>
              <w:right w:w="60" w:type="dxa"/>
            </w:tcMar>
            <w:vAlign w:val="center"/>
          </w:tcPr>
          <w:p w14:paraId="2CB728EC">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ab6640</w:t>
            </w:r>
          </w:p>
        </w:tc>
        <w:tc>
          <w:tcPr>
            <w:tcW w:w="1233" w:type="dxa"/>
            <w:tcBorders>
              <w:top w:val="nil"/>
              <w:left w:val="nil"/>
              <w:bottom w:val="nil"/>
              <w:right w:val="nil"/>
            </w:tcBorders>
            <w:noWrap/>
            <w:tcMar>
              <w:top w:w="20" w:type="dxa"/>
              <w:left w:w="60" w:type="dxa"/>
              <w:bottom w:w="20" w:type="dxa"/>
              <w:right w:w="60" w:type="dxa"/>
            </w:tcMar>
            <w:vAlign w:val="center"/>
          </w:tcPr>
          <w:p w14:paraId="76908533">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IF</w:t>
            </w:r>
          </w:p>
        </w:tc>
        <w:tc>
          <w:tcPr>
            <w:tcW w:w="1817" w:type="dxa"/>
            <w:tcBorders>
              <w:top w:val="nil"/>
              <w:left w:val="nil"/>
              <w:bottom w:val="nil"/>
              <w:right w:val="nil"/>
            </w:tcBorders>
            <w:noWrap/>
            <w:tcMar>
              <w:top w:w="20" w:type="dxa"/>
              <w:left w:w="60" w:type="dxa"/>
              <w:bottom w:w="20" w:type="dxa"/>
              <w:right w:w="60" w:type="dxa"/>
            </w:tcMar>
            <w:vAlign w:val="center"/>
          </w:tcPr>
          <w:p w14:paraId="2DAC5872">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1:100</w:t>
            </w:r>
          </w:p>
        </w:tc>
      </w:tr>
      <w:tr w14:paraId="09F8AC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5FB5FC26">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anti-TRAF6</w:t>
            </w:r>
          </w:p>
        </w:tc>
        <w:tc>
          <w:tcPr>
            <w:tcW w:w="1777" w:type="dxa"/>
            <w:tcBorders>
              <w:top w:val="nil"/>
              <w:left w:val="nil"/>
              <w:bottom w:val="nil"/>
              <w:right w:val="nil"/>
            </w:tcBorders>
            <w:noWrap/>
            <w:tcMar>
              <w:top w:w="20" w:type="dxa"/>
              <w:left w:w="60" w:type="dxa"/>
              <w:bottom w:w="20" w:type="dxa"/>
              <w:right w:w="60" w:type="dxa"/>
            </w:tcMar>
            <w:vAlign w:val="center"/>
          </w:tcPr>
          <w:p w14:paraId="70EE3A99">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Abcam</w:t>
            </w:r>
          </w:p>
        </w:tc>
        <w:tc>
          <w:tcPr>
            <w:tcW w:w="1495" w:type="dxa"/>
            <w:tcBorders>
              <w:top w:val="nil"/>
              <w:left w:val="nil"/>
              <w:bottom w:val="nil"/>
              <w:right w:val="nil"/>
            </w:tcBorders>
            <w:noWrap/>
            <w:tcMar>
              <w:top w:w="20" w:type="dxa"/>
              <w:left w:w="60" w:type="dxa"/>
              <w:bottom w:w="20" w:type="dxa"/>
              <w:right w:w="60" w:type="dxa"/>
            </w:tcMar>
            <w:vAlign w:val="center"/>
          </w:tcPr>
          <w:p w14:paraId="34CBEA3A">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ab40675</w:t>
            </w:r>
          </w:p>
        </w:tc>
        <w:tc>
          <w:tcPr>
            <w:tcW w:w="1233" w:type="dxa"/>
            <w:tcBorders>
              <w:top w:val="nil"/>
              <w:left w:val="nil"/>
              <w:bottom w:val="nil"/>
              <w:right w:val="nil"/>
            </w:tcBorders>
            <w:noWrap/>
            <w:tcMar>
              <w:top w:w="20" w:type="dxa"/>
              <w:left w:w="60" w:type="dxa"/>
              <w:bottom w:w="20" w:type="dxa"/>
              <w:right w:w="60" w:type="dxa"/>
            </w:tcMar>
            <w:vAlign w:val="center"/>
          </w:tcPr>
          <w:p w14:paraId="7D265062">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WB</w:t>
            </w:r>
          </w:p>
        </w:tc>
        <w:tc>
          <w:tcPr>
            <w:tcW w:w="1817" w:type="dxa"/>
            <w:tcBorders>
              <w:top w:val="nil"/>
              <w:left w:val="nil"/>
              <w:bottom w:val="nil"/>
              <w:right w:val="nil"/>
            </w:tcBorders>
            <w:noWrap/>
            <w:tcMar>
              <w:top w:w="20" w:type="dxa"/>
              <w:left w:w="60" w:type="dxa"/>
              <w:bottom w:w="20" w:type="dxa"/>
              <w:right w:w="60" w:type="dxa"/>
            </w:tcMar>
            <w:vAlign w:val="center"/>
          </w:tcPr>
          <w:p w14:paraId="75EBA415">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1:4000</w:t>
            </w:r>
          </w:p>
        </w:tc>
      </w:tr>
      <w:tr w14:paraId="412D0F1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7F862750">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anti-ERK</w:t>
            </w:r>
          </w:p>
        </w:tc>
        <w:tc>
          <w:tcPr>
            <w:tcW w:w="1777" w:type="dxa"/>
            <w:tcBorders>
              <w:top w:val="nil"/>
              <w:left w:val="nil"/>
              <w:bottom w:val="nil"/>
              <w:right w:val="nil"/>
            </w:tcBorders>
            <w:noWrap/>
            <w:tcMar>
              <w:top w:w="20" w:type="dxa"/>
              <w:left w:w="60" w:type="dxa"/>
              <w:bottom w:w="20" w:type="dxa"/>
              <w:right w:w="60" w:type="dxa"/>
            </w:tcMar>
            <w:vAlign w:val="center"/>
          </w:tcPr>
          <w:p w14:paraId="2FEE73AD">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Abcam</w:t>
            </w:r>
          </w:p>
        </w:tc>
        <w:tc>
          <w:tcPr>
            <w:tcW w:w="1495" w:type="dxa"/>
            <w:tcBorders>
              <w:top w:val="nil"/>
              <w:left w:val="nil"/>
              <w:bottom w:val="nil"/>
              <w:right w:val="nil"/>
            </w:tcBorders>
            <w:noWrap/>
            <w:tcMar>
              <w:top w:w="20" w:type="dxa"/>
              <w:left w:w="60" w:type="dxa"/>
              <w:bottom w:w="20" w:type="dxa"/>
              <w:right w:w="60" w:type="dxa"/>
            </w:tcMar>
            <w:vAlign w:val="center"/>
          </w:tcPr>
          <w:p w14:paraId="509A10CB">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ab17942</w:t>
            </w:r>
          </w:p>
        </w:tc>
        <w:tc>
          <w:tcPr>
            <w:tcW w:w="1233" w:type="dxa"/>
            <w:tcBorders>
              <w:top w:val="nil"/>
              <w:left w:val="nil"/>
              <w:bottom w:val="nil"/>
              <w:right w:val="nil"/>
            </w:tcBorders>
            <w:noWrap/>
            <w:tcMar>
              <w:top w:w="20" w:type="dxa"/>
              <w:left w:w="60" w:type="dxa"/>
              <w:bottom w:w="20" w:type="dxa"/>
              <w:right w:w="60" w:type="dxa"/>
            </w:tcMar>
            <w:vAlign w:val="center"/>
          </w:tcPr>
          <w:p w14:paraId="7AD35CBD">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WB</w:t>
            </w:r>
          </w:p>
        </w:tc>
        <w:tc>
          <w:tcPr>
            <w:tcW w:w="1817" w:type="dxa"/>
            <w:tcBorders>
              <w:top w:val="nil"/>
              <w:left w:val="nil"/>
              <w:bottom w:val="nil"/>
              <w:right w:val="nil"/>
            </w:tcBorders>
            <w:noWrap/>
            <w:tcMar>
              <w:top w:w="20" w:type="dxa"/>
              <w:left w:w="60" w:type="dxa"/>
              <w:bottom w:w="20" w:type="dxa"/>
              <w:right w:w="60" w:type="dxa"/>
            </w:tcMar>
            <w:vAlign w:val="center"/>
          </w:tcPr>
          <w:p w14:paraId="4F9F2E2D">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1:1000</w:t>
            </w:r>
          </w:p>
        </w:tc>
      </w:tr>
      <w:tr w14:paraId="1D34DB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086F299F">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anti-JNK</w:t>
            </w:r>
          </w:p>
        </w:tc>
        <w:tc>
          <w:tcPr>
            <w:tcW w:w="1777" w:type="dxa"/>
            <w:tcBorders>
              <w:top w:val="nil"/>
              <w:left w:val="nil"/>
              <w:bottom w:val="nil"/>
              <w:right w:val="nil"/>
            </w:tcBorders>
            <w:noWrap/>
            <w:tcMar>
              <w:top w:w="20" w:type="dxa"/>
              <w:left w:w="60" w:type="dxa"/>
              <w:bottom w:w="20" w:type="dxa"/>
              <w:right w:w="60" w:type="dxa"/>
            </w:tcMar>
            <w:vAlign w:val="center"/>
          </w:tcPr>
          <w:p w14:paraId="32C2F553">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Abcam</w:t>
            </w:r>
          </w:p>
        </w:tc>
        <w:tc>
          <w:tcPr>
            <w:tcW w:w="1495" w:type="dxa"/>
            <w:tcBorders>
              <w:top w:val="nil"/>
              <w:left w:val="nil"/>
              <w:bottom w:val="nil"/>
              <w:right w:val="nil"/>
            </w:tcBorders>
            <w:noWrap/>
            <w:tcMar>
              <w:top w:w="20" w:type="dxa"/>
              <w:left w:w="60" w:type="dxa"/>
              <w:bottom w:w="20" w:type="dxa"/>
              <w:right w:w="60" w:type="dxa"/>
            </w:tcMar>
            <w:vAlign w:val="center"/>
          </w:tcPr>
          <w:p w14:paraId="2EF95EF2">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ab208035</w:t>
            </w:r>
          </w:p>
        </w:tc>
        <w:tc>
          <w:tcPr>
            <w:tcW w:w="1233" w:type="dxa"/>
            <w:tcBorders>
              <w:top w:val="nil"/>
              <w:left w:val="nil"/>
              <w:bottom w:val="nil"/>
              <w:right w:val="nil"/>
            </w:tcBorders>
            <w:noWrap/>
            <w:tcMar>
              <w:top w:w="20" w:type="dxa"/>
              <w:left w:w="60" w:type="dxa"/>
              <w:bottom w:w="20" w:type="dxa"/>
              <w:right w:w="60" w:type="dxa"/>
            </w:tcMar>
            <w:vAlign w:val="center"/>
          </w:tcPr>
          <w:p w14:paraId="5D5CEABA">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WB</w:t>
            </w:r>
          </w:p>
        </w:tc>
        <w:tc>
          <w:tcPr>
            <w:tcW w:w="1817" w:type="dxa"/>
            <w:tcBorders>
              <w:top w:val="nil"/>
              <w:left w:val="nil"/>
              <w:bottom w:val="nil"/>
              <w:right w:val="nil"/>
            </w:tcBorders>
            <w:noWrap/>
            <w:tcMar>
              <w:top w:w="20" w:type="dxa"/>
              <w:left w:w="60" w:type="dxa"/>
              <w:bottom w:w="20" w:type="dxa"/>
              <w:right w:w="60" w:type="dxa"/>
            </w:tcMar>
            <w:vAlign w:val="center"/>
          </w:tcPr>
          <w:p w14:paraId="5EC53B0E">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1:1000</w:t>
            </w:r>
          </w:p>
        </w:tc>
      </w:tr>
      <w:tr w14:paraId="00BF2F1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42D535E4">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anti-p-JNK</w:t>
            </w:r>
          </w:p>
        </w:tc>
        <w:tc>
          <w:tcPr>
            <w:tcW w:w="1777" w:type="dxa"/>
            <w:tcBorders>
              <w:top w:val="nil"/>
              <w:left w:val="nil"/>
              <w:bottom w:val="nil"/>
              <w:right w:val="nil"/>
            </w:tcBorders>
            <w:noWrap/>
            <w:tcMar>
              <w:top w:w="20" w:type="dxa"/>
              <w:left w:w="60" w:type="dxa"/>
              <w:bottom w:w="20" w:type="dxa"/>
              <w:right w:w="60" w:type="dxa"/>
            </w:tcMar>
            <w:vAlign w:val="center"/>
          </w:tcPr>
          <w:p w14:paraId="636A2012">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Abcam</w:t>
            </w:r>
          </w:p>
        </w:tc>
        <w:tc>
          <w:tcPr>
            <w:tcW w:w="1495" w:type="dxa"/>
            <w:tcBorders>
              <w:top w:val="nil"/>
              <w:left w:val="nil"/>
              <w:bottom w:val="nil"/>
              <w:right w:val="nil"/>
            </w:tcBorders>
            <w:noWrap/>
            <w:tcMar>
              <w:top w:w="20" w:type="dxa"/>
              <w:left w:w="60" w:type="dxa"/>
              <w:bottom w:w="20" w:type="dxa"/>
              <w:right w:w="60" w:type="dxa"/>
            </w:tcMar>
            <w:vAlign w:val="center"/>
          </w:tcPr>
          <w:p w14:paraId="5E5B3C81">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ab4821</w:t>
            </w:r>
          </w:p>
        </w:tc>
        <w:tc>
          <w:tcPr>
            <w:tcW w:w="1233" w:type="dxa"/>
            <w:tcBorders>
              <w:top w:val="nil"/>
              <w:left w:val="nil"/>
              <w:bottom w:val="nil"/>
              <w:right w:val="nil"/>
            </w:tcBorders>
            <w:noWrap/>
            <w:tcMar>
              <w:top w:w="20" w:type="dxa"/>
              <w:left w:w="60" w:type="dxa"/>
              <w:bottom w:w="20" w:type="dxa"/>
              <w:right w:w="60" w:type="dxa"/>
            </w:tcMar>
            <w:vAlign w:val="center"/>
          </w:tcPr>
          <w:p w14:paraId="32F51962">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WB</w:t>
            </w:r>
          </w:p>
        </w:tc>
        <w:tc>
          <w:tcPr>
            <w:tcW w:w="1817" w:type="dxa"/>
            <w:tcBorders>
              <w:top w:val="nil"/>
              <w:left w:val="nil"/>
              <w:bottom w:val="nil"/>
              <w:right w:val="nil"/>
            </w:tcBorders>
            <w:noWrap/>
            <w:tcMar>
              <w:top w:w="20" w:type="dxa"/>
              <w:left w:w="60" w:type="dxa"/>
              <w:bottom w:w="20" w:type="dxa"/>
              <w:right w:w="60" w:type="dxa"/>
            </w:tcMar>
            <w:vAlign w:val="center"/>
          </w:tcPr>
          <w:p w14:paraId="5C8BC226">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1:2000</w:t>
            </w:r>
          </w:p>
        </w:tc>
      </w:tr>
      <w:tr w14:paraId="3EE320A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0F8EB610">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anti-p</w:t>
            </w:r>
            <w:r>
              <w:rPr>
                <w:rFonts w:hint="eastAsia" w:ascii="Times New Roman" w:hAnsi="Times New Roman" w:eastAsia="宋体"/>
                <w:b w:val="0"/>
                <w:sz w:val="20"/>
                <w:szCs w:val="20"/>
                <w:lang w:val="en-US" w:eastAsia="zh-CN"/>
              </w:rPr>
              <w:t>-p</w:t>
            </w:r>
            <w:r>
              <w:rPr>
                <w:rFonts w:ascii="Times New Roman" w:hAnsi="Times New Roman" w:eastAsia="Times New Roman"/>
                <w:b w:val="0"/>
                <w:sz w:val="20"/>
                <w:szCs w:val="20"/>
              </w:rPr>
              <w:t>38</w:t>
            </w:r>
          </w:p>
        </w:tc>
        <w:tc>
          <w:tcPr>
            <w:tcW w:w="1777" w:type="dxa"/>
            <w:tcBorders>
              <w:top w:val="nil"/>
              <w:left w:val="nil"/>
              <w:bottom w:val="nil"/>
              <w:right w:val="nil"/>
            </w:tcBorders>
            <w:noWrap/>
            <w:tcMar>
              <w:top w:w="20" w:type="dxa"/>
              <w:left w:w="60" w:type="dxa"/>
              <w:bottom w:w="20" w:type="dxa"/>
              <w:right w:w="60" w:type="dxa"/>
            </w:tcMar>
            <w:vAlign w:val="center"/>
          </w:tcPr>
          <w:p w14:paraId="39286EF6">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Abcam</w:t>
            </w:r>
          </w:p>
        </w:tc>
        <w:tc>
          <w:tcPr>
            <w:tcW w:w="1495" w:type="dxa"/>
            <w:tcBorders>
              <w:top w:val="nil"/>
              <w:left w:val="nil"/>
              <w:bottom w:val="nil"/>
              <w:right w:val="nil"/>
            </w:tcBorders>
            <w:noWrap/>
            <w:tcMar>
              <w:top w:w="20" w:type="dxa"/>
              <w:left w:w="60" w:type="dxa"/>
              <w:bottom w:w="20" w:type="dxa"/>
              <w:right w:w="60" w:type="dxa"/>
            </w:tcMar>
            <w:vAlign w:val="center"/>
          </w:tcPr>
          <w:p w14:paraId="14F87FF9">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ab4822</w:t>
            </w:r>
          </w:p>
        </w:tc>
        <w:tc>
          <w:tcPr>
            <w:tcW w:w="1233" w:type="dxa"/>
            <w:tcBorders>
              <w:top w:val="nil"/>
              <w:left w:val="nil"/>
              <w:bottom w:val="nil"/>
              <w:right w:val="nil"/>
            </w:tcBorders>
            <w:noWrap/>
            <w:tcMar>
              <w:top w:w="20" w:type="dxa"/>
              <w:left w:w="60" w:type="dxa"/>
              <w:bottom w:w="20" w:type="dxa"/>
              <w:right w:w="60" w:type="dxa"/>
            </w:tcMar>
            <w:vAlign w:val="center"/>
          </w:tcPr>
          <w:p w14:paraId="507D9186">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WB</w:t>
            </w:r>
          </w:p>
        </w:tc>
        <w:tc>
          <w:tcPr>
            <w:tcW w:w="1817" w:type="dxa"/>
            <w:tcBorders>
              <w:top w:val="nil"/>
              <w:left w:val="nil"/>
              <w:bottom w:val="nil"/>
              <w:right w:val="nil"/>
            </w:tcBorders>
            <w:noWrap/>
            <w:tcMar>
              <w:top w:w="20" w:type="dxa"/>
              <w:left w:w="60" w:type="dxa"/>
              <w:bottom w:w="20" w:type="dxa"/>
              <w:right w:w="60" w:type="dxa"/>
            </w:tcMar>
            <w:vAlign w:val="center"/>
          </w:tcPr>
          <w:p w14:paraId="338BC56D">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1:1000</w:t>
            </w:r>
          </w:p>
        </w:tc>
      </w:tr>
      <w:tr w14:paraId="24D434D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128EBBA5">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anti-CD86</w:t>
            </w:r>
          </w:p>
        </w:tc>
        <w:tc>
          <w:tcPr>
            <w:tcW w:w="1777" w:type="dxa"/>
            <w:tcBorders>
              <w:top w:val="nil"/>
              <w:left w:val="nil"/>
              <w:bottom w:val="nil"/>
              <w:right w:val="nil"/>
            </w:tcBorders>
            <w:noWrap/>
            <w:tcMar>
              <w:top w:w="20" w:type="dxa"/>
              <w:left w:w="60" w:type="dxa"/>
              <w:bottom w:w="20" w:type="dxa"/>
              <w:right w:w="60" w:type="dxa"/>
            </w:tcMar>
            <w:vAlign w:val="center"/>
          </w:tcPr>
          <w:p w14:paraId="46DFC471">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Immunoway</w:t>
            </w:r>
            <w:r>
              <w:rPr>
                <w:rFonts w:hint="eastAsia" w:ascii="Times New Roman" w:hAnsi="Times New Roman" w:eastAsia="宋体"/>
                <w:b w:val="0"/>
                <w:sz w:val="20"/>
                <w:szCs w:val="20"/>
                <w:lang w:val="en-US" w:eastAsia="zh-CN"/>
              </w:rPr>
              <w:t xml:space="preserve"> </w:t>
            </w:r>
            <w:r>
              <w:rPr>
                <w:rFonts w:hint="eastAsia" w:ascii="Times New Roman" w:hAnsi="Times New Roman" w:eastAsia="Times New Roman"/>
                <w:b w:val="0"/>
                <w:sz w:val="20"/>
                <w:szCs w:val="20"/>
              </w:rPr>
              <w:t>(Suzhou, China)</w:t>
            </w:r>
          </w:p>
        </w:tc>
        <w:tc>
          <w:tcPr>
            <w:tcW w:w="1495" w:type="dxa"/>
            <w:tcBorders>
              <w:top w:val="nil"/>
              <w:left w:val="nil"/>
              <w:bottom w:val="nil"/>
              <w:right w:val="nil"/>
            </w:tcBorders>
            <w:noWrap/>
            <w:tcMar>
              <w:top w:w="20" w:type="dxa"/>
              <w:left w:w="60" w:type="dxa"/>
              <w:bottom w:w="20" w:type="dxa"/>
              <w:right w:w="60" w:type="dxa"/>
            </w:tcMar>
            <w:vAlign w:val="center"/>
          </w:tcPr>
          <w:p w14:paraId="3855DBC7">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YT7823</w:t>
            </w:r>
          </w:p>
        </w:tc>
        <w:tc>
          <w:tcPr>
            <w:tcW w:w="1233" w:type="dxa"/>
            <w:tcBorders>
              <w:top w:val="nil"/>
              <w:left w:val="nil"/>
              <w:bottom w:val="nil"/>
              <w:right w:val="nil"/>
            </w:tcBorders>
            <w:noWrap/>
            <w:tcMar>
              <w:top w:w="20" w:type="dxa"/>
              <w:left w:w="60" w:type="dxa"/>
              <w:bottom w:w="20" w:type="dxa"/>
              <w:right w:w="60" w:type="dxa"/>
            </w:tcMar>
            <w:vAlign w:val="center"/>
          </w:tcPr>
          <w:p w14:paraId="26616DC3">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WB</w:t>
            </w:r>
            <w:r>
              <w:rPr>
                <w:rFonts w:hint="eastAsia" w:ascii="Times New Roman" w:hAnsi="Times New Roman" w:eastAsia="宋体"/>
                <w:b w:val="0"/>
                <w:sz w:val="20"/>
                <w:szCs w:val="20"/>
                <w:lang w:val="en-US" w:eastAsia="zh-CN"/>
              </w:rPr>
              <w:t xml:space="preserve">; </w:t>
            </w:r>
            <w:r>
              <w:rPr>
                <w:rFonts w:ascii="Times New Roman" w:hAnsi="Times New Roman" w:eastAsia="Times New Roman"/>
                <w:b w:val="0"/>
                <w:sz w:val="20"/>
                <w:szCs w:val="20"/>
              </w:rPr>
              <w:t>IF</w:t>
            </w:r>
          </w:p>
        </w:tc>
        <w:tc>
          <w:tcPr>
            <w:tcW w:w="1817" w:type="dxa"/>
            <w:tcBorders>
              <w:top w:val="nil"/>
              <w:left w:val="nil"/>
              <w:bottom w:val="nil"/>
              <w:right w:val="nil"/>
            </w:tcBorders>
            <w:noWrap/>
            <w:tcMar>
              <w:top w:w="20" w:type="dxa"/>
              <w:left w:w="60" w:type="dxa"/>
              <w:bottom w:w="20" w:type="dxa"/>
              <w:right w:w="60" w:type="dxa"/>
            </w:tcMar>
            <w:vAlign w:val="center"/>
          </w:tcPr>
          <w:p w14:paraId="3F919537">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1:1000; 1:100</w:t>
            </w:r>
          </w:p>
        </w:tc>
      </w:tr>
      <w:tr w14:paraId="1F52DE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shd w:val="clear" w:color="auto" w:fill="auto"/>
            <w:tcMar>
              <w:top w:w="20" w:type="dxa"/>
              <w:left w:w="60" w:type="dxa"/>
              <w:bottom w:w="20" w:type="dxa"/>
              <w:right w:w="60" w:type="dxa"/>
            </w:tcMar>
            <w:vAlign w:val="center"/>
          </w:tcPr>
          <w:p w14:paraId="09E25F62">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eastAsiaTheme="minorEastAsia"/>
                <w:kern w:val="2"/>
                <w:sz w:val="20"/>
                <w:szCs w:val="20"/>
                <w:lang w:val="en-US" w:eastAsia="zh-CN" w:bidi="ar-SA"/>
              </w:rPr>
            </w:pPr>
            <w:r>
              <w:rPr>
                <w:rFonts w:ascii="Times New Roman" w:hAnsi="Times New Roman" w:eastAsia="Times New Roman"/>
                <w:b w:val="0"/>
                <w:sz w:val="20"/>
                <w:szCs w:val="20"/>
              </w:rPr>
              <w:t>HRP-conjugated Goat Anti-Rabbit IgG (H+L)</w:t>
            </w:r>
          </w:p>
        </w:tc>
        <w:tc>
          <w:tcPr>
            <w:tcW w:w="1777" w:type="dxa"/>
            <w:tcBorders>
              <w:top w:val="nil"/>
              <w:left w:val="nil"/>
              <w:bottom w:val="nil"/>
              <w:right w:val="nil"/>
            </w:tcBorders>
            <w:shd w:val="clear" w:color="auto" w:fill="auto"/>
            <w:noWrap/>
            <w:tcMar>
              <w:top w:w="20" w:type="dxa"/>
              <w:left w:w="60" w:type="dxa"/>
              <w:bottom w:w="20" w:type="dxa"/>
              <w:right w:w="60" w:type="dxa"/>
            </w:tcMar>
            <w:vAlign w:val="center"/>
          </w:tcPr>
          <w:p w14:paraId="4CBE0523">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eastAsia" w:ascii="Times New Roman" w:hAnsi="Times New Roman" w:eastAsia="宋体" w:cs="Times New Roman"/>
                <w:kern w:val="2"/>
                <w:sz w:val="20"/>
                <w:szCs w:val="20"/>
                <w:lang w:val="en-US" w:eastAsia="zh-CN" w:bidi="ar-SA"/>
              </w:rPr>
            </w:pPr>
            <w:r>
              <w:rPr>
                <w:rFonts w:ascii="Times New Roman" w:hAnsi="Times New Roman" w:eastAsia="Times New Roman"/>
                <w:b w:val="0"/>
                <w:sz w:val="20"/>
                <w:szCs w:val="20"/>
              </w:rPr>
              <w:t>Proteintech</w:t>
            </w:r>
            <w:r>
              <w:rPr>
                <w:rFonts w:hint="eastAsia" w:ascii="Times New Roman" w:hAnsi="Times New Roman" w:eastAsia="宋体"/>
                <w:b w:val="0"/>
                <w:sz w:val="20"/>
                <w:szCs w:val="20"/>
                <w:lang w:val="en-US" w:eastAsia="zh-CN"/>
              </w:rPr>
              <w:t xml:space="preserve"> (Wuhan, China)</w:t>
            </w:r>
          </w:p>
        </w:tc>
        <w:tc>
          <w:tcPr>
            <w:tcW w:w="1495" w:type="dxa"/>
            <w:tcBorders>
              <w:top w:val="nil"/>
              <w:left w:val="nil"/>
              <w:bottom w:val="nil"/>
              <w:right w:val="nil"/>
            </w:tcBorders>
            <w:shd w:val="clear" w:color="auto" w:fill="auto"/>
            <w:noWrap/>
            <w:tcMar>
              <w:top w:w="20" w:type="dxa"/>
              <w:left w:w="60" w:type="dxa"/>
              <w:bottom w:w="20" w:type="dxa"/>
              <w:right w:w="60" w:type="dxa"/>
            </w:tcMar>
            <w:vAlign w:val="center"/>
          </w:tcPr>
          <w:p w14:paraId="2C04B7CB">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kern w:val="2"/>
                <w:sz w:val="20"/>
                <w:szCs w:val="20"/>
                <w:lang w:val="en-US" w:eastAsia="zh-CN" w:bidi="ar-SA"/>
              </w:rPr>
            </w:pPr>
            <w:r>
              <w:rPr>
                <w:rFonts w:ascii="Times New Roman" w:hAnsi="Times New Roman" w:eastAsia="Times New Roman"/>
                <w:b w:val="0"/>
                <w:sz w:val="20"/>
                <w:szCs w:val="20"/>
              </w:rPr>
              <w:t>SA00001-2</w:t>
            </w:r>
          </w:p>
        </w:tc>
        <w:tc>
          <w:tcPr>
            <w:tcW w:w="1233" w:type="dxa"/>
            <w:tcBorders>
              <w:top w:val="nil"/>
              <w:left w:val="nil"/>
              <w:bottom w:val="nil"/>
              <w:right w:val="nil"/>
            </w:tcBorders>
            <w:shd w:val="clear" w:color="auto" w:fill="auto"/>
            <w:noWrap/>
            <w:tcMar>
              <w:top w:w="20" w:type="dxa"/>
              <w:left w:w="60" w:type="dxa"/>
              <w:bottom w:w="20" w:type="dxa"/>
              <w:right w:w="60" w:type="dxa"/>
            </w:tcMar>
            <w:vAlign w:val="center"/>
          </w:tcPr>
          <w:p w14:paraId="62CA53D3">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kern w:val="2"/>
                <w:sz w:val="20"/>
                <w:szCs w:val="20"/>
                <w:lang w:val="en-US" w:eastAsia="zh-CN" w:bidi="ar-SA"/>
              </w:rPr>
            </w:pPr>
            <w:r>
              <w:rPr>
                <w:rFonts w:ascii="Times New Roman" w:hAnsi="Times New Roman" w:eastAsia="Times New Roman"/>
                <w:b w:val="0"/>
                <w:sz w:val="20"/>
                <w:szCs w:val="20"/>
              </w:rPr>
              <w:t>WB</w:t>
            </w:r>
          </w:p>
        </w:tc>
        <w:tc>
          <w:tcPr>
            <w:tcW w:w="1817" w:type="dxa"/>
            <w:tcBorders>
              <w:top w:val="nil"/>
              <w:left w:val="nil"/>
              <w:bottom w:val="nil"/>
              <w:right w:val="nil"/>
            </w:tcBorders>
            <w:shd w:val="clear" w:color="auto" w:fill="auto"/>
            <w:noWrap/>
            <w:tcMar>
              <w:top w:w="20" w:type="dxa"/>
              <w:left w:w="60" w:type="dxa"/>
              <w:bottom w:w="20" w:type="dxa"/>
              <w:right w:w="60" w:type="dxa"/>
            </w:tcMar>
            <w:vAlign w:val="center"/>
          </w:tcPr>
          <w:p w14:paraId="4463EACE">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kern w:val="2"/>
                <w:sz w:val="20"/>
                <w:szCs w:val="20"/>
                <w:lang w:val="en-US" w:eastAsia="zh-CN" w:bidi="ar-SA"/>
              </w:rPr>
            </w:pPr>
            <w:r>
              <w:rPr>
                <w:rFonts w:hint="eastAsia" w:ascii="Times New Roman" w:hAnsi="Times New Roman" w:cs="Times New Roman"/>
                <w:kern w:val="2"/>
                <w:sz w:val="20"/>
                <w:szCs w:val="20"/>
                <w:lang w:val="en-US" w:eastAsia="zh-CN" w:bidi="ar-SA"/>
              </w:rPr>
              <w:t>1:10000</w:t>
            </w:r>
          </w:p>
        </w:tc>
      </w:tr>
      <w:tr w14:paraId="0582A2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shd w:val="clear" w:color="auto" w:fill="auto"/>
            <w:tcMar>
              <w:top w:w="20" w:type="dxa"/>
              <w:left w:w="60" w:type="dxa"/>
              <w:bottom w:w="20" w:type="dxa"/>
              <w:right w:w="60" w:type="dxa"/>
            </w:tcMar>
            <w:vAlign w:val="center"/>
          </w:tcPr>
          <w:p w14:paraId="576B4CD7">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eastAsia="宋体" w:cs="Times New Roman"/>
                <w:kern w:val="2"/>
                <w:sz w:val="20"/>
                <w:szCs w:val="20"/>
                <w:lang w:val="en-US" w:eastAsia="zh-CN" w:bidi="ar-SA"/>
              </w:rPr>
            </w:pPr>
            <w:r>
              <w:rPr>
                <w:rFonts w:ascii="Times New Roman" w:hAnsi="Times New Roman" w:eastAsia="Times New Roman"/>
                <w:b w:val="0"/>
                <w:sz w:val="20"/>
                <w:szCs w:val="20"/>
              </w:rPr>
              <w:t>anti-p</w:t>
            </w:r>
            <w:r>
              <w:rPr>
                <w:rFonts w:hint="eastAsia" w:ascii="Times New Roman" w:hAnsi="Times New Roman" w:eastAsia="宋体"/>
                <w:b w:val="0"/>
                <w:sz w:val="20"/>
                <w:szCs w:val="20"/>
                <w:lang w:val="en-US" w:eastAsia="zh-CN"/>
              </w:rPr>
              <w:t>-ERK</w:t>
            </w:r>
          </w:p>
        </w:tc>
        <w:tc>
          <w:tcPr>
            <w:tcW w:w="1777" w:type="dxa"/>
            <w:tcBorders>
              <w:top w:val="nil"/>
              <w:left w:val="nil"/>
              <w:bottom w:val="nil"/>
              <w:right w:val="nil"/>
            </w:tcBorders>
            <w:shd w:val="clear" w:color="auto" w:fill="auto"/>
            <w:noWrap/>
            <w:tcMar>
              <w:top w:w="20" w:type="dxa"/>
              <w:left w:w="60" w:type="dxa"/>
              <w:bottom w:w="20" w:type="dxa"/>
              <w:right w:w="60" w:type="dxa"/>
            </w:tcMar>
            <w:vAlign w:val="center"/>
          </w:tcPr>
          <w:p w14:paraId="7E5CF54C">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eastAsiaTheme="minorEastAsia"/>
                <w:kern w:val="2"/>
                <w:sz w:val="20"/>
                <w:szCs w:val="20"/>
                <w:lang w:val="en-US" w:eastAsia="zh-CN" w:bidi="ar-SA"/>
              </w:rPr>
            </w:pPr>
            <w:r>
              <w:rPr>
                <w:rFonts w:ascii="Times New Roman" w:hAnsi="Times New Roman" w:eastAsia="Times New Roman"/>
                <w:b w:val="0"/>
                <w:sz w:val="20"/>
                <w:szCs w:val="20"/>
              </w:rPr>
              <w:t>Proteintech</w:t>
            </w:r>
          </w:p>
        </w:tc>
        <w:tc>
          <w:tcPr>
            <w:tcW w:w="1495" w:type="dxa"/>
            <w:tcBorders>
              <w:top w:val="nil"/>
              <w:left w:val="nil"/>
              <w:bottom w:val="nil"/>
              <w:right w:val="nil"/>
            </w:tcBorders>
            <w:shd w:val="clear" w:color="auto" w:fill="auto"/>
            <w:noWrap/>
            <w:tcMar>
              <w:top w:w="20" w:type="dxa"/>
              <w:left w:w="60" w:type="dxa"/>
              <w:bottom w:w="20" w:type="dxa"/>
              <w:right w:w="60" w:type="dxa"/>
            </w:tcMar>
            <w:vAlign w:val="center"/>
          </w:tcPr>
          <w:p w14:paraId="374477E9">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kern w:val="2"/>
                <w:sz w:val="20"/>
                <w:szCs w:val="20"/>
                <w:lang w:val="en-US" w:eastAsia="zh-CN" w:bidi="ar-SA"/>
              </w:rPr>
            </w:pPr>
            <w:r>
              <w:rPr>
                <w:rFonts w:ascii="Times New Roman" w:hAnsi="Times New Roman" w:eastAsia="Times New Roman"/>
                <w:b w:val="0"/>
                <w:sz w:val="20"/>
                <w:szCs w:val="20"/>
              </w:rPr>
              <w:t>28733-1-AP</w:t>
            </w:r>
          </w:p>
        </w:tc>
        <w:tc>
          <w:tcPr>
            <w:tcW w:w="1233" w:type="dxa"/>
            <w:tcBorders>
              <w:top w:val="nil"/>
              <w:left w:val="nil"/>
              <w:bottom w:val="nil"/>
              <w:right w:val="nil"/>
            </w:tcBorders>
            <w:shd w:val="clear" w:color="auto" w:fill="auto"/>
            <w:noWrap/>
            <w:tcMar>
              <w:top w:w="20" w:type="dxa"/>
              <w:left w:w="60" w:type="dxa"/>
              <w:bottom w:w="20" w:type="dxa"/>
              <w:right w:w="60" w:type="dxa"/>
            </w:tcMar>
            <w:vAlign w:val="center"/>
          </w:tcPr>
          <w:p w14:paraId="78961E93">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kern w:val="2"/>
                <w:sz w:val="20"/>
                <w:szCs w:val="20"/>
                <w:lang w:val="en-US" w:eastAsia="zh-CN" w:bidi="ar-SA"/>
              </w:rPr>
            </w:pPr>
            <w:r>
              <w:rPr>
                <w:rFonts w:ascii="Times New Roman" w:hAnsi="Times New Roman" w:eastAsia="Times New Roman"/>
                <w:b w:val="0"/>
                <w:sz w:val="20"/>
                <w:szCs w:val="20"/>
              </w:rPr>
              <w:t>WB</w:t>
            </w:r>
          </w:p>
        </w:tc>
        <w:tc>
          <w:tcPr>
            <w:tcW w:w="1817" w:type="dxa"/>
            <w:tcBorders>
              <w:top w:val="nil"/>
              <w:left w:val="nil"/>
              <w:bottom w:val="nil"/>
              <w:right w:val="nil"/>
            </w:tcBorders>
            <w:shd w:val="clear" w:color="auto" w:fill="auto"/>
            <w:noWrap/>
            <w:tcMar>
              <w:top w:w="20" w:type="dxa"/>
              <w:left w:w="60" w:type="dxa"/>
              <w:bottom w:w="20" w:type="dxa"/>
              <w:right w:w="60" w:type="dxa"/>
            </w:tcMar>
            <w:vAlign w:val="center"/>
          </w:tcPr>
          <w:p w14:paraId="5A4DC087">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kern w:val="2"/>
                <w:sz w:val="20"/>
                <w:szCs w:val="20"/>
                <w:lang w:val="en-US" w:eastAsia="zh-CN" w:bidi="ar-SA"/>
              </w:rPr>
            </w:pPr>
            <w:r>
              <w:rPr>
                <w:rFonts w:hint="eastAsia" w:ascii="Times New Roman" w:hAnsi="Times New Roman" w:cs="Times New Roman"/>
                <w:kern w:val="2"/>
                <w:sz w:val="20"/>
                <w:szCs w:val="20"/>
                <w:lang w:val="en-US" w:eastAsia="zh-CN" w:bidi="ar-SA"/>
              </w:rPr>
              <w:t>1:3000</w:t>
            </w:r>
          </w:p>
        </w:tc>
      </w:tr>
      <w:tr w14:paraId="5B7268D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1A443211">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anti-IL-1β</w:t>
            </w:r>
          </w:p>
        </w:tc>
        <w:tc>
          <w:tcPr>
            <w:tcW w:w="1777" w:type="dxa"/>
            <w:tcBorders>
              <w:top w:val="nil"/>
              <w:left w:val="nil"/>
              <w:bottom w:val="nil"/>
              <w:right w:val="nil"/>
            </w:tcBorders>
            <w:noWrap/>
            <w:tcMar>
              <w:top w:w="20" w:type="dxa"/>
              <w:left w:w="60" w:type="dxa"/>
              <w:bottom w:w="20" w:type="dxa"/>
              <w:right w:w="60" w:type="dxa"/>
            </w:tcMar>
            <w:vAlign w:val="center"/>
          </w:tcPr>
          <w:p w14:paraId="4F1AA131">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ABclonal</w:t>
            </w:r>
            <w:r>
              <w:rPr>
                <w:rFonts w:hint="eastAsia" w:ascii="Times New Roman" w:hAnsi="Times New Roman" w:eastAsia="宋体"/>
                <w:b w:val="0"/>
                <w:sz w:val="20"/>
                <w:szCs w:val="20"/>
                <w:lang w:val="en-US" w:eastAsia="zh-CN"/>
              </w:rPr>
              <w:t xml:space="preserve"> </w:t>
            </w:r>
            <w:r>
              <w:rPr>
                <w:rFonts w:hint="eastAsia" w:ascii="Times New Roman" w:hAnsi="Times New Roman" w:eastAsia="Times New Roman"/>
                <w:b w:val="0"/>
                <w:sz w:val="20"/>
                <w:szCs w:val="20"/>
              </w:rPr>
              <w:t>(Wuhan, China)</w:t>
            </w:r>
          </w:p>
        </w:tc>
        <w:tc>
          <w:tcPr>
            <w:tcW w:w="1495" w:type="dxa"/>
            <w:tcBorders>
              <w:top w:val="nil"/>
              <w:left w:val="nil"/>
              <w:bottom w:val="nil"/>
              <w:right w:val="nil"/>
            </w:tcBorders>
            <w:noWrap/>
            <w:tcMar>
              <w:top w:w="20" w:type="dxa"/>
              <w:left w:w="60" w:type="dxa"/>
              <w:bottom w:w="20" w:type="dxa"/>
              <w:right w:w="60" w:type="dxa"/>
            </w:tcMar>
            <w:vAlign w:val="center"/>
          </w:tcPr>
          <w:p w14:paraId="144CBDEA">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A20529</w:t>
            </w:r>
          </w:p>
        </w:tc>
        <w:tc>
          <w:tcPr>
            <w:tcW w:w="1233" w:type="dxa"/>
            <w:tcBorders>
              <w:top w:val="nil"/>
              <w:left w:val="nil"/>
              <w:bottom w:val="nil"/>
              <w:right w:val="nil"/>
            </w:tcBorders>
            <w:noWrap/>
            <w:tcMar>
              <w:top w:w="20" w:type="dxa"/>
              <w:left w:w="60" w:type="dxa"/>
              <w:bottom w:w="20" w:type="dxa"/>
              <w:right w:w="60" w:type="dxa"/>
            </w:tcMar>
            <w:vAlign w:val="center"/>
          </w:tcPr>
          <w:p w14:paraId="1966DEAF">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IHC</w:t>
            </w:r>
          </w:p>
        </w:tc>
        <w:tc>
          <w:tcPr>
            <w:tcW w:w="1817" w:type="dxa"/>
            <w:tcBorders>
              <w:top w:val="nil"/>
              <w:left w:val="nil"/>
              <w:bottom w:val="nil"/>
              <w:right w:val="nil"/>
            </w:tcBorders>
            <w:noWrap/>
            <w:tcMar>
              <w:top w:w="20" w:type="dxa"/>
              <w:left w:w="60" w:type="dxa"/>
              <w:bottom w:w="20" w:type="dxa"/>
              <w:right w:w="60" w:type="dxa"/>
            </w:tcMar>
            <w:vAlign w:val="center"/>
          </w:tcPr>
          <w:p w14:paraId="2062AD35">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1:100</w:t>
            </w:r>
          </w:p>
        </w:tc>
      </w:tr>
      <w:tr w14:paraId="69C770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071D4666">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anti-IL-6</w:t>
            </w:r>
          </w:p>
        </w:tc>
        <w:tc>
          <w:tcPr>
            <w:tcW w:w="1777" w:type="dxa"/>
            <w:tcBorders>
              <w:top w:val="nil"/>
              <w:left w:val="nil"/>
              <w:bottom w:val="nil"/>
              <w:right w:val="nil"/>
            </w:tcBorders>
            <w:noWrap/>
            <w:tcMar>
              <w:top w:w="20" w:type="dxa"/>
              <w:left w:w="60" w:type="dxa"/>
              <w:bottom w:w="20" w:type="dxa"/>
              <w:right w:w="60" w:type="dxa"/>
            </w:tcMar>
            <w:vAlign w:val="center"/>
          </w:tcPr>
          <w:p w14:paraId="06649195">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ABclonal</w:t>
            </w:r>
          </w:p>
        </w:tc>
        <w:tc>
          <w:tcPr>
            <w:tcW w:w="1495" w:type="dxa"/>
            <w:tcBorders>
              <w:top w:val="nil"/>
              <w:left w:val="nil"/>
              <w:bottom w:val="nil"/>
              <w:right w:val="nil"/>
            </w:tcBorders>
            <w:noWrap/>
            <w:tcMar>
              <w:top w:w="20" w:type="dxa"/>
              <w:left w:w="60" w:type="dxa"/>
              <w:bottom w:w="20" w:type="dxa"/>
              <w:right w:w="60" w:type="dxa"/>
            </w:tcMar>
            <w:vAlign w:val="center"/>
          </w:tcPr>
          <w:p w14:paraId="5653F84F">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A0286</w:t>
            </w:r>
          </w:p>
        </w:tc>
        <w:tc>
          <w:tcPr>
            <w:tcW w:w="1233" w:type="dxa"/>
            <w:tcBorders>
              <w:top w:val="nil"/>
              <w:left w:val="nil"/>
              <w:bottom w:val="nil"/>
              <w:right w:val="nil"/>
            </w:tcBorders>
            <w:noWrap/>
            <w:tcMar>
              <w:top w:w="20" w:type="dxa"/>
              <w:left w:w="60" w:type="dxa"/>
              <w:bottom w:w="20" w:type="dxa"/>
              <w:right w:w="60" w:type="dxa"/>
            </w:tcMar>
            <w:vAlign w:val="center"/>
          </w:tcPr>
          <w:p w14:paraId="65D3C4A0">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IHC</w:t>
            </w:r>
          </w:p>
        </w:tc>
        <w:tc>
          <w:tcPr>
            <w:tcW w:w="1817" w:type="dxa"/>
            <w:tcBorders>
              <w:top w:val="nil"/>
              <w:left w:val="nil"/>
              <w:bottom w:val="nil"/>
              <w:right w:val="nil"/>
            </w:tcBorders>
            <w:noWrap/>
            <w:tcMar>
              <w:top w:w="20" w:type="dxa"/>
              <w:left w:w="60" w:type="dxa"/>
              <w:bottom w:w="20" w:type="dxa"/>
              <w:right w:w="60" w:type="dxa"/>
            </w:tcMar>
            <w:vAlign w:val="center"/>
          </w:tcPr>
          <w:p w14:paraId="18A3942E">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1:100</w:t>
            </w:r>
          </w:p>
        </w:tc>
      </w:tr>
      <w:tr w14:paraId="2A4A84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72407405">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anti-TNF-α</w:t>
            </w:r>
          </w:p>
        </w:tc>
        <w:tc>
          <w:tcPr>
            <w:tcW w:w="1777" w:type="dxa"/>
            <w:tcBorders>
              <w:top w:val="nil"/>
              <w:left w:val="nil"/>
              <w:bottom w:val="nil"/>
              <w:right w:val="nil"/>
            </w:tcBorders>
            <w:noWrap/>
            <w:tcMar>
              <w:top w:w="20" w:type="dxa"/>
              <w:left w:w="60" w:type="dxa"/>
              <w:bottom w:w="20" w:type="dxa"/>
              <w:right w:w="60" w:type="dxa"/>
            </w:tcMar>
            <w:vAlign w:val="center"/>
          </w:tcPr>
          <w:p w14:paraId="2BE22EC5">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ABclonal</w:t>
            </w:r>
          </w:p>
        </w:tc>
        <w:tc>
          <w:tcPr>
            <w:tcW w:w="1495" w:type="dxa"/>
            <w:tcBorders>
              <w:top w:val="nil"/>
              <w:left w:val="nil"/>
              <w:bottom w:val="nil"/>
              <w:right w:val="nil"/>
            </w:tcBorders>
            <w:noWrap/>
            <w:tcMar>
              <w:top w:w="20" w:type="dxa"/>
              <w:left w:w="60" w:type="dxa"/>
              <w:bottom w:w="20" w:type="dxa"/>
              <w:right w:w="60" w:type="dxa"/>
            </w:tcMar>
            <w:vAlign w:val="center"/>
          </w:tcPr>
          <w:p w14:paraId="54F01068">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A11534</w:t>
            </w:r>
          </w:p>
        </w:tc>
        <w:tc>
          <w:tcPr>
            <w:tcW w:w="1233" w:type="dxa"/>
            <w:tcBorders>
              <w:top w:val="nil"/>
              <w:left w:val="nil"/>
              <w:bottom w:val="nil"/>
              <w:right w:val="nil"/>
            </w:tcBorders>
            <w:noWrap/>
            <w:tcMar>
              <w:top w:w="20" w:type="dxa"/>
              <w:left w:w="60" w:type="dxa"/>
              <w:bottom w:w="20" w:type="dxa"/>
              <w:right w:w="60" w:type="dxa"/>
            </w:tcMar>
            <w:vAlign w:val="center"/>
          </w:tcPr>
          <w:p w14:paraId="51B9A4EA">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IHC</w:t>
            </w:r>
          </w:p>
        </w:tc>
        <w:tc>
          <w:tcPr>
            <w:tcW w:w="1817" w:type="dxa"/>
            <w:tcBorders>
              <w:top w:val="nil"/>
              <w:left w:val="nil"/>
              <w:bottom w:val="nil"/>
              <w:right w:val="nil"/>
            </w:tcBorders>
            <w:noWrap/>
            <w:tcMar>
              <w:top w:w="20" w:type="dxa"/>
              <w:left w:w="60" w:type="dxa"/>
              <w:bottom w:w="20" w:type="dxa"/>
              <w:right w:w="60" w:type="dxa"/>
            </w:tcMar>
            <w:vAlign w:val="center"/>
          </w:tcPr>
          <w:p w14:paraId="78D7E997">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1:200</w:t>
            </w:r>
          </w:p>
        </w:tc>
      </w:tr>
      <w:tr w14:paraId="72F544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43112A8C">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anti-MPO</w:t>
            </w:r>
          </w:p>
        </w:tc>
        <w:tc>
          <w:tcPr>
            <w:tcW w:w="1777" w:type="dxa"/>
            <w:tcBorders>
              <w:top w:val="nil"/>
              <w:left w:val="nil"/>
              <w:bottom w:val="nil"/>
              <w:right w:val="nil"/>
            </w:tcBorders>
            <w:noWrap/>
            <w:tcMar>
              <w:top w:w="20" w:type="dxa"/>
              <w:left w:w="60" w:type="dxa"/>
              <w:bottom w:w="20" w:type="dxa"/>
              <w:right w:w="60" w:type="dxa"/>
            </w:tcMar>
            <w:vAlign w:val="center"/>
          </w:tcPr>
          <w:p w14:paraId="0838B574">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ABclonal</w:t>
            </w:r>
          </w:p>
        </w:tc>
        <w:tc>
          <w:tcPr>
            <w:tcW w:w="1495" w:type="dxa"/>
            <w:tcBorders>
              <w:top w:val="nil"/>
              <w:left w:val="nil"/>
              <w:bottom w:val="nil"/>
              <w:right w:val="nil"/>
            </w:tcBorders>
            <w:noWrap/>
            <w:tcMar>
              <w:top w:w="20" w:type="dxa"/>
              <w:left w:w="60" w:type="dxa"/>
              <w:bottom w:w="20" w:type="dxa"/>
              <w:right w:w="60" w:type="dxa"/>
            </w:tcMar>
            <w:vAlign w:val="center"/>
          </w:tcPr>
          <w:p w14:paraId="3CB1829D">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A1374</w:t>
            </w:r>
          </w:p>
        </w:tc>
        <w:tc>
          <w:tcPr>
            <w:tcW w:w="1233" w:type="dxa"/>
            <w:tcBorders>
              <w:top w:val="nil"/>
              <w:left w:val="nil"/>
              <w:bottom w:val="nil"/>
              <w:right w:val="nil"/>
            </w:tcBorders>
            <w:noWrap/>
            <w:tcMar>
              <w:top w:w="20" w:type="dxa"/>
              <w:left w:w="60" w:type="dxa"/>
              <w:bottom w:w="20" w:type="dxa"/>
              <w:right w:w="60" w:type="dxa"/>
            </w:tcMar>
            <w:vAlign w:val="center"/>
          </w:tcPr>
          <w:p w14:paraId="492CB771">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IHC</w:t>
            </w:r>
          </w:p>
        </w:tc>
        <w:tc>
          <w:tcPr>
            <w:tcW w:w="1817" w:type="dxa"/>
            <w:tcBorders>
              <w:top w:val="nil"/>
              <w:left w:val="nil"/>
              <w:bottom w:val="nil"/>
              <w:right w:val="nil"/>
            </w:tcBorders>
            <w:noWrap/>
            <w:tcMar>
              <w:top w:w="20" w:type="dxa"/>
              <w:left w:w="60" w:type="dxa"/>
              <w:bottom w:w="20" w:type="dxa"/>
              <w:right w:w="60" w:type="dxa"/>
            </w:tcMar>
            <w:vAlign w:val="center"/>
          </w:tcPr>
          <w:p w14:paraId="309B9503">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1:1000</w:t>
            </w:r>
          </w:p>
        </w:tc>
      </w:tr>
      <w:tr w14:paraId="076D4D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2672110C">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anti-IL-17A</w:t>
            </w:r>
          </w:p>
        </w:tc>
        <w:tc>
          <w:tcPr>
            <w:tcW w:w="1777" w:type="dxa"/>
            <w:tcBorders>
              <w:top w:val="nil"/>
              <w:left w:val="nil"/>
              <w:bottom w:val="nil"/>
              <w:right w:val="nil"/>
            </w:tcBorders>
            <w:noWrap/>
            <w:tcMar>
              <w:top w:w="20" w:type="dxa"/>
              <w:left w:w="60" w:type="dxa"/>
              <w:bottom w:w="20" w:type="dxa"/>
              <w:right w:w="60" w:type="dxa"/>
            </w:tcMar>
            <w:vAlign w:val="center"/>
          </w:tcPr>
          <w:p w14:paraId="2211511E">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ABclonal</w:t>
            </w:r>
          </w:p>
        </w:tc>
        <w:tc>
          <w:tcPr>
            <w:tcW w:w="1495" w:type="dxa"/>
            <w:tcBorders>
              <w:top w:val="nil"/>
              <w:left w:val="nil"/>
              <w:bottom w:val="nil"/>
              <w:right w:val="nil"/>
            </w:tcBorders>
            <w:noWrap/>
            <w:tcMar>
              <w:top w:w="20" w:type="dxa"/>
              <w:left w:w="60" w:type="dxa"/>
              <w:bottom w:w="20" w:type="dxa"/>
              <w:right w:w="60" w:type="dxa"/>
            </w:tcMar>
            <w:vAlign w:val="center"/>
          </w:tcPr>
          <w:p w14:paraId="7161BAEE">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A12454</w:t>
            </w:r>
          </w:p>
        </w:tc>
        <w:tc>
          <w:tcPr>
            <w:tcW w:w="1233" w:type="dxa"/>
            <w:tcBorders>
              <w:top w:val="nil"/>
              <w:left w:val="nil"/>
              <w:bottom w:val="nil"/>
              <w:right w:val="nil"/>
            </w:tcBorders>
            <w:noWrap/>
            <w:tcMar>
              <w:top w:w="20" w:type="dxa"/>
              <w:left w:w="60" w:type="dxa"/>
              <w:bottom w:w="20" w:type="dxa"/>
              <w:right w:w="60" w:type="dxa"/>
            </w:tcMar>
            <w:vAlign w:val="center"/>
          </w:tcPr>
          <w:p w14:paraId="06B740C7">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IHC</w:t>
            </w:r>
          </w:p>
        </w:tc>
        <w:tc>
          <w:tcPr>
            <w:tcW w:w="1817" w:type="dxa"/>
            <w:tcBorders>
              <w:top w:val="nil"/>
              <w:left w:val="nil"/>
              <w:bottom w:val="nil"/>
              <w:right w:val="nil"/>
            </w:tcBorders>
            <w:noWrap/>
            <w:tcMar>
              <w:top w:w="20" w:type="dxa"/>
              <w:left w:w="60" w:type="dxa"/>
              <w:bottom w:w="20" w:type="dxa"/>
              <w:right w:w="60" w:type="dxa"/>
            </w:tcMar>
            <w:vAlign w:val="center"/>
          </w:tcPr>
          <w:p w14:paraId="3871C764">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1:50</w:t>
            </w:r>
          </w:p>
        </w:tc>
      </w:tr>
      <w:tr w14:paraId="5135A4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3460C641">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anti-occludin</w:t>
            </w:r>
          </w:p>
        </w:tc>
        <w:tc>
          <w:tcPr>
            <w:tcW w:w="1777" w:type="dxa"/>
            <w:tcBorders>
              <w:top w:val="nil"/>
              <w:left w:val="nil"/>
              <w:bottom w:val="nil"/>
              <w:right w:val="nil"/>
            </w:tcBorders>
            <w:noWrap/>
            <w:tcMar>
              <w:top w:w="20" w:type="dxa"/>
              <w:left w:w="60" w:type="dxa"/>
              <w:bottom w:w="20" w:type="dxa"/>
              <w:right w:w="60" w:type="dxa"/>
            </w:tcMar>
            <w:vAlign w:val="center"/>
          </w:tcPr>
          <w:p w14:paraId="6699BA40">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ABclonal</w:t>
            </w:r>
          </w:p>
        </w:tc>
        <w:tc>
          <w:tcPr>
            <w:tcW w:w="1495" w:type="dxa"/>
            <w:tcBorders>
              <w:top w:val="nil"/>
              <w:left w:val="nil"/>
              <w:bottom w:val="nil"/>
              <w:right w:val="nil"/>
            </w:tcBorders>
            <w:noWrap/>
            <w:tcMar>
              <w:top w:w="20" w:type="dxa"/>
              <w:left w:w="60" w:type="dxa"/>
              <w:bottom w:w="20" w:type="dxa"/>
              <w:right w:w="60" w:type="dxa"/>
            </w:tcMar>
            <w:vAlign w:val="center"/>
          </w:tcPr>
          <w:p w14:paraId="2DB8C962">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A24601</w:t>
            </w:r>
          </w:p>
        </w:tc>
        <w:tc>
          <w:tcPr>
            <w:tcW w:w="1233" w:type="dxa"/>
            <w:tcBorders>
              <w:top w:val="nil"/>
              <w:left w:val="nil"/>
              <w:bottom w:val="nil"/>
              <w:right w:val="nil"/>
            </w:tcBorders>
            <w:noWrap/>
            <w:tcMar>
              <w:top w:w="20" w:type="dxa"/>
              <w:left w:w="60" w:type="dxa"/>
              <w:bottom w:w="20" w:type="dxa"/>
              <w:right w:w="60" w:type="dxa"/>
            </w:tcMar>
            <w:vAlign w:val="center"/>
          </w:tcPr>
          <w:p w14:paraId="0AA8F083">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WB</w:t>
            </w:r>
            <w:r>
              <w:rPr>
                <w:rFonts w:hint="eastAsia" w:ascii="Times New Roman" w:hAnsi="Times New Roman" w:eastAsia="宋体"/>
                <w:b w:val="0"/>
                <w:sz w:val="20"/>
                <w:szCs w:val="20"/>
                <w:lang w:val="en-US" w:eastAsia="zh-CN"/>
              </w:rPr>
              <w:t xml:space="preserve">; </w:t>
            </w:r>
            <w:r>
              <w:rPr>
                <w:rFonts w:ascii="Times New Roman" w:hAnsi="Times New Roman" w:eastAsia="Times New Roman"/>
                <w:b w:val="0"/>
                <w:sz w:val="20"/>
                <w:szCs w:val="20"/>
              </w:rPr>
              <w:t>IF</w:t>
            </w:r>
          </w:p>
        </w:tc>
        <w:tc>
          <w:tcPr>
            <w:tcW w:w="1817" w:type="dxa"/>
            <w:tcBorders>
              <w:top w:val="nil"/>
              <w:left w:val="nil"/>
              <w:bottom w:val="nil"/>
              <w:right w:val="nil"/>
            </w:tcBorders>
            <w:noWrap/>
            <w:tcMar>
              <w:top w:w="20" w:type="dxa"/>
              <w:left w:w="60" w:type="dxa"/>
              <w:bottom w:w="20" w:type="dxa"/>
              <w:right w:w="60" w:type="dxa"/>
            </w:tcMar>
            <w:vAlign w:val="center"/>
          </w:tcPr>
          <w:p w14:paraId="387E8AAA">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1:3000; 1:200</w:t>
            </w:r>
          </w:p>
        </w:tc>
      </w:tr>
      <w:tr w14:paraId="4F9CEB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26E5A6A5">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anti-ZO-1</w:t>
            </w:r>
          </w:p>
        </w:tc>
        <w:tc>
          <w:tcPr>
            <w:tcW w:w="1777" w:type="dxa"/>
            <w:tcBorders>
              <w:top w:val="nil"/>
              <w:left w:val="nil"/>
              <w:bottom w:val="nil"/>
              <w:right w:val="nil"/>
            </w:tcBorders>
            <w:noWrap/>
            <w:tcMar>
              <w:top w:w="20" w:type="dxa"/>
              <w:left w:w="60" w:type="dxa"/>
              <w:bottom w:w="20" w:type="dxa"/>
              <w:right w:w="60" w:type="dxa"/>
            </w:tcMar>
            <w:vAlign w:val="center"/>
          </w:tcPr>
          <w:p w14:paraId="6B2C0AE1">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ABclonal</w:t>
            </w:r>
          </w:p>
        </w:tc>
        <w:tc>
          <w:tcPr>
            <w:tcW w:w="1495" w:type="dxa"/>
            <w:tcBorders>
              <w:top w:val="nil"/>
              <w:left w:val="nil"/>
              <w:bottom w:val="nil"/>
              <w:right w:val="nil"/>
            </w:tcBorders>
            <w:noWrap/>
            <w:tcMar>
              <w:top w:w="20" w:type="dxa"/>
              <w:left w:w="60" w:type="dxa"/>
              <w:bottom w:w="20" w:type="dxa"/>
              <w:right w:w="60" w:type="dxa"/>
            </w:tcMar>
            <w:vAlign w:val="center"/>
          </w:tcPr>
          <w:p w14:paraId="0D828677">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A0659</w:t>
            </w:r>
          </w:p>
        </w:tc>
        <w:tc>
          <w:tcPr>
            <w:tcW w:w="1233" w:type="dxa"/>
            <w:tcBorders>
              <w:top w:val="nil"/>
              <w:left w:val="nil"/>
              <w:bottom w:val="nil"/>
              <w:right w:val="nil"/>
            </w:tcBorders>
            <w:noWrap/>
            <w:tcMar>
              <w:top w:w="20" w:type="dxa"/>
              <w:left w:w="60" w:type="dxa"/>
              <w:bottom w:w="20" w:type="dxa"/>
              <w:right w:w="60" w:type="dxa"/>
            </w:tcMar>
            <w:vAlign w:val="center"/>
          </w:tcPr>
          <w:p w14:paraId="00CF55E6">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WB</w:t>
            </w:r>
            <w:r>
              <w:rPr>
                <w:rFonts w:hint="eastAsia" w:ascii="Times New Roman" w:hAnsi="Times New Roman" w:eastAsia="宋体"/>
                <w:b w:val="0"/>
                <w:sz w:val="20"/>
                <w:szCs w:val="20"/>
                <w:lang w:val="en-US" w:eastAsia="zh-CN"/>
              </w:rPr>
              <w:t xml:space="preserve">; </w:t>
            </w:r>
            <w:r>
              <w:rPr>
                <w:rFonts w:ascii="Times New Roman" w:hAnsi="Times New Roman" w:eastAsia="Times New Roman"/>
                <w:b w:val="0"/>
                <w:sz w:val="20"/>
                <w:szCs w:val="20"/>
              </w:rPr>
              <w:t>IF</w:t>
            </w:r>
          </w:p>
        </w:tc>
        <w:tc>
          <w:tcPr>
            <w:tcW w:w="1817" w:type="dxa"/>
            <w:tcBorders>
              <w:top w:val="nil"/>
              <w:left w:val="nil"/>
              <w:bottom w:val="nil"/>
              <w:right w:val="nil"/>
            </w:tcBorders>
            <w:noWrap/>
            <w:tcMar>
              <w:top w:w="20" w:type="dxa"/>
              <w:left w:w="60" w:type="dxa"/>
              <w:bottom w:w="20" w:type="dxa"/>
              <w:right w:w="60" w:type="dxa"/>
            </w:tcMar>
            <w:vAlign w:val="center"/>
          </w:tcPr>
          <w:p w14:paraId="48A9012F">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1:2000; 1:50</w:t>
            </w:r>
          </w:p>
        </w:tc>
      </w:tr>
      <w:tr w14:paraId="1C5EE8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4F2C23A0">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anti-claudin-1</w:t>
            </w:r>
          </w:p>
        </w:tc>
        <w:tc>
          <w:tcPr>
            <w:tcW w:w="1777" w:type="dxa"/>
            <w:tcBorders>
              <w:top w:val="nil"/>
              <w:left w:val="nil"/>
              <w:bottom w:val="nil"/>
              <w:right w:val="nil"/>
            </w:tcBorders>
            <w:noWrap/>
            <w:tcMar>
              <w:top w:w="20" w:type="dxa"/>
              <w:left w:w="60" w:type="dxa"/>
              <w:bottom w:w="20" w:type="dxa"/>
              <w:right w:w="60" w:type="dxa"/>
            </w:tcMar>
            <w:vAlign w:val="center"/>
          </w:tcPr>
          <w:p w14:paraId="7E2546EF">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ABclonal</w:t>
            </w:r>
          </w:p>
        </w:tc>
        <w:tc>
          <w:tcPr>
            <w:tcW w:w="1495" w:type="dxa"/>
            <w:tcBorders>
              <w:top w:val="nil"/>
              <w:left w:val="nil"/>
              <w:bottom w:val="nil"/>
              <w:right w:val="nil"/>
            </w:tcBorders>
            <w:noWrap/>
            <w:tcMar>
              <w:top w:w="20" w:type="dxa"/>
              <w:left w:w="60" w:type="dxa"/>
              <w:bottom w:w="20" w:type="dxa"/>
              <w:right w:w="60" w:type="dxa"/>
            </w:tcMar>
            <w:vAlign w:val="center"/>
          </w:tcPr>
          <w:p w14:paraId="215DF449">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A25902</w:t>
            </w:r>
          </w:p>
        </w:tc>
        <w:tc>
          <w:tcPr>
            <w:tcW w:w="1233" w:type="dxa"/>
            <w:tcBorders>
              <w:top w:val="nil"/>
              <w:left w:val="nil"/>
              <w:bottom w:val="nil"/>
              <w:right w:val="nil"/>
            </w:tcBorders>
            <w:noWrap/>
            <w:tcMar>
              <w:top w:w="20" w:type="dxa"/>
              <w:left w:w="60" w:type="dxa"/>
              <w:bottom w:w="20" w:type="dxa"/>
              <w:right w:w="60" w:type="dxa"/>
            </w:tcMar>
            <w:vAlign w:val="center"/>
          </w:tcPr>
          <w:p w14:paraId="0396C140">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WB</w:t>
            </w:r>
            <w:r>
              <w:rPr>
                <w:rFonts w:hint="eastAsia" w:ascii="Times New Roman" w:hAnsi="Times New Roman" w:eastAsia="宋体"/>
                <w:b w:val="0"/>
                <w:sz w:val="20"/>
                <w:szCs w:val="20"/>
                <w:lang w:val="en-US" w:eastAsia="zh-CN"/>
              </w:rPr>
              <w:t xml:space="preserve">; </w:t>
            </w:r>
            <w:r>
              <w:rPr>
                <w:rFonts w:ascii="Times New Roman" w:hAnsi="Times New Roman" w:eastAsia="Times New Roman"/>
                <w:b w:val="0"/>
                <w:sz w:val="20"/>
                <w:szCs w:val="20"/>
              </w:rPr>
              <w:t>IF</w:t>
            </w:r>
          </w:p>
        </w:tc>
        <w:tc>
          <w:tcPr>
            <w:tcW w:w="1817" w:type="dxa"/>
            <w:tcBorders>
              <w:top w:val="nil"/>
              <w:left w:val="nil"/>
              <w:bottom w:val="nil"/>
              <w:right w:val="nil"/>
            </w:tcBorders>
            <w:noWrap/>
            <w:tcMar>
              <w:top w:w="20" w:type="dxa"/>
              <w:left w:w="60" w:type="dxa"/>
              <w:bottom w:w="20" w:type="dxa"/>
              <w:right w:w="60" w:type="dxa"/>
            </w:tcMar>
            <w:vAlign w:val="center"/>
          </w:tcPr>
          <w:p w14:paraId="667431E2">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1:1000; 1:50</w:t>
            </w:r>
          </w:p>
        </w:tc>
      </w:tr>
      <w:tr w14:paraId="7325C0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5F3AB961">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eastAsia="宋体" w:cs="Times New Roman"/>
                <w:sz w:val="20"/>
                <w:szCs w:val="20"/>
                <w:lang w:val="en-US" w:eastAsia="zh-CN"/>
              </w:rPr>
            </w:pPr>
            <w:r>
              <w:rPr>
                <w:rFonts w:ascii="Times New Roman" w:hAnsi="Times New Roman" w:eastAsia="Times New Roman"/>
                <w:b w:val="0"/>
                <w:sz w:val="20"/>
                <w:szCs w:val="20"/>
              </w:rPr>
              <w:t>anti-</w:t>
            </w:r>
            <w:r>
              <w:rPr>
                <w:rFonts w:hint="eastAsia" w:ascii="Times New Roman" w:hAnsi="Times New Roman" w:eastAsia="宋体"/>
                <w:b w:val="0"/>
                <w:sz w:val="20"/>
                <w:szCs w:val="20"/>
                <w:lang w:val="en-US" w:eastAsia="zh-CN"/>
              </w:rPr>
              <w:t>p38</w:t>
            </w:r>
          </w:p>
        </w:tc>
        <w:tc>
          <w:tcPr>
            <w:tcW w:w="1777" w:type="dxa"/>
            <w:tcBorders>
              <w:top w:val="nil"/>
              <w:left w:val="nil"/>
              <w:bottom w:val="nil"/>
              <w:right w:val="nil"/>
            </w:tcBorders>
            <w:noWrap/>
            <w:tcMar>
              <w:top w:w="20" w:type="dxa"/>
              <w:left w:w="60" w:type="dxa"/>
              <w:bottom w:w="20" w:type="dxa"/>
              <w:right w:w="60" w:type="dxa"/>
            </w:tcMar>
            <w:vAlign w:val="center"/>
          </w:tcPr>
          <w:p w14:paraId="7FD6F9A1">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ABclonal</w:t>
            </w:r>
          </w:p>
        </w:tc>
        <w:tc>
          <w:tcPr>
            <w:tcW w:w="1495" w:type="dxa"/>
            <w:tcBorders>
              <w:top w:val="nil"/>
              <w:left w:val="nil"/>
              <w:bottom w:val="nil"/>
              <w:right w:val="nil"/>
            </w:tcBorders>
            <w:noWrap/>
            <w:tcMar>
              <w:top w:w="20" w:type="dxa"/>
              <w:left w:w="60" w:type="dxa"/>
              <w:bottom w:w="20" w:type="dxa"/>
              <w:right w:w="60" w:type="dxa"/>
            </w:tcMar>
            <w:vAlign w:val="center"/>
          </w:tcPr>
          <w:p w14:paraId="54CB6CC5">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hint="default" w:ascii="Times New Roman" w:hAnsi="Times New Roman" w:eastAsia="宋体" w:cs="Times New Roman"/>
                <w:sz w:val="20"/>
                <w:szCs w:val="20"/>
              </w:rPr>
              <w:t>A14401</w:t>
            </w:r>
          </w:p>
        </w:tc>
        <w:tc>
          <w:tcPr>
            <w:tcW w:w="1233" w:type="dxa"/>
            <w:tcBorders>
              <w:top w:val="nil"/>
              <w:left w:val="nil"/>
              <w:bottom w:val="nil"/>
              <w:right w:val="nil"/>
            </w:tcBorders>
            <w:noWrap/>
            <w:tcMar>
              <w:top w:w="20" w:type="dxa"/>
              <w:left w:w="60" w:type="dxa"/>
              <w:bottom w:w="20" w:type="dxa"/>
              <w:right w:w="60" w:type="dxa"/>
            </w:tcMar>
            <w:vAlign w:val="center"/>
          </w:tcPr>
          <w:p w14:paraId="5B414167">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WB</w:t>
            </w:r>
          </w:p>
        </w:tc>
        <w:tc>
          <w:tcPr>
            <w:tcW w:w="1817" w:type="dxa"/>
            <w:tcBorders>
              <w:top w:val="nil"/>
              <w:left w:val="nil"/>
              <w:bottom w:val="nil"/>
              <w:right w:val="nil"/>
            </w:tcBorders>
            <w:noWrap/>
            <w:tcMar>
              <w:top w:w="20" w:type="dxa"/>
              <w:left w:w="60" w:type="dxa"/>
              <w:bottom w:w="20" w:type="dxa"/>
              <w:right w:w="60" w:type="dxa"/>
            </w:tcMar>
            <w:vAlign w:val="center"/>
          </w:tcPr>
          <w:p w14:paraId="17BB8635">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1:800</w:t>
            </w:r>
          </w:p>
        </w:tc>
      </w:tr>
      <w:tr w14:paraId="0A30822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63792563">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anti-GAPDH</w:t>
            </w:r>
          </w:p>
        </w:tc>
        <w:tc>
          <w:tcPr>
            <w:tcW w:w="1777" w:type="dxa"/>
            <w:tcBorders>
              <w:top w:val="nil"/>
              <w:left w:val="nil"/>
              <w:bottom w:val="nil"/>
              <w:right w:val="nil"/>
            </w:tcBorders>
            <w:noWrap/>
            <w:tcMar>
              <w:top w:w="20" w:type="dxa"/>
              <w:left w:w="60" w:type="dxa"/>
              <w:bottom w:w="20" w:type="dxa"/>
              <w:right w:w="60" w:type="dxa"/>
            </w:tcMar>
            <w:vAlign w:val="center"/>
          </w:tcPr>
          <w:p w14:paraId="7751E284">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ABclonal</w:t>
            </w:r>
          </w:p>
        </w:tc>
        <w:tc>
          <w:tcPr>
            <w:tcW w:w="1495" w:type="dxa"/>
            <w:tcBorders>
              <w:top w:val="nil"/>
              <w:left w:val="nil"/>
              <w:bottom w:val="nil"/>
              <w:right w:val="nil"/>
            </w:tcBorders>
            <w:noWrap/>
            <w:tcMar>
              <w:top w:w="20" w:type="dxa"/>
              <w:left w:w="60" w:type="dxa"/>
              <w:bottom w:w="20" w:type="dxa"/>
              <w:right w:w="60" w:type="dxa"/>
            </w:tcMar>
            <w:vAlign w:val="center"/>
          </w:tcPr>
          <w:p w14:paraId="69263205">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A19056</w:t>
            </w:r>
          </w:p>
        </w:tc>
        <w:tc>
          <w:tcPr>
            <w:tcW w:w="1233" w:type="dxa"/>
            <w:tcBorders>
              <w:top w:val="nil"/>
              <w:left w:val="nil"/>
              <w:bottom w:val="nil"/>
              <w:right w:val="nil"/>
            </w:tcBorders>
            <w:noWrap/>
            <w:tcMar>
              <w:top w:w="20" w:type="dxa"/>
              <w:left w:w="60" w:type="dxa"/>
              <w:bottom w:w="20" w:type="dxa"/>
              <w:right w:w="60" w:type="dxa"/>
            </w:tcMar>
            <w:vAlign w:val="center"/>
          </w:tcPr>
          <w:p w14:paraId="4AB79124">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WB</w:t>
            </w:r>
          </w:p>
        </w:tc>
        <w:tc>
          <w:tcPr>
            <w:tcW w:w="1817" w:type="dxa"/>
            <w:tcBorders>
              <w:top w:val="nil"/>
              <w:left w:val="nil"/>
              <w:bottom w:val="nil"/>
              <w:right w:val="nil"/>
            </w:tcBorders>
            <w:noWrap/>
            <w:tcMar>
              <w:top w:w="20" w:type="dxa"/>
              <w:left w:w="60" w:type="dxa"/>
              <w:bottom w:w="20" w:type="dxa"/>
              <w:right w:w="60" w:type="dxa"/>
            </w:tcMar>
            <w:vAlign w:val="center"/>
          </w:tcPr>
          <w:p w14:paraId="67DE92A2">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1:150000</w:t>
            </w:r>
          </w:p>
        </w:tc>
      </w:tr>
      <w:tr w14:paraId="5F9A9B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07B9D8BA">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anti-ACT1</w:t>
            </w:r>
          </w:p>
        </w:tc>
        <w:tc>
          <w:tcPr>
            <w:tcW w:w="1777" w:type="dxa"/>
            <w:tcBorders>
              <w:top w:val="nil"/>
              <w:left w:val="nil"/>
              <w:bottom w:val="nil"/>
              <w:right w:val="nil"/>
            </w:tcBorders>
            <w:noWrap/>
            <w:tcMar>
              <w:top w:w="20" w:type="dxa"/>
              <w:left w:w="60" w:type="dxa"/>
              <w:bottom w:w="20" w:type="dxa"/>
              <w:right w:w="60" w:type="dxa"/>
            </w:tcMar>
            <w:vAlign w:val="center"/>
          </w:tcPr>
          <w:p w14:paraId="13C5AEE1">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ABclonal</w:t>
            </w:r>
          </w:p>
        </w:tc>
        <w:tc>
          <w:tcPr>
            <w:tcW w:w="1495" w:type="dxa"/>
            <w:tcBorders>
              <w:top w:val="nil"/>
              <w:left w:val="nil"/>
              <w:bottom w:val="nil"/>
              <w:right w:val="nil"/>
            </w:tcBorders>
            <w:noWrap/>
            <w:tcMar>
              <w:top w:w="20" w:type="dxa"/>
              <w:left w:w="60" w:type="dxa"/>
              <w:bottom w:w="20" w:type="dxa"/>
              <w:right w:w="60" w:type="dxa"/>
            </w:tcMar>
            <w:vAlign w:val="center"/>
          </w:tcPr>
          <w:p w14:paraId="56F95847">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A6776</w:t>
            </w:r>
          </w:p>
        </w:tc>
        <w:tc>
          <w:tcPr>
            <w:tcW w:w="1233" w:type="dxa"/>
            <w:tcBorders>
              <w:top w:val="nil"/>
              <w:left w:val="nil"/>
              <w:bottom w:val="nil"/>
              <w:right w:val="nil"/>
            </w:tcBorders>
            <w:noWrap/>
            <w:tcMar>
              <w:top w:w="20" w:type="dxa"/>
              <w:left w:w="60" w:type="dxa"/>
              <w:bottom w:w="20" w:type="dxa"/>
              <w:right w:w="60" w:type="dxa"/>
            </w:tcMar>
            <w:vAlign w:val="center"/>
          </w:tcPr>
          <w:p w14:paraId="4E7C236E">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WB</w:t>
            </w:r>
          </w:p>
        </w:tc>
        <w:tc>
          <w:tcPr>
            <w:tcW w:w="1817" w:type="dxa"/>
            <w:tcBorders>
              <w:top w:val="nil"/>
              <w:left w:val="nil"/>
              <w:bottom w:val="nil"/>
              <w:right w:val="nil"/>
            </w:tcBorders>
            <w:noWrap/>
            <w:tcMar>
              <w:top w:w="20" w:type="dxa"/>
              <w:left w:w="60" w:type="dxa"/>
              <w:bottom w:w="20" w:type="dxa"/>
              <w:right w:w="60" w:type="dxa"/>
            </w:tcMar>
            <w:vAlign w:val="center"/>
          </w:tcPr>
          <w:p w14:paraId="53BF5FA9">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1:800</w:t>
            </w:r>
          </w:p>
        </w:tc>
      </w:tr>
      <w:tr w14:paraId="5CD4BC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tcMar>
              <w:top w:w="20" w:type="dxa"/>
              <w:left w:w="60" w:type="dxa"/>
              <w:bottom w:w="20" w:type="dxa"/>
              <w:right w:w="60" w:type="dxa"/>
            </w:tcMar>
            <w:vAlign w:val="center"/>
          </w:tcPr>
          <w:p w14:paraId="22842253">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anti-IL-17RA</w:t>
            </w:r>
          </w:p>
        </w:tc>
        <w:tc>
          <w:tcPr>
            <w:tcW w:w="1777" w:type="dxa"/>
            <w:tcBorders>
              <w:top w:val="nil"/>
              <w:left w:val="nil"/>
              <w:bottom w:val="nil"/>
              <w:right w:val="nil"/>
            </w:tcBorders>
            <w:noWrap/>
            <w:tcMar>
              <w:top w:w="20" w:type="dxa"/>
              <w:left w:w="60" w:type="dxa"/>
              <w:bottom w:w="20" w:type="dxa"/>
              <w:right w:w="60" w:type="dxa"/>
            </w:tcMar>
            <w:vAlign w:val="center"/>
          </w:tcPr>
          <w:p w14:paraId="29826428">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sz w:val="20"/>
                <w:szCs w:val="20"/>
              </w:rPr>
            </w:pPr>
            <w:r>
              <w:rPr>
                <w:rFonts w:ascii="Times New Roman" w:hAnsi="Times New Roman" w:eastAsia="Times New Roman"/>
                <w:b w:val="0"/>
                <w:sz w:val="20"/>
                <w:szCs w:val="20"/>
              </w:rPr>
              <w:t>ABclonal</w:t>
            </w:r>
          </w:p>
        </w:tc>
        <w:tc>
          <w:tcPr>
            <w:tcW w:w="1495" w:type="dxa"/>
            <w:tcBorders>
              <w:top w:val="nil"/>
              <w:left w:val="nil"/>
              <w:bottom w:val="nil"/>
              <w:right w:val="nil"/>
            </w:tcBorders>
            <w:noWrap/>
            <w:tcMar>
              <w:top w:w="20" w:type="dxa"/>
              <w:left w:w="60" w:type="dxa"/>
              <w:bottom w:w="20" w:type="dxa"/>
              <w:right w:w="60" w:type="dxa"/>
            </w:tcMar>
            <w:vAlign w:val="center"/>
          </w:tcPr>
          <w:p w14:paraId="28F7164F">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A10052</w:t>
            </w:r>
          </w:p>
        </w:tc>
        <w:tc>
          <w:tcPr>
            <w:tcW w:w="1233" w:type="dxa"/>
            <w:tcBorders>
              <w:top w:val="nil"/>
              <w:left w:val="nil"/>
              <w:bottom w:val="nil"/>
              <w:right w:val="nil"/>
            </w:tcBorders>
            <w:noWrap/>
            <w:tcMar>
              <w:top w:w="20" w:type="dxa"/>
              <w:left w:w="60" w:type="dxa"/>
              <w:bottom w:w="20" w:type="dxa"/>
              <w:right w:w="60" w:type="dxa"/>
            </w:tcMar>
            <w:vAlign w:val="center"/>
          </w:tcPr>
          <w:p w14:paraId="43674B85">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sz w:val="20"/>
                <w:szCs w:val="20"/>
              </w:rPr>
            </w:pPr>
            <w:r>
              <w:rPr>
                <w:rFonts w:ascii="Times New Roman" w:hAnsi="Times New Roman" w:eastAsia="Times New Roman"/>
                <w:b w:val="0"/>
                <w:sz w:val="20"/>
                <w:szCs w:val="20"/>
              </w:rPr>
              <w:t>WB</w:t>
            </w:r>
          </w:p>
        </w:tc>
        <w:tc>
          <w:tcPr>
            <w:tcW w:w="1817" w:type="dxa"/>
            <w:tcBorders>
              <w:top w:val="nil"/>
              <w:left w:val="nil"/>
              <w:bottom w:val="nil"/>
              <w:right w:val="nil"/>
            </w:tcBorders>
            <w:noWrap/>
            <w:tcMar>
              <w:top w:w="20" w:type="dxa"/>
              <w:left w:w="60" w:type="dxa"/>
              <w:bottom w:w="20" w:type="dxa"/>
              <w:right w:w="60" w:type="dxa"/>
            </w:tcMar>
            <w:vAlign w:val="center"/>
          </w:tcPr>
          <w:p w14:paraId="2CF57EE8">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1:1000</w:t>
            </w:r>
          </w:p>
        </w:tc>
      </w:tr>
      <w:tr w14:paraId="7445F1B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shd w:val="clear" w:color="auto" w:fill="auto"/>
            <w:tcMar>
              <w:top w:w="20" w:type="dxa"/>
              <w:left w:w="60" w:type="dxa"/>
              <w:bottom w:w="20" w:type="dxa"/>
              <w:right w:w="60" w:type="dxa"/>
            </w:tcMar>
            <w:vAlign w:val="center"/>
          </w:tcPr>
          <w:p w14:paraId="338BA84D">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eastAsiaTheme="minorEastAsia"/>
                <w:kern w:val="2"/>
                <w:sz w:val="20"/>
                <w:szCs w:val="20"/>
                <w:lang w:val="en-US" w:eastAsia="zh-CN" w:bidi="ar-SA"/>
              </w:rPr>
              <w:t>APC Rabbit anti-Mouse CD86 mAb</w:t>
            </w:r>
          </w:p>
        </w:tc>
        <w:tc>
          <w:tcPr>
            <w:tcW w:w="1777" w:type="dxa"/>
            <w:tcBorders>
              <w:top w:val="nil"/>
              <w:left w:val="nil"/>
              <w:bottom w:val="nil"/>
              <w:right w:val="nil"/>
            </w:tcBorders>
            <w:shd w:val="clear" w:color="auto" w:fill="auto"/>
            <w:noWrap/>
            <w:tcMar>
              <w:top w:w="20" w:type="dxa"/>
              <w:left w:w="60" w:type="dxa"/>
              <w:bottom w:w="20" w:type="dxa"/>
              <w:right w:w="60" w:type="dxa"/>
            </w:tcMar>
            <w:vAlign w:val="center"/>
          </w:tcPr>
          <w:p w14:paraId="437AE9DB">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eastAsiaTheme="minorEastAsia"/>
                <w:kern w:val="2"/>
                <w:sz w:val="20"/>
                <w:szCs w:val="20"/>
                <w:lang w:val="en-US" w:eastAsia="zh-CN" w:bidi="ar-SA"/>
              </w:rPr>
            </w:pPr>
            <w:r>
              <w:rPr>
                <w:rFonts w:ascii="Times New Roman" w:hAnsi="Times New Roman" w:eastAsia="Times New Roman"/>
                <w:b w:val="0"/>
                <w:sz w:val="20"/>
                <w:szCs w:val="20"/>
              </w:rPr>
              <w:t>ABclonal</w:t>
            </w:r>
          </w:p>
        </w:tc>
        <w:tc>
          <w:tcPr>
            <w:tcW w:w="1495" w:type="dxa"/>
            <w:tcBorders>
              <w:top w:val="nil"/>
              <w:left w:val="nil"/>
              <w:bottom w:val="nil"/>
              <w:right w:val="nil"/>
            </w:tcBorders>
            <w:shd w:val="clear" w:color="auto" w:fill="auto"/>
            <w:noWrap/>
            <w:tcMar>
              <w:top w:w="20" w:type="dxa"/>
              <w:left w:w="60" w:type="dxa"/>
              <w:bottom w:w="20" w:type="dxa"/>
              <w:right w:w="60" w:type="dxa"/>
            </w:tcMar>
            <w:vAlign w:val="center"/>
          </w:tcPr>
          <w:p w14:paraId="2C944419">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kern w:val="2"/>
                <w:sz w:val="20"/>
                <w:szCs w:val="20"/>
                <w:lang w:val="en-US" w:eastAsia="zh-CN" w:bidi="ar-SA"/>
              </w:rPr>
            </w:pPr>
            <w:r>
              <w:rPr>
                <w:rFonts w:hint="eastAsia" w:ascii="Times New Roman" w:hAnsi="Times New Roman" w:cs="Times New Roman"/>
                <w:kern w:val="2"/>
                <w:sz w:val="20"/>
                <w:szCs w:val="20"/>
                <w:lang w:val="en-US" w:eastAsia="zh-CN" w:bidi="ar-SA"/>
              </w:rPr>
              <w:t>A25824</w:t>
            </w:r>
          </w:p>
        </w:tc>
        <w:tc>
          <w:tcPr>
            <w:tcW w:w="1233" w:type="dxa"/>
            <w:tcBorders>
              <w:top w:val="nil"/>
              <w:left w:val="nil"/>
              <w:bottom w:val="nil"/>
              <w:right w:val="nil"/>
            </w:tcBorders>
            <w:shd w:val="clear" w:color="auto" w:fill="auto"/>
            <w:noWrap/>
            <w:tcMar>
              <w:top w:w="20" w:type="dxa"/>
              <w:left w:w="60" w:type="dxa"/>
              <w:bottom w:w="20" w:type="dxa"/>
              <w:right w:w="60" w:type="dxa"/>
            </w:tcMar>
            <w:vAlign w:val="center"/>
          </w:tcPr>
          <w:p w14:paraId="4AB8318F">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kern w:val="2"/>
                <w:sz w:val="20"/>
                <w:szCs w:val="20"/>
                <w:lang w:val="en-US" w:eastAsia="zh-CN" w:bidi="ar-SA"/>
              </w:rPr>
            </w:pPr>
            <w:r>
              <w:rPr>
                <w:rFonts w:hint="eastAsia" w:ascii="Times New Roman" w:hAnsi="Times New Roman" w:cs="Times New Roman"/>
                <w:kern w:val="2"/>
                <w:sz w:val="20"/>
                <w:szCs w:val="20"/>
                <w:lang w:val="en-US" w:eastAsia="zh-CN" w:bidi="ar-SA"/>
              </w:rPr>
              <w:t>FC</w:t>
            </w:r>
          </w:p>
        </w:tc>
        <w:tc>
          <w:tcPr>
            <w:tcW w:w="1817" w:type="dxa"/>
            <w:tcBorders>
              <w:top w:val="nil"/>
              <w:left w:val="nil"/>
              <w:bottom w:val="nil"/>
              <w:right w:val="nil"/>
            </w:tcBorders>
            <w:shd w:val="clear" w:color="auto" w:fill="auto"/>
            <w:noWrap/>
            <w:tcMar>
              <w:top w:w="20" w:type="dxa"/>
              <w:left w:w="60" w:type="dxa"/>
              <w:bottom w:w="20" w:type="dxa"/>
              <w:right w:w="60" w:type="dxa"/>
            </w:tcMar>
            <w:vAlign w:val="center"/>
          </w:tcPr>
          <w:p w14:paraId="0A1BE64F">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eastAsiaTheme="minorEastAsia"/>
                <w:kern w:val="2"/>
                <w:sz w:val="20"/>
                <w:szCs w:val="20"/>
                <w:lang w:val="en-US" w:eastAsia="zh-CN" w:bidi="ar-SA"/>
              </w:rPr>
              <w:t>5 μl per 10^6 cells</w:t>
            </w:r>
          </w:p>
        </w:tc>
      </w:tr>
      <w:tr w14:paraId="33757A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60" w:type="dxa"/>
            <w:tcBorders>
              <w:top w:val="nil"/>
              <w:left w:val="nil"/>
              <w:bottom w:val="nil"/>
              <w:right w:val="nil"/>
            </w:tcBorders>
            <w:shd w:val="clear" w:color="auto" w:fill="auto"/>
            <w:tcMar>
              <w:top w:w="20" w:type="dxa"/>
              <w:left w:w="60" w:type="dxa"/>
              <w:bottom w:w="20" w:type="dxa"/>
              <w:right w:w="60" w:type="dxa"/>
            </w:tcMar>
            <w:vAlign w:val="center"/>
          </w:tcPr>
          <w:p w14:paraId="01BF35DD">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eastAsiaTheme="minorEastAsia"/>
                <w:kern w:val="2"/>
                <w:sz w:val="20"/>
                <w:szCs w:val="20"/>
                <w:lang w:val="en-US" w:eastAsia="zh-CN" w:bidi="ar-SA"/>
              </w:rPr>
            </w:pPr>
            <w:r>
              <w:rPr>
                <w:rFonts w:ascii="Times New Roman" w:hAnsi="Times New Roman" w:eastAsia="Times New Roman"/>
                <w:b w:val="0"/>
                <w:sz w:val="20"/>
                <w:szCs w:val="20"/>
              </w:rPr>
              <w:t>ABflo® 488-conjugated Goat anti-Rabbit IgG (H+L)</w:t>
            </w:r>
          </w:p>
        </w:tc>
        <w:tc>
          <w:tcPr>
            <w:tcW w:w="1777" w:type="dxa"/>
            <w:tcBorders>
              <w:top w:val="nil"/>
              <w:left w:val="nil"/>
              <w:bottom w:val="nil"/>
              <w:right w:val="nil"/>
            </w:tcBorders>
            <w:shd w:val="clear" w:color="auto" w:fill="auto"/>
            <w:noWrap/>
            <w:tcMar>
              <w:top w:w="20" w:type="dxa"/>
              <w:left w:w="60" w:type="dxa"/>
              <w:bottom w:w="20" w:type="dxa"/>
              <w:right w:w="60" w:type="dxa"/>
            </w:tcMar>
            <w:vAlign w:val="center"/>
          </w:tcPr>
          <w:p w14:paraId="4D5FCF04">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eastAsiaTheme="minorEastAsia"/>
                <w:kern w:val="2"/>
                <w:sz w:val="20"/>
                <w:szCs w:val="20"/>
                <w:lang w:val="en-US" w:eastAsia="zh-CN" w:bidi="ar-SA"/>
              </w:rPr>
            </w:pPr>
            <w:r>
              <w:rPr>
                <w:rFonts w:ascii="Times New Roman" w:hAnsi="Times New Roman" w:eastAsia="Times New Roman"/>
                <w:b w:val="0"/>
                <w:sz w:val="20"/>
                <w:szCs w:val="20"/>
              </w:rPr>
              <w:t>ABclonal</w:t>
            </w:r>
          </w:p>
        </w:tc>
        <w:tc>
          <w:tcPr>
            <w:tcW w:w="1495" w:type="dxa"/>
            <w:tcBorders>
              <w:top w:val="nil"/>
              <w:left w:val="nil"/>
              <w:bottom w:val="nil"/>
              <w:right w:val="nil"/>
            </w:tcBorders>
            <w:shd w:val="clear" w:color="auto" w:fill="auto"/>
            <w:noWrap/>
            <w:tcMar>
              <w:top w:w="20" w:type="dxa"/>
              <w:left w:w="60" w:type="dxa"/>
              <w:bottom w:w="20" w:type="dxa"/>
              <w:right w:w="60" w:type="dxa"/>
            </w:tcMar>
            <w:vAlign w:val="center"/>
          </w:tcPr>
          <w:p w14:paraId="135DE22B">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kern w:val="2"/>
                <w:sz w:val="20"/>
                <w:szCs w:val="20"/>
                <w:lang w:val="en-US" w:eastAsia="zh-CN" w:bidi="ar-SA"/>
              </w:rPr>
            </w:pPr>
            <w:r>
              <w:rPr>
                <w:rFonts w:ascii="Times New Roman" w:hAnsi="Times New Roman" w:eastAsia="Times New Roman"/>
                <w:b w:val="0"/>
                <w:sz w:val="20"/>
                <w:szCs w:val="20"/>
              </w:rPr>
              <w:t>AS053</w:t>
            </w:r>
          </w:p>
        </w:tc>
        <w:tc>
          <w:tcPr>
            <w:tcW w:w="1233" w:type="dxa"/>
            <w:tcBorders>
              <w:top w:val="nil"/>
              <w:left w:val="nil"/>
              <w:bottom w:val="nil"/>
              <w:right w:val="nil"/>
            </w:tcBorders>
            <w:shd w:val="clear" w:color="auto" w:fill="auto"/>
            <w:noWrap/>
            <w:tcMar>
              <w:top w:w="20" w:type="dxa"/>
              <w:left w:w="60" w:type="dxa"/>
              <w:bottom w:w="20" w:type="dxa"/>
              <w:right w:w="60" w:type="dxa"/>
            </w:tcMar>
            <w:vAlign w:val="center"/>
          </w:tcPr>
          <w:p w14:paraId="074EFE47">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kern w:val="2"/>
                <w:sz w:val="20"/>
                <w:szCs w:val="20"/>
                <w:lang w:val="en-US" w:eastAsia="zh-CN" w:bidi="ar-SA"/>
              </w:rPr>
            </w:pPr>
            <w:r>
              <w:rPr>
                <w:rFonts w:ascii="Times New Roman" w:hAnsi="Times New Roman" w:eastAsia="Times New Roman"/>
                <w:b w:val="0"/>
                <w:sz w:val="20"/>
                <w:szCs w:val="20"/>
              </w:rPr>
              <w:t>IF</w:t>
            </w:r>
          </w:p>
        </w:tc>
        <w:tc>
          <w:tcPr>
            <w:tcW w:w="1817" w:type="dxa"/>
            <w:tcBorders>
              <w:top w:val="nil"/>
              <w:left w:val="nil"/>
              <w:bottom w:val="nil"/>
              <w:right w:val="nil"/>
            </w:tcBorders>
            <w:shd w:val="clear" w:color="auto" w:fill="auto"/>
            <w:noWrap/>
            <w:tcMar>
              <w:top w:w="20" w:type="dxa"/>
              <w:left w:w="60" w:type="dxa"/>
              <w:bottom w:w="20" w:type="dxa"/>
              <w:right w:w="60" w:type="dxa"/>
            </w:tcMar>
            <w:vAlign w:val="center"/>
          </w:tcPr>
          <w:p w14:paraId="3C94333A">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kern w:val="2"/>
                <w:sz w:val="20"/>
                <w:szCs w:val="20"/>
                <w:lang w:val="en-US" w:eastAsia="zh-CN" w:bidi="ar-SA"/>
              </w:rPr>
            </w:pPr>
            <w:r>
              <w:rPr>
                <w:rFonts w:hint="eastAsia" w:ascii="Times New Roman" w:hAnsi="Times New Roman" w:cs="Times New Roman"/>
                <w:kern w:val="2"/>
                <w:sz w:val="20"/>
                <w:szCs w:val="20"/>
                <w:lang w:val="en-US" w:eastAsia="zh-CN" w:bidi="ar-SA"/>
              </w:rPr>
              <w:t>1:200</w:t>
            </w:r>
          </w:p>
        </w:tc>
      </w:tr>
      <w:tr w14:paraId="33DD47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2960" w:type="dxa"/>
            <w:tcBorders>
              <w:top w:val="nil"/>
              <w:left w:val="nil"/>
              <w:bottom w:val="nil"/>
              <w:right w:val="nil"/>
            </w:tcBorders>
            <w:shd w:val="clear" w:color="auto" w:fill="auto"/>
            <w:tcMar>
              <w:top w:w="20" w:type="dxa"/>
              <w:left w:w="60" w:type="dxa"/>
              <w:bottom w:w="20" w:type="dxa"/>
              <w:right w:w="60" w:type="dxa"/>
            </w:tcMar>
            <w:vAlign w:val="center"/>
          </w:tcPr>
          <w:p w14:paraId="7883F7FB">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eastAsiaTheme="minorEastAsia"/>
                <w:kern w:val="2"/>
                <w:sz w:val="20"/>
                <w:szCs w:val="20"/>
                <w:lang w:val="en-US" w:eastAsia="zh-CN" w:bidi="ar-SA"/>
              </w:rPr>
            </w:pPr>
            <w:r>
              <w:rPr>
                <w:rFonts w:ascii="Times New Roman" w:hAnsi="Times New Roman" w:eastAsia="Times New Roman"/>
                <w:b w:val="0"/>
                <w:sz w:val="20"/>
                <w:szCs w:val="20"/>
              </w:rPr>
              <w:t>ABflo® 594-conjugated Goat anti-Rabbit IgG (H+L)</w:t>
            </w:r>
          </w:p>
        </w:tc>
        <w:tc>
          <w:tcPr>
            <w:tcW w:w="1777" w:type="dxa"/>
            <w:tcBorders>
              <w:top w:val="nil"/>
              <w:left w:val="nil"/>
              <w:bottom w:val="nil"/>
              <w:right w:val="nil"/>
            </w:tcBorders>
            <w:shd w:val="clear" w:color="auto" w:fill="auto"/>
            <w:noWrap/>
            <w:tcMar>
              <w:top w:w="20" w:type="dxa"/>
              <w:left w:w="60" w:type="dxa"/>
              <w:bottom w:w="20" w:type="dxa"/>
              <w:right w:w="60" w:type="dxa"/>
            </w:tcMar>
            <w:vAlign w:val="center"/>
          </w:tcPr>
          <w:p w14:paraId="4762F959">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default" w:ascii="Times New Roman" w:hAnsi="Times New Roman" w:cs="Times New Roman" w:eastAsiaTheme="minorEastAsia"/>
                <w:kern w:val="2"/>
                <w:sz w:val="20"/>
                <w:szCs w:val="20"/>
                <w:lang w:val="en-US" w:eastAsia="zh-CN" w:bidi="ar-SA"/>
              </w:rPr>
            </w:pPr>
            <w:r>
              <w:rPr>
                <w:rFonts w:ascii="Times New Roman" w:hAnsi="Times New Roman" w:eastAsia="Times New Roman"/>
                <w:b w:val="0"/>
                <w:sz w:val="20"/>
                <w:szCs w:val="20"/>
              </w:rPr>
              <w:t>ABclonal</w:t>
            </w:r>
          </w:p>
        </w:tc>
        <w:tc>
          <w:tcPr>
            <w:tcW w:w="1495" w:type="dxa"/>
            <w:tcBorders>
              <w:top w:val="nil"/>
              <w:left w:val="nil"/>
              <w:bottom w:val="nil"/>
              <w:right w:val="nil"/>
            </w:tcBorders>
            <w:shd w:val="clear" w:color="auto" w:fill="auto"/>
            <w:noWrap/>
            <w:tcMar>
              <w:top w:w="20" w:type="dxa"/>
              <w:left w:w="60" w:type="dxa"/>
              <w:bottom w:w="20" w:type="dxa"/>
              <w:right w:w="60" w:type="dxa"/>
            </w:tcMar>
            <w:vAlign w:val="center"/>
          </w:tcPr>
          <w:p w14:paraId="495221D4">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kern w:val="2"/>
                <w:sz w:val="20"/>
                <w:szCs w:val="20"/>
                <w:lang w:val="en-US" w:eastAsia="zh-CN" w:bidi="ar-SA"/>
              </w:rPr>
            </w:pPr>
            <w:r>
              <w:rPr>
                <w:rFonts w:ascii="Times New Roman" w:hAnsi="Times New Roman" w:eastAsia="Times New Roman"/>
                <w:b w:val="0"/>
                <w:sz w:val="20"/>
                <w:szCs w:val="20"/>
              </w:rPr>
              <w:t>AS039</w:t>
            </w:r>
          </w:p>
        </w:tc>
        <w:tc>
          <w:tcPr>
            <w:tcW w:w="1233" w:type="dxa"/>
            <w:tcBorders>
              <w:top w:val="nil"/>
              <w:left w:val="nil"/>
              <w:bottom w:val="nil"/>
              <w:right w:val="nil"/>
            </w:tcBorders>
            <w:shd w:val="clear" w:color="auto" w:fill="auto"/>
            <w:noWrap/>
            <w:tcMar>
              <w:top w:w="20" w:type="dxa"/>
              <w:left w:w="60" w:type="dxa"/>
              <w:bottom w:w="20" w:type="dxa"/>
              <w:right w:w="60" w:type="dxa"/>
            </w:tcMar>
            <w:vAlign w:val="center"/>
          </w:tcPr>
          <w:p w14:paraId="034AAEA1">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kern w:val="2"/>
                <w:sz w:val="20"/>
                <w:szCs w:val="20"/>
                <w:lang w:val="en-US" w:eastAsia="zh-CN" w:bidi="ar-SA"/>
              </w:rPr>
            </w:pPr>
            <w:r>
              <w:rPr>
                <w:rFonts w:ascii="Times New Roman" w:hAnsi="Times New Roman" w:eastAsia="Times New Roman"/>
                <w:b w:val="0"/>
                <w:sz w:val="20"/>
                <w:szCs w:val="20"/>
              </w:rPr>
              <w:t>IF</w:t>
            </w:r>
          </w:p>
        </w:tc>
        <w:tc>
          <w:tcPr>
            <w:tcW w:w="1817" w:type="dxa"/>
            <w:tcBorders>
              <w:top w:val="nil"/>
              <w:left w:val="nil"/>
              <w:bottom w:val="nil"/>
              <w:right w:val="nil"/>
            </w:tcBorders>
            <w:shd w:val="clear" w:color="auto" w:fill="auto"/>
            <w:noWrap/>
            <w:tcMar>
              <w:top w:w="20" w:type="dxa"/>
              <w:left w:w="60" w:type="dxa"/>
              <w:bottom w:w="20" w:type="dxa"/>
              <w:right w:w="60" w:type="dxa"/>
            </w:tcMar>
            <w:vAlign w:val="center"/>
          </w:tcPr>
          <w:p w14:paraId="2FDC5902">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eastAsiaTheme="minorEastAsia"/>
                <w:kern w:val="2"/>
                <w:sz w:val="20"/>
                <w:szCs w:val="20"/>
                <w:lang w:val="en-US" w:eastAsia="zh-CN" w:bidi="ar-SA"/>
              </w:rPr>
            </w:pPr>
            <w:r>
              <w:rPr>
                <w:rFonts w:hint="eastAsia" w:ascii="Times New Roman" w:hAnsi="Times New Roman" w:cs="Times New Roman"/>
                <w:kern w:val="2"/>
                <w:sz w:val="20"/>
                <w:szCs w:val="20"/>
                <w:lang w:val="en-US" w:eastAsia="zh-CN" w:bidi="ar-SA"/>
              </w:rPr>
              <w:t>1:100</w:t>
            </w:r>
          </w:p>
        </w:tc>
      </w:tr>
      <w:tr w14:paraId="21BFC22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2960" w:type="dxa"/>
            <w:tcBorders>
              <w:top w:val="nil"/>
              <w:left w:val="nil"/>
              <w:bottom w:val="single" w:color="000000" w:sz="12" w:space="0"/>
              <w:right w:val="nil"/>
            </w:tcBorders>
            <w:shd w:val="clear" w:color="auto" w:fill="auto"/>
            <w:tcMar>
              <w:top w:w="20" w:type="dxa"/>
              <w:left w:w="60" w:type="dxa"/>
              <w:bottom w:w="20" w:type="dxa"/>
              <w:right w:w="60" w:type="dxa"/>
            </w:tcMar>
            <w:vAlign w:val="center"/>
          </w:tcPr>
          <w:p w14:paraId="435E16E2">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ascii="Times New Roman" w:hAnsi="Times New Roman" w:eastAsia="Times New Roman"/>
                <w:b w:val="0"/>
                <w:sz w:val="20"/>
                <w:szCs w:val="20"/>
              </w:rPr>
            </w:pPr>
            <w:r>
              <w:rPr>
                <w:rFonts w:hint="eastAsia" w:ascii="Times New Roman" w:hAnsi="Times New Roman" w:eastAsia="Times New Roman"/>
                <w:b w:val="0"/>
                <w:sz w:val="20"/>
                <w:szCs w:val="20"/>
              </w:rPr>
              <w:t>AbBy Fluor® 594-conjugated Goat Anti-Rat IgG (H+L)</w:t>
            </w:r>
          </w:p>
        </w:tc>
        <w:tc>
          <w:tcPr>
            <w:tcW w:w="1777" w:type="dxa"/>
            <w:tcBorders>
              <w:top w:val="nil"/>
              <w:left w:val="nil"/>
              <w:bottom w:val="single" w:color="000000" w:sz="12" w:space="0"/>
              <w:right w:val="nil"/>
            </w:tcBorders>
            <w:shd w:val="clear" w:color="auto" w:fill="auto"/>
            <w:noWrap/>
            <w:tcMar>
              <w:top w:w="20" w:type="dxa"/>
              <w:left w:w="60" w:type="dxa"/>
              <w:bottom w:w="20" w:type="dxa"/>
              <w:right w:w="60" w:type="dxa"/>
            </w:tcMar>
            <w:vAlign w:val="center"/>
          </w:tcPr>
          <w:p w14:paraId="7EEF591C">
            <w:pPr>
              <w:keepNext w:val="0"/>
              <w:keepLines w:val="0"/>
              <w:pageBreakBefore w:val="0"/>
              <w:kinsoku/>
              <w:wordWrap/>
              <w:overflowPunct/>
              <w:topLinePunct w:val="0"/>
              <w:autoSpaceDE/>
              <w:autoSpaceDN/>
              <w:bidi w:val="0"/>
              <w:adjustRightInd/>
              <w:snapToGrid/>
              <w:spacing w:before="0" w:after="0" w:line="360" w:lineRule="auto"/>
              <w:jc w:val="left"/>
              <w:textAlignment w:val="auto"/>
              <w:rPr>
                <w:rFonts w:hint="eastAsia" w:ascii="Times New Roman" w:hAnsi="Times New Roman" w:eastAsia="宋体"/>
                <w:b w:val="0"/>
                <w:sz w:val="20"/>
                <w:szCs w:val="20"/>
                <w:lang w:val="en-US" w:eastAsia="zh-CN"/>
              </w:rPr>
            </w:pPr>
            <w:r>
              <w:rPr>
                <w:rFonts w:hint="eastAsia" w:ascii="Times New Roman" w:hAnsi="Times New Roman" w:eastAsia="Times New Roman"/>
                <w:b w:val="0"/>
                <w:sz w:val="20"/>
                <w:szCs w:val="20"/>
              </w:rPr>
              <w:t>Bioss</w:t>
            </w:r>
            <w:r>
              <w:rPr>
                <w:rFonts w:hint="eastAsia" w:ascii="Times New Roman" w:hAnsi="Times New Roman" w:eastAsia="宋体"/>
                <w:b w:val="0"/>
                <w:sz w:val="20"/>
                <w:szCs w:val="20"/>
                <w:lang w:val="en-US" w:eastAsia="zh-CN"/>
              </w:rPr>
              <w:t xml:space="preserve"> (Beijing, China)</w:t>
            </w:r>
          </w:p>
        </w:tc>
        <w:tc>
          <w:tcPr>
            <w:tcW w:w="1495" w:type="dxa"/>
            <w:tcBorders>
              <w:top w:val="nil"/>
              <w:left w:val="nil"/>
              <w:bottom w:val="single" w:color="000000" w:sz="12" w:space="0"/>
              <w:right w:val="nil"/>
            </w:tcBorders>
            <w:shd w:val="clear" w:color="auto" w:fill="auto"/>
            <w:noWrap/>
            <w:tcMar>
              <w:top w:w="20" w:type="dxa"/>
              <w:left w:w="60" w:type="dxa"/>
              <w:bottom w:w="20" w:type="dxa"/>
              <w:right w:w="60" w:type="dxa"/>
            </w:tcMar>
            <w:vAlign w:val="center"/>
          </w:tcPr>
          <w:p w14:paraId="3928AE5E">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ascii="Times New Roman" w:hAnsi="Times New Roman" w:eastAsia="Times New Roman"/>
                <w:b w:val="0"/>
                <w:sz w:val="20"/>
                <w:szCs w:val="20"/>
              </w:rPr>
            </w:pPr>
            <w:r>
              <w:rPr>
                <w:rFonts w:hint="eastAsia" w:ascii="Times New Roman" w:hAnsi="Times New Roman" w:eastAsia="Times New Roman"/>
                <w:b w:val="0"/>
                <w:sz w:val="20"/>
                <w:szCs w:val="20"/>
              </w:rPr>
              <w:t>bs-0293G-BF594</w:t>
            </w:r>
          </w:p>
        </w:tc>
        <w:tc>
          <w:tcPr>
            <w:tcW w:w="1233" w:type="dxa"/>
            <w:tcBorders>
              <w:top w:val="nil"/>
              <w:left w:val="nil"/>
              <w:bottom w:val="single" w:color="000000" w:sz="12" w:space="0"/>
              <w:right w:val="nil"/>
            </w:tcBorders>
            <w:shd w:val="clear" w:color="auto" w:fill="auto"/>
            <w:noWrap/>
            <w:tcMar>
              <w:top w:w="20" w:type="dxa"/>
              <w:left w:w="60" w:type="dxa"/>
              <w:bottom w:w="20" w:type="dxa"/>
              <w:right w:w="60" w:type="dxa"/>
            </w:tcMar>
            <w:vAlign w:val="center"/>
          </w:tcPr>
          <w:p w14:paraId="44561E7F">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eastAsia="宋体"/>
                <w:b w:val="0"/>
                <w:sz w:val="20"/>
                <w:szCs w:val="20"/>
                <w:lang w:val="en-US" w:eastAsia="zh-CN"/>
              </w:rPr>
            </w:pPr>
            <w:r>
              <w:rPr>
                <w:rFonts w:hint="eastAsia" w:ascii="Times New Roman" w:hAnsi="Times New Roman" w:eastAsia="宋体"/>
                <w:b w:val="0"/>
                <w:sz w:val="20"/>
                <w:szCs w:val="20"/>
                <w:lang w:val="en-US" w:eastAsia="zh-CN"/>
              </w:rPr>
              <w:t>IF</w:t>
            </w:r>
          </w:p>
        </w:tc>
        <w:tc>
          <w:tcPr>
            <w:tcW w:w="1817" w:type="dxa"/>
            <w:tcBorders>
              <w:top w:val="nil"/>
              <w:left w:val="nil"/>
              <w:bottom w:val="single" w:color="000000" w:sz="12" w:space="0"/>
              <w:right w:val="nil"/>
            </w:tcBorders>
            <w:shd w:val="clear" w:color="auto" w:fill="auto"/>
            <w:noWrap/>
            <w:tcMar>
              <w:top w:w="20" w:type="dxa"/>
              <w:left w:w="60" w:type="dxa"/>
              <w:bottom w:w="20" w:type="dxa"/>
              <w:right w:w="60" w:type="dxa"/>
            </w:tcMar>
            <w:vAlign w:val="center"/>
          </w:tcPr>
          <w:p w14:paraId="33BCAFAD">
            <w:pPr>
              <w:keepNext w:val="0"/>
              <w:keepLines w:val="0"/>
              <w:pageBreakBefore w:val="0"/>
              <w:kinsoku/>
              <w:wordWrap/>
              <w:overflowPunct/>
              <w:topLinePunct w:val="0"/>
              <w:autoSpaceDE/>
              <w:autoSpaceDN/>
              <w:bidi w:val="0"/>
              <w:adjustRightInd/>
              <w:snapToGrid/>
              <w:spacing w:before="0" w:after="0" w:line="360" w:lineRule="auto"/>
              <w:jc w:val="center"/>
              <w:textAlignment w:val="auto"/>
              <w:rPr>
                <w:rFonts w:hint="default" w:ascii="Times New Roman" w:hAnsi="Times New Roman" w:cs="Times New Roman"/>
                <w:kern w:val="2"/>
                <w:sz w:val="20"/>
                <w:szCs w:val="20"/>
                <w:lang w:val="en-US" w:eastAsia="zh-CN" w:bidi="ar-SA"/>
              </w:rPr>
            </w:pPr>
            <w:r>
              <w:rPr>
                <w:rFonts w:hint="eastAsia" w:ascii="Times New Roman" w:hAnsi="Times New Roman" w:cs="Times New Roman"/>
                <w:kern w:val="2"/>
                <w:sz w:val="20"/>
                <w:szCs w:val="20"/>
                <w:lang w:val="en-US" w:eastAsia="zh-CN" w:bidi="ar-SA"/>
              </w:rPr>
              <w:t>1:500</w:t>
            </w:r>
          </w:p>
        </w:tc>
      </w:tr>
    </w:tbl>
    <w:p w14:paraId="2A94857D">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Times New Roman"/>
          <w:b/>
          <w:color w:val="0070C0"/>
          <w:sz w:val="22"/>
        </w:rPr>
      </w:pPr>
      <w:r>
        <w:rPr>
          <w:rFonts w:ascii="Times New Roman" w:hAnsi="Times New Roman" w:eastAsia="Times New Roman"/>
          <w:b/>
          <w:color w:val="0070C0"/>
          <w:sz w:val="22"/>
        </w:rPr>
        <w:br w:type="page"/>
      </w:r>
    </w:p>
    <w:p w14:paraId="71F505C5">
      <w:pPr>
        <w:jc w:val="left"/>
        <w:rPr>
          <w:rFonts w:ascii="Times New Roman" w:hAnsi="Times New Roman" w:eastAsia="Times New Roman"/>
          <w:b/>
          <w:color w:val="auto"/>
          <w:sz w:val="24"/>
          <w:szCs w:val="24"/>
        </w:rPr>
      </w:pPr>
      <w:r>
        <w:rPr>
          <w:rFonts w:ascii="Times New Roman" w:hAnsi="Times New Roman" w:eastAsia="Times New Roman"/>
          <w:b/>
          <w:color w:val="auto"/>
          <w:sz w:val="24"/>
          <w:szCs w:val="24"/>
        </w:rPr>
        <w:t>Table S</w:t>
      </w:r>
      <w:r>
        <w:rPr>
          <w:rFonts w:hint="eastAsia" w:ascii="Times New Roman" w:hAnsi="Times New Roman" w:eastAsia="宋体"/>
          <w:b/>
          <w:color w:val="auto"/>
          <w:sz w:val="24"/>
          <w:szCs w:val="24"/>
          <w:lang w:val="en-US" w:eastAsia="zh-CN"/>
        </w:rPr>
        <w:t>2</w:t>
      </w:r>
      <w:r>
        <w:rPr>
          <w:rFonts w:ascii="Times New Roman" w:hAnsi="Times New Roman" w:eastAsia="Times New Roman"/>
          <w:b/>
          <w:color w:val="auto"/>
          <w:sz w:val="24"/>
          <w:szCs w:val="24"/>
        </w:rPr>
        <w:t>. Histopathological scoring criteria</w:t>
      </w:r>
    </w:p>
    <w:p w14:paraId="4E3C4E54">
      <w:pPr>
        <w:jc w:val="left"/>
        <w:rPr>
          <w:rFonts w:ascii="Times New Roman" w:hAnsi="Times New Roman" w:eastAsia="Times New Roman"/>
          <w:b/>
          <w:color w:val="0070C0"/>
          <w:sz w:val="22"/>
        </w:rPr>
      </w:pPr>
    </w:p>
    <w:tbl>
      <w:tblPr>
        <w:tblStyle w:val="7"/>
        <w:tblW w:w="9241" w:type="dxa"/>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25"/>
        <w:gridCol w:w="7816"/>
      </w:tblGrid>
      <w:tr w14:paraId="6C413D8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1425" w:type="dxa"/>
            <w:tcBorders>
              <w:bottom w:val="single" w:color="000000" w:sz="8" w:space="0"/>
              <w:insideH w:val="nil"/>
              <w:insideV w:val="nil"/>
            </w:tcBorders>
            <w:tcMar>
              <w:top w:w="90" w:type="dxa"/>
              <w:left w:w="80" w:type="dxa"/>
              <w:bottom w:w="90" w:type="dxa"/>
              <w:right w:w="80" w:type="dxa"/>
            </w:tcMar>
            <w:vAlign w:val="center"/>
          </w:tcPr>
          <w:p w14:paraId="51E1D514">
            <w:pPr>
              <w:jc w:val="center"/>
              <w:rPr>
                <w:sz w:val="20"/>
                <w:szCs w:val="20"/>
              </w:rPr>
            </w:pPr>
            <w:r>
              <w:rPr>
                <w:rFonts w:ascii="Times New Roman" w:hAnsi="Times New Roman" w:eastAsia="Times New Roman"/>
                <w:b/>
                <w:sz w:val="20"/>
                <w:szCs w:val="20"/>
              </w:rPr>
              <w:t>Score</w:t>
            </w:r>
          </w:p>
        </w:tc>
        <w:tc>
          <w:tcPr>
            <w:tcW w:w="7816" w:type="dxa"/>
            <w:tcBorders>
              <w:bottom w:val="single" w:color="000000" w:sz="8" w:space="0"/>
              <w:insideH w:val="nil"/>
              <w:insideV w:val="nil"/>
            </w:tcBorders>
            <w:tcMar>
              <w:top w:w="90" w:type="dxa"/>
              <w:left w:w="80" w:type="dxa"/>
              <w:bottom w:w="90" w:type="dxa"/>
              <w:right w:w="80" w:type="dxa"/>
            </w:tcMar>
            <w:vAlign w:val="center"/>
          </w:tcPr>
          <w:p w14:paraId="3C042BFF">
            <w:pPr>
              <w:jc w:val="left"/>
              <w:rPr>
                <w:sz w:val="20"/>
                <w:szCs w:val="20"/>
              </w:rPr>
            </w:pPr>
            <w:r>
              <w:rPr>
                <w:rFonts w:ascii="Times New Roman" w:hAnsi="Times New Roman" w:eastAsia="Times New Roman"/>
                <w:b/>
                <w:sz w:val="20"/>
                <w:szCs w:val="20"/>
              </w:rPr>
              <w:t>Histopathological criteria</w:t>
            </w:r>
          </w:p>
        </w:tc>
      </w:tr>
      <w:tr w14:paraId="6CF2D2D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25" w:type="dxa"/>
            <w:tcBorders>
              <w:top w:val="single" w:color="000000" w:sz="8" w:space="0"/>
              <w:insideH w:val="nil"/>
              <w:insideV w:val="nil"/>
              <w:tl2br w:val="nil"/>
              <w:tr2bl w:val="nil"/>
            </w:tcBorders>
            <w:tcMar>
              <w:top w:w="90" w:type="dxa"/>
              <w:left w:w="80" w:type="dxa"/>
              <w:bottom w:w="90" w:type="dxa"/>
              <w:right w:w="80" w:type="dxa"/>
            </w:tcMar>
            <w:vAlign w:val="center"/>
          </w:tcPr>
          <w:p w14:paraId="43202C72">
            <w:pPr>
              <w:spacing w:before="0" w:after="0" w:line="252" w:lineRule="auto"/>
              <w:jc w:val="center"/>
              <w:rPr>
                <w:sz w:val="20"/>
                <w:szCs w:val="20"/>
              </w:rPr>
            </w:pPr>
            <w:r>
              <w:rPr>
                <w:rFonts w:ascii="Times New Roman" w:hAnsi="Times New Roman" w:eastAsia="Times New Roman"/>
                <w:sz w:val="20"/>
                <w:szCs w:val="20"/>
              </w:rPr>
              <w:t>0</w:t>
            </w:r>
          </w:p>
        </w:tc>
        <w:tc>
          <w:tcPr>
            <w:tcW w:w="7816" w:type="dxa"/>
            <w:tcBorders>
              <w:top w:val="single" w:color="000000" w:sz="8" w:space="0"/>
              <w:insideH w:val="nil"/>
              <w:insideV w:val="nil"/>
              <w:tl2br w:val="nil"/>
              <w:tr2bl w:val="nil"/>
            </w:tcBorders>
            <w:tcMar>
              <w:top w:w="90" w:type="dxa"/>
              <w:left w:w="80" w:type="dxa"/>
              <w:bottom w:w="90" w:type="dxa"/>
              <w:right w:w="80" w:type="dxa"/>
            </w:tcMar>
            <w:vAlign w:val="center"/>
          </w:tcPr>
          <w:p w14:paraId="0E8789B5">
            <w:pPr>
              <w:spacing w:before="0" w:after="0" w:line="252" w:lineRule="auto"/>
              <w:jc w:val="left"/>
              <w:rPr>
                <w:sz w:val="20"/>
                <w:szCs w:val="20"/>
              </w:rPr>
            </w:pPr>
            <w:r>
              <w:rPr>
                <w:rFonts w:ascii="Times New Roman" w:hAnsi="Times New Roman" w:eastAsia="Times New Roman"/>
                <w:sz w:val="20"/>
                <w:szCs w:val="20"/>
              </w:rPr>
              <w:t>Normal epithelial structure, intact crypt architecture, and no obvious inflammatory cell infiltration.</w:t>
            </w:r>
          </w:p>
        </w:tc>
      </w:tr>
      <w:tr w14:paraId="62916443">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25" w:type="dxa"/>
            <w:tcBorders>
              <w:insideH w:val="nil"/>
              <w:insideV w:val="nil"/>
              <w:tl2br w:val="nil"/>
              <w:tr2bl w:val="nil"/>
            </w:tcBorders>
            <w:tcMar>
              <w:top w:w="90" w:type="dxa"/>
              <w:left w:w="80" w:type="dxa"/>
              <w:bottom w:w="90" w:type="dxa"/>
              <w:right w:w="80" w:type="dxa"/>
            </w:tcMar>
            <w:vAlign w:val="center"/>
          </w:tcPr>
          <w:p w14:paraId="72F0C220">
            <w:pPr>
              <w:spacing w:before="0" w:after="0" w:line="252" w:lineRule="auto"/>
              <w:jc w:val="center"/>
              <w:rPr>
                <w:sz w:val="20"/>
                <w:szCs w:val="20"/>
              </w:rPr>
            </w:pPr>
            <w:r>
              <w:rPr>
                <w:rFonts w:ascii="Times New Roman" w:hAnsi="Times New Roman" w:eastAsia="Times New Roman"/>
                <w:sz w:val="20"/>
                <w:szCs w:val="20"/>
              </w:rPr>
              <w:t>1</w:t>
            </w:r>
          </w:p>
        </w:tc>
        <w:tc>
          <w:tcPr>
            <w:tcW w:w="7816" w:type="dxa"/>
            <w:tcBorders>
              <w:insideH w:val="nil"/>
              <w:insideV w:val="nil"/>
              <w:tl2br w:val="nil"/>
              <w:tr2bl w:val="nil"/>
            </w:tcBorders>
            <w:tcMar>
              <w:top w:w="90" w:type="dxa"/>
              <w:left w:w="80" w:type="dxa"/>
              <w:bottom w:w="90" w:type="dxa"/>
              <w:right w:w="80" w:type="dxa"/>
            </w:tcMar>
            <w:vAlign w:val="center"/>
          </w:tcPr>
          <w:p w14:paraId="17C3E22F">
            <w:pPr>
              <w:spacing w:before="0" w:after="0" w:line="252" w:lineRule="auto"/>
              <w:jc w:val="left"/>
              <w:rPr>
                <w:sz w:val="20"/>
                <w:szCs w:val="20"/>
              </w:rPr>
            </w:pPr>
            <w:r>
              <w:rPr>
                <w:rFonts w:ascii="Times New Roman" w:hAnsi="Times New Roman" w:eastAsia="Times New Roman"/>
                <w:sz w:val="20"/>
                <w:szCs w:val="20"/>
              </w:rPr>
              <w:t>Mild inflammatory cell infiltration with slight epithelial changes; crypt structure is largely preserved.</w:t>
            </w:r>
          </w:p>
        </w:tc>
      </w:tr>
      <w:tr w14:paraId="716E7F5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25" w:type="dxa"/>
            <w:tcBorders>
              <w:insideH w:val="nil"/>
              <w:insideV w:val="nil"/>
              <w:tl2br w:val="nil"/>
              <w:tr2bl w:val="nil"/>
            </w:tcBorders>
            <w:tcMar>
              <w:top w:w="90" w:type="dxa"/>
              <w:left w:w="80" w:type="dxa"/>
              <w:bottom w:w="90" w:type="dxa"/>
              <w:right w:w="80" w:type="dxa"/>
            </w:tcMar>
            <w:vAlign w:val="center"/>
          </w:tcPr>
          <w:p w14:paraId="27991D41">
            <w:pPr>
              <w:spacing w:before="0" w:after="0" w:line="252" w:lineRule="auto"/>
              <w:jc w:val="center"/>
              <w:rPr>
                <w:sz w:val="20"/>
                <w:szCs w:val="20"/>
              </w:rPr>
            </w:pPr>
            <w:r>
              <w:rPr>
                <w:rFonts w:ascii="Times New Roman" w:hAnsi="Times New Roman" w:eastAsia="Times New Roman"/>
                <w:sz w:val="20"/>
                <w:szCs w:val="20"/>
              </w:rPr>
              <w:t>2</w:t>
            </w:r>
          </w:p>
        </w:tc>
        <w:tc>
          <w:tcPr>
            <w:tcW w:w="7816" w:type="dxa"/>
            <w:tcBorders>
              <w:insideH w:val="nil"/>
              <w:insideV w:val="nil"/>
              <w:tl2br w:val="nil"/>
              <w:tr2bl w:val="nil"/>
            </w:tcBorders>
            <w:tcMar>
              <w:top w:w="90" w:type="dxa"/>
              <w:left w:w="80" w:type="dxa"/>
              <w:bottom w:w="90" w:type="dxa"/>
              <w:right w:w="80" w:type="dxa"/>
            </w:tcMar>
            <w:vAlign w:val="center"/>
          </w:tcPr>
          <w:p w14:paraId="67F4C940">
            <w:pPr>
              <w:spacing w:before="0" w:after="0" w:line="252" w:lineRule="auto"/>
              <w:jc w:val="left"/>
              <w:rPr>
                <w:sz w:val="20"/>
                <w:szCs w:val="20"/>
              </w:rPr>
            </w:pPr>
            <w:r>
              <w:rPr>
                <w:rFonts w:ascii="Times New Roman" w:hAnsi="Times New Roman" w:eastAsia="Times New Roman"/>
                <w:sz w:val="20"/>
                <w:szCs w:val="20"/>
              </w:rPr>
              <w:t>Moderate inflammatory cell infiltration with partial epithelial injury, mild crypt distortion, or limited submucosal involvement.</w:t>
            </w:r>
          </w:p>
        </w:tc>
      </w:tr>
      <w:tr w14:paraId="11B5D0C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25" w:type="dxa"/>
            <w:tcBorders>
              <w:insideH w:val="nil"/>
              <w:insideV w:val="nil"/>
              <w:tl2br w:val="nil"/>
              <w:tr2bl w:val="nil"/>
            </w:tcBorders>
            <w:tcMar>
              <w:top w:w="90" w:type="dxa"/>
              <w:left w:w="80" w:type="dxa"/>
              <w:bottom w:w="90" w:type="dxa"/>
              <w:right w:w="80" w:type="dxa"/>
            </w:tcMar>
            <w:vAlign w:val="center"/>
          </w:tcPr>
          <w:p w14:paraId="42764326">
            <w:pPr>
              <w:spacing w:before="0" w:after="0" w:line="252" w:lineRule="auto"/>
              <w:jc w:val="center"/>
              <w:rPr>
                <w:sz w:val="20"/>
                <w:szCs w:val="20"/>
              </w:rPr>
            </w:pPr>
            <w:r>
              <w:rPr>
                <w:rFonts w:ascii="Times New Roman" w:hAnsi="Times New Roman" w:eastAsia="Times New Roman"/>
                <w:sz w:val="20"/>
                <w:szCs w:val="20"/>
              </w:rPr>
              <w:t>3</w:t>
            </w:r>
          </w:p>
        </w:tc>
        <w:tc>
          <w:tcPr>
            <w:tcW w:w="7816" w:type="dxa"/>
            <w:tcBorders>
              <w:insideH w:val="nil"/>
              <w:insideV w:val="nil"/>
              <w:tl2br w:val="nil"/>
              <w:tr2bl w:val="nil"/>
            </w:tcBorders>
            <w:tcMar>
              <w:top w:w="90" w:type="dxa"/>
              <w:left w:w="80" w:type="dxa"/>
              <w:bottom w:w="90" w:type="dxa"/>
              <w:right w:w="80" w:type="dxa"/>
            </w:tcMar>
            <w:vAlign w:val="center"/>
          </w:tcPr>
          <w:p w14:paraId="37C217AB">
            <w:pPr>
              <w:spacing w:before="0" w:after="0" w:line="252" w:lineRule="auto"/>
              <w:jc w:val="left"/>
              <w:rPr>
                <w:sz w:val="20"/>
                <w:szCs w:val="20"/>
              </w:rPr>
            </w:pPr>
            <w:r>
              <w:rPr>
                <w:rFonts w:ascii="Times New Roman" w:hAnsi="Times New Roman" w:eastAsia="Times New Roman"/>
                <w:sz w:val="20"/>
                <w:szCs w:val="20"/>
              </w:rPr>
              <w:t>Marked inflammatory cell infiltration with obvious epithelial damage, crypt loss or distortion, submucosal involvement, and colon wall thickening.</w:t>
            </w:r>
          </w:p>
        </w:tc>
      </w:tr>
      <w:tr w14:paraId="59B85CA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25" w:type="dxa"/>
            <w:tcBorders>
              <w:insideH w:val="nil"/>
              <w:insideV w:val="nil"/>
              <w:tl2br w:val="nil"/>
              <w:tr2bl w:val="nil"/>
            </w:tcBorders>
            <w:tcMar>
              <w:top w:w="90" w:type="dxa"/>
              <w:left w:w="80" w:type="dxa"/>
              <w:bottom w:w="90" w:type="dxa"/>
              <w:right w:w="80" w:type="dxa"/>
            </w:tcMar>
            <w:vAlign w:val="center"/>
          </w:tcPr>
          <w:p w14:paraId="21E75C6C">
            <w:pPr>
              <w:spacing w:before="0" w:after="0" w:line="252" w:lineRule="auto"/>
              <w:jc w:val="center"/>
              <w:rPr>
                <w:sz w:val="20"/>
                <w:szCs w:val="20"/>
              </w:rPr>
            </w:pPr>
            <w:r>
              <w:rPr>
                <w:rFonts w:ascii="Times New Roman" w:hAnsi="Times New Roman" w:eastAsia="Times New Roman"/>
                <w:sz w:val="20"/>
                <w:szCs w:val="20"/>
              </w:rPr>
              <w:t>4</w:t>
            </w:r>
          </w:p>
        </w:tc>
        <w:tc>
          <w:tcPr>
            <w:tcW w:w="7816" w:type="dxa"/>
            <w:tcBorders>
              <w:insideH w:val="nil"/>
              <w:insideV w:val="nil"/>
              <w:tl2br w:val="nil"/>
              <w:tr2bl w:val="nil"/>
            </w:tcBorders>
            <w:tcMar>
              <w:top w:w="90" w:type="dxa"/>
              <w:left w:w="80" w:type="dxa"/>
              <w:bottom w:w="90" w:type="dxa"/>
              <w:right w:w="80" w:type="dxa"/>
            </w:tcMar>
            <w:vAlign w:val="center"/>
          </w:tcPr>
          <w:p w14:paraId="499DA518">
            <w:pPr>
              <w:spacing w:before="0" w:after="0" w:line="252" w:lineRule="auto"/>
              <w:jc w:val="left"/>
              <w:rPr>
                <w:sz w:val="20"/>
                <w:szCs w:val="20"/>
              </w:rPr>
            </w:pPr>
            <w:r>
              <w:rPr>
                <w:rFonts w:ascii="Times New Roman" w:hAnsi="Times New Roman" w:eastAsia="Times New Roman"/>
                <w:sz w:val="20"/>
                <w:szCs w:val="20"/>
              </w:rPr>
              <w:t>Severe inflammatory cell infiltration with extensive epithelial disruption, crypt loss, ulceration or broad tissue damage, and marked colon wall thickening.</w:t>
            </w:r>
          </w:p>
        </w:tc>
      </w:tr>
    </w:tbl>
    <w:p w14:paraId="246A4F77">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bCs/>
          <w:sz w:val="24"/>
          <w:szCs w:val="24"/>
        </w:rPr>
      </w:pPr>
    </w:p>
    <w:p w14:paraId="754DDE4F">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Table S</w:t>
      </w:r>
      <w:r>
        <w:rPr>
          <w:rFonts w:hint="eastAsia" w:ascii="Times New Roman" w:hAnsi="Times New Roman" w:eastAsia="宋体" w:cs="Times New Roman"/>
          <w:b/>
          <w:bCs/>
          <w:sz w:val="24"/>
          <w:szCs w:val="24"/>
          <w:lang w:val="en-US" w:eastAsia="zh-CN"/>
        </w:rPr>
        <w:t>3</w:t>
      </w:r>
      <w:r>
        <w:rPr>
          <w:rFonts w:hint="default" w:ascii="Times New Roman" w:hAnsi="Times New Roman" w:eastAsia="宋体" w:cs="Times New Roman"/>
          <w:b/>
          <w:bCs/>
          <w:sz w:val="24"/>
          <w:szCs w:val="24"/>
        </w:rPr>
        <w:t>. Criteria for DAI scoring</w:t>
      </w:r>
    </w:p>
    <w:tbl>
      <w:tblPr>
        <w:tblStyle w:val="8"/>
        <w:tblW w:w="9460" w:type="dxa"/>
        <w:tblInd w:w="-396"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04"/>
        <w:gridCol w:w="2000"/>
        <w:gridCol w:w="2067"/>
        <w:gridCol w:w="3889"/>
      </w:tblGrid>
      <w:tr w14:paraId="47D0DC7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504" w:type="dxa"/>
            <w:tcBorders>
              <w:bottom w:val="single" w:color="auto" w:sz="6" w:space="0"/>
            </w:tcBorders>
          </w:tcPr>
          <w:p w14:paraId="57B31CD1">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Score</w:t>
            </w:r>
          </w:p>
        </w:tc>
        <w:tc>
          <w:tcPr>
            <w:tcW w:w="2000" w:type="dxa"/>
            <w:tcBorders>
              <w:bottom w:val="single" w:color="auto" w:sz="6" w:space="0"/>
            </w:tcBorders>
          </w:tcPr>
          <w:p w14:paraId="04586476">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Weight loss (%)</w:t>
            </w:r>
          </w:p>
        </w:tc>
        <w:tc>
          <w:tcPr>
            <w:tcW w:w="2067" w:type="dxa"/>
            <w:tcBorders>
              <w:bottom w:val="single" w:color="auto" w:sz="6" w:space="0"/>
            </w:tcBorders>
          </w:tcPr>
          <w:p w14:paraId="695FB48F">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Stool consistency</w:t>
            </w:r>
          </w:p>
        </w:tc>
        <w:tc>
          <w:tcPr>
            <w:tcW w:w="3889" w:type="dxa"/>
            <w:tcBorders>
              <w:bottom w:val="single" w:color="auto" w:sz="6" w:space="0"/>
            </w:tcBorders>
          </w:tcPr>
          <w:p w14:paraId="6C7BD812">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Occult blood or grossbleeding</w:t>
            </w:r>
          </w:p>
        </w:tc>
      </w:tr>
      <w:tr w14:paraId="765405A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504" w:type="dxa"/>
            <w:tcBorders>
              <w:top w:val="single" w:color="auto" w:sz="6" w:space="0"/>
              <w:tl2br w:val="nil"/>
              <w:tr2bl w:val="nil"/>
            </w:tcBorders>
          </w:tcPr>
          <w:p w14:paraId="159F832C">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0</w:t>
            </w:r>
          </w:p>
        </w:tc>
        <w:tc>
          <w:tcPr>
            <w:tcW w:w="2000" w:type="dxa"/>
            <w:tcBorders>
              <w:top w:val="single" w:color="auto" w:sz="6" w:space="0"/>
              <w:tl2br w:val="nil"/>
              <w:tr2bl w:val="nil"/>
            </w:tcBorders>
          </w:tcPr>
          <w:p w14:paraId="2C750879">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0</w:t>
            </w:r>
          </w:p>
        </w:tc>
        <w:tc>
          <w:tcPr>
            <w:tcW w:w="2067" w:type="dxa"/>
            <w:tcBorders>
              <w:top w:val="single" w:color="auto" w:sz="6" w:space="0"/>
              <w:tl2br w:val="nil"/>
              <w:tr2bl w:val="nil"/>
            </w:tcBorders>
          </w:tcPr>
          <w:p w14:paraId="18C6D420">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Normal</w:t>
            </w:r>
          </w:p>
        </w:tc>
        <w:tc>
          <w:tcPr>
            <w:tcW w:w="3889" w:type="dxa"/>
            <w:tcBorders>
              <w:top w:val="single" w:color="auto" w:sz="6" w:space="0"/>
              <w:tl2br w:val="nil"/>
              <w:tr2bl w:val="nil"/>
            </w:tcBorders>
          </w:tcPr>
          <w:p w14:paraId="214D3D37">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Negative</w:t>
            </w:r>
          </w:p>
        </w:tc>
      </w:tr>
      <w:tr w14:paraId="0BEE45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504" w:type="dxa"/>
            <w:tcBorders>
              <w:tl2br w:val="nil"/>
              <w:tr2bl w:val="nil"/>
            </w:tcBorders>
          </w:tcPr>
          <w:p w14:paraId="24913C71">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1</w:t>
            </w:r>
          </w:p>
        </w:tc>
        <w:tc>
          <w:tcPr>
            <w:tcW w:w="2000" w:type="dxa"/>
            <w:tcBorders>
              <w:tl2br w:val="nil"/>
              <w:tr2bl w:val="nil"/>
            </w:tcBorders>
          </w:tcPr>
          <w:p w14:paraId="7324DCA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1-5%</w:t>
            </w:r>
          </w:p>
        </w:tc>
        <w:tc>
          <w:tcPr>
            <w:tcW w:w="2067" w:type="dxa"/>
            <w:tcBorders>
              <w:tl2br w:val="nil"/>
              <w:tr2bl w:val="nil"/>
            </w:tcBorders>
          </w:tcPr>
          <w:p w14:paraId="6325C28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sz w:val="20"/>
                <w:szCs w:val="20"/>
              </w:rPr>
              <w:t>Mild soft</w:t>
            </w:r>
          </w:p>
        </w:tc>
        <w:tc>
          <w:tcPr>
            <w:tcW w:w="3889" w:type="dxa"/>
            <w:tcBorders>
              <w:tl2br w:val="nil"/>
              <w:tr2bl w:val="nil"/>
            </w:tcBorders>
          </w:tcPr>
          <w:p w14:paraId="51E36FE0">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rPr>
              <w:t>weakly positive</w:t>
            </w:r>
          </w:p>
        </w:tc>
      </w:tr>
      <w:tr w14:paraId="5F4E979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504" w:type="dxa"/>
            <w:tcBorders>
              <w:tl2br w:val="nil"/>
              <w:tr2bl w:val="nil"/>
            </w:tcBorders>
          </w:tcPr>
          <w:p w14:paraId="49B8011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2</w:t>
            </w:r>
          </w:p>
        </w:tc>
        <w:tc>
          <w:tcPr>
            <w:tcW w:w="2000" w:type="dxa"/>
            <w:tcBorders>
              <w:tl2br w:val="nil"/>
              <w:tr2bl w:val="nil"/>
            </w:tcBorders>
          </w:tcPr>
          <w:p w14:paraId="0359012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5-10%</w:t>
            </w:r>
          </w:p>
        </w:tc>
        <w:tc>
          <w:tcPr>
            <w:tcW w:w="2067" w:type="dxa"/>
            <w:tcBorders>
              <w:tl2br w:val="nil"/>
              <w:tr2bl w:val="nil"/>
            </w:tcBorders>
          </w:tcPr>
          <w:p w14:paraId="122D88E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sz w:val="20"/>
                <w:szCs w:val="20"/>
              </w:rPr>
              <w:t>Soft and wet</w:t>
            </w:r>
          </w:p>
        </w:tc>
        <w:tc>
          <w:tcPr>
            <w:tcW w:w="3889" w:type="dxa"/>
            <w:tcBorders>
              <w:tl2br w:val="nil"/>
              <w:tr2bl w:val="nil"/>
            </w:tcBorders>
          </w:tcPr>
          <w:p w14:paraId="64831B36">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rPr>
              <w:t>positive</w:t>
            </w:r>
          </w:p>
        </w:tc>
      </w:tr>
      <w:tr w14:paraId="35DBAF5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504" w:type="dxa"/>
            <w:tcBorders>
              <w:tl2br w:val="nil"/>
              <w:tr2bl w:val="nil"/>
            </w:tcBorders>
          </w:tcPr>
          <w:p w14:paraId="1E618161">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3</w:t>
            </w:r>
          </w:p>
        </w:tc>
        <w:tc>
          <w:tcPr>
            <w:tcW w:w="2000" w:type="dxa"/>
            <w:tcBorders>
              <w:tl2br w:val="nil"/>
              <w:tr2bl w:val="nil"/>
            </w:tcBorders>
          </w:tcPr>
          <w:p w14:paraId="0768133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10-20%</w:t>
            </w:r>
          </w:p>
        </w:tc>
        <w:tc>
          <w:tcPr>
            <w:tcW w:w="2067" w:type="dxa"/>
            <w:tcBorders>
              <w:tl2br w:val="nil"/>
              <w:tr2bl w:val="nil"/>
            </w:tcBorders>
          </w:tcPr>
          <w:p w14:paraId="15C1B68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sz w:val="20"/>
                <w:szCs w:val="20"/>
              </w:rPr>
              <w:t>Half loose stool</w:t>
            </w:r>
          </w:p>
        </w:tc>
        <w:tc>
          <w:tcPr>
            <w:tcW w:w="3889" w:type="dxa"/>
            <w:tcBorders>
              <w:tl2br w:val="nil"/>
              <w:tr2bl w:val="nil"/>
            </w:tcBorders>
          </w:tcPr>
          <w:p w14:paraId="6B88823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rPr>
              <w:t>strongly positive</w:t>
            </w:r>
          </w:p>
        </w:tc>
      </w:tr>
      <w:tr w14:paraId="3AC67E7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504" w:type="dxa"/>
            <w:tcBorders>
              <w:tl2br w:val="nil"/>
              <w:tr2bl w:val="nil"/>
            </w:tcBorders>
          </w:tcPr>
          <w:p w14:paraId="70C09267">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4</w:t>
            </w:r>
          </w:p>
        </w:tc>
        <w:tc>
          <w:tcPr>
            <w:tcW w:w="2000" w:type="dxa"/>
            <w:tcBorders>
              <w:tl2br w:val="nil"/>
              <w:tr2bl w:val="nil"/>
            </w:tcBorders>
          </w:tcPr>
          <w:p w14:paraId="15713EFD">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＞20%</w:t>
            </w:r>
          </w:p>
        </w:tc>
        <w:tc>
          <w:tcPr>
            <w:tcW w:w="2067" w:type="dxa"/>
            <w:tcBorders>
              <w:tl2br w:val="nil"/>
              <w:tr2bl w:val="nil"/>
            </w:tcBorders>
          </w:tcPr>
          <w:p w14:paraId="4EB35425">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Diarrhea</w:t>
            </w:r>
          </w:p>
        </w:tc>
        <w:tc>
          <w:tcPr>
            <w:tcW w:w="3889" w:type="dxa"/>
            <w:tcBorders>
              <w:tl2br w:val="nil"/>
              <w:tr2bl w:val="nil"/>
            </w:tcBorders>
          </w:tcPr>
          <w:p w14:paraId="4601437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sz w:val="20"/>
                <w:szCs w:val="20"/>
                <w:vertAlign w:val="baseline"/>
                <w:lang w:val="en-US" w:eastAsia="zh-CN"/>
              </w:rPr>
            </w:pPr>
            <w:r>
              <w:rPr>
                <w:rFonts w:hint="default" w:ascii="Times New Roman" w:hAnsi="Times New Roman" w:eastAsia="宋体" w:cs="Times New Roman"/>
                <w:b w:val="0"/>
                <w:bCs w:val="0"/>
                <w:sz w:val="20"/>
                <w:szCs w:val="20"/>
                <w:vertAlign w:val="baseline"/>
                <w:lang w:val="en-US" w:eastAsia="zh-CN"/>
              </w:rPr>
              <w:t>Gross bleeding</w:t>
            </w:r>
          </w:p>
        </w:tc>
      </w:tr>
    </w:tbl>
    <w:p w14:paraId="43A5C54A">
      <w:pP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br w:type="page"/>
      </w:r>
    </w:p>
    <w:p w14:paraId="1646BB0A">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b/>
          <w:bCs/>
          <w:sz w:val="24"/>
          <w:szCs w:val="24"/>
          <w:lang w:val="en-US" w:eastAsia="zh-CN"/>
        </w:rPr>
      </w:pPr>
      <w:r>
        <w:rPr>
          <w:rFonts w:hint="default" w:ascii="Times New Roman" w:hAnsi="Times New Roman" w:eastAsia="宋体" w:cs="Times New Roman"/>
          <w:b/>
          <w:bCs/>
          <w:sz w:val="24"/>
          <w:szCs w:val="24"/>
        </w:rPr>
        <w:t>Table S</w:t>
      </w:r>
      <w:r>
        <w:rPr>
          <w:rFonts w:hint="eastAsia" w:ascii="Times New Roman" w:hAnsi="Times New Roman" w:eastAsia="宋体" w:cs="Times New Roman"/>
          <w:b/>
          <w:bCs/>
          <w:sz w:val="24"/>
          <w:szCs w:val="24"/>
          <w:lang w:val="en-US" w:eastAsia="zh-CN"/>
        </w:rPr>
        <w:t>4</w:t>
      </w:r>
      <w:r>
        <w:rPr>
          <w:rFonts w:hint="default" w:ascii="Times New Roman" w:hAnsi="Times New Roman" w:eastAsia="宋体" w:cs="Times New Roman"/>
          <w:b/>
          <w:bCs/>
          <w:sz w:val="24"/>
          <w:szCs w:val="24"/>
        </w:rPr>
        <w:t>. Primer sequences used for real-time RT-PCR</w:t>
      </w:r>
    </w:p>
    <w:tbl>
      <w:tblPr>
        <w:tblStyle w:val="8"/>
        <w:tblpPr w:leftFromText="180" w:rightFromText="180" w:vertAnchor="text" w:horzAnchor="page" w:tblpX="1393" w:tblpY="293"/>
        <w:tblOverlap w:val="never"/>
        <w:tblW w:w="9439"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99"/>
        <w:gridCol w:w="3934"/>
        <w:gridCol w:w="4106"/>
      </w:tblGrid>
      <w:tr w14:paraId="7659FF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99" w:type="dxa"/>
            <w:tcBorders>
              <w:bottom w:val="single" w:color="auto" w:sz="6" w:space="0"/>
            </w:tcBorders>
          </w:tcPr>
          <w:p w14:paraId="5577628D">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Gene</w:t>
            </w:r>
          </w:p>
        </w:tc>
        <w:tc>
          <w:tcPr>
            <w:tcW w:w="3934" w:type="dxa"/>
            <w:tcBorders>
              <w:bottom w:val="single" w:color="auto" w:sz="6" w:space="0"/>
            </w:tcBorders>
          </w:tcPr>
          <w:p w14:paraId="41CC315E">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 xml:space="preserve">Forward primer (5'→3) </w:t>
            </w:r>
          </w:p>
        </w:tc>
        <w:tc>
          <w:tcPr>
            <w:tcW w:w="4106" w:type="dxa"/>
            <w:tcBorders>
              <w:bottom w:val="single" w:color="auto" w:sz="6" w:space="0"/>
            </w:tcBorders>
          </w:tcPr>
          <w:p w14:paraId="318BE916">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Reverse primer (5'→3')</w:t>
            </w:r>
          </w:p>
        </w:tc>
      </w:tr>
      <w:tr w14:paraId="1A6B45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99" w:type="dxa"/>
            <w:tcBorders>
              <w:top w:val="single" w:color="auto" w:sz="6" w:space="0"/>
              <w:tl2br w:val="nil"/>
              <w:tr2bl w:val="nil"/>
            </w:tcBorders>
          </w:tcPr>
          <w:p w14:paraId="0599FC1D">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IL-1β</w:t>
            </w:r>
          </w:p>
        </w:tc>
        <w:tc>
          <w:tcPr>
            <w:tcW w:w="3934" w:type="dxa"/>
            <w:tcBorders>
              <w:top w:val="single" w:color="auto" w:sz="6" w:space="0"/>
              <w:tl2br w:val="nil"/>
              <w:tr2bl w:val="nil"/>
            </w:tcBorders>
          </w:tcPr>
          <w:p w14:paraId="4A0C52F9">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rPr>
              <w:t>CAAGCAACGACAAAATACCTGTG</w:t>
            </w:r>
          </w:p>
        </w:tc>
        <w:tc>
          <w:tcPr>
            <w:tcW w:w="4106" w:type="dxa"/>
            <w:tcBorders>
              <w:top w:val="single" w:color="auto" w:sz="6" w:space="0"/>
              <w:tl2br w:val="nil"/>
              <w:tr2bl w:val="nil"/>
            </w:tcBorders>
          </w:tcPr>
          <w:p w14:paraId="07340299">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rPr>
              <w:t>AGACAAACCGTTTTTCCATCTTCT</w:t>
            </w:r>
          </w:p>
        </w:tc>
      </w:tr>
      <w:tr w14:paraId="053447A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99" w:type="dxa"/>
            <w:tcBorders>
              <w:tl2br w:val="nil"/>
              <w:tr2bl w:val="nil"/>
            </w:tcBorders>
          </w:tcPr>
          <w:p w14:paraId="2E448E33">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IL-6</w:t>
            </w:r>
          </w:p>
        </w:tc>
        <w:tc>
          <w:tcPr>
            <w:tcW w:w="3934" w:type="dxa"/>
            <w:tcBorders>
              <w:tl2br w:val="nil"/>
              <w:tr2bl w:val="nil"/>
            </w:tcBorders>
          </w:tcPr>
          <w:p w14:paraId="6B37ED57">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rPr>
              <w:t>CCGGAGAGGAGACTTCACAGAG</w:t>
            </w:r>
          </w:p>
        </w:tc>
        <w:tc>
          <w:tcPr>
            <w:tcW w:w="4106" w:type="dxa"/>
            <w:tcBorders>
              <w:tl2br w:val="nil"/>
              <w:tr2bl w:val="nil"/>
            </w:tcBorders>
          </w:tcPr>
          <w:p w14:paraId="67552223">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rPr>
              <w:t>CTGCAAGTGCATCATCGTTGTT</w:t>
            </w:r>
          </w:p>
        </w:tc>
      </w:tr>
      <w:tr w14:paraId="6DCF6D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99" w:type="dxa"/>
            <w:tcBorders>
              <w:tl2br w:val="nil"/>
              <w:tr2bl w:val="nil"/>
            </w:tcBorders>
          </w:tcPr>
          <w:p w14:paraId="33B0CAE8">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TNF-α</w:t>
            </w:r>
          </w:p>
        </w:tc>
        <w:tc>
          <w:tcPr>
            <w:tcW w:w="3934" w:type="dxa"/>
            <w:tcBorders>
              <w:tl2br w:val="nil"/>
              <w:tr2bl w:val="nil"/>
            </w:tcBorders>
          </w:tcPr>
          <w:p w14:paraId="5DAA8D45">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rPr>
              <w:t>TGGCCCAGACCCTCACACTCAG</w:t>
            </w:r>
          </w:p>
        </w:tc>
        <w:tc>
          <w:tcPr>
            <w:tcW w:w="4106" w:type="dxa"/>
            <w:tcBorders>
              <w:tl2br w:val="nil"/>
              <w:tr2bl w:val="nil"/>
            </w:tcBorders>
          </w:tcPr>
          <w:p w14:paraId="0ED3E259">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rPr>
              <w:t>ACCCATCGGCTGGCACCACT</w:t>
            </w:r>
          </w:p>
        </w:tc>
      </w:tr>
      <w:tr w14:paraId="4AB9A5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99" w:type="dxa"/>
            <w:tcBorders>
              <w:tl2br w:val="nil"/>
              <w:tr2bl w:val="nil"/>
            </w:tcBorders>
          </w:tcPr>
          <w:p w14:paraId="74402D29">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IL-10</w:t>
            </w:r>
          </w:p>
        </w:tc>
        <w:tc>
          <w:tcPr>
            <w:tcW w:w="3934" w:type="dxa"/>
            <w:tcBorders>
              <w:tl2br w:val="nil"/>
              <w:tr2bl w:val="nil"/>
            </w:tcBorders>
          </w:tcPr>
          <w:p w14:paraId="131A5164">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lang w:val="en-US" w:eastAsia="zh-CN"/>
              </w:rPr>
              <w:t>TGCTATGCTGCCTGCTCTTA</w:t>
            </w:r>
          </w:p>
        </w:tc>
        <w:tc>
          <w:tcPr>
            <w:tcW w:w="4106" w:type="dxa"/>
            <w:tcBorders>
              <w:tl2br w:val="nil"/>
              <w:tr2bl w:val="nil"/>
            </w:tcBorders>
          </w:tcPr>
          <w:p w14:paraId="75665280">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lang w:val="en-US" w:eastAsia="zh-CN"/>
              </w:rPr>
              <w:t>GTTCCTTTGGTTGCTGGAAG</w:t>
            </w:r>
          </w:p>
        </w:tc>
      </w:tr>
      <w:tr w14:paraId="7909DB9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99" w:type="dxa"/>
            <w:tcBorders>
              <w:tl2br w:val="nil"/>
              <w:tr2bl w:val="nil"/>
            </w:tcBorders>
          </w:tcPr>
          <w:p w14:paraId="52A12DAA">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IL-17RA</w:t>
            </w:r>
          </w:p>
        </w:tc>
        <w:tc>
          <w:tcPr>
            <w:tcW w:w="3934" w:type="dxa"/>
            <w:tcBorders>
              <w:tl2br w:val="nil"/>
              <w:tr2bl w:val="nil"/>
            </w:tcBorders>
          </w:tcPr>
          <w:p w14:paraId="14DD512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color w:val="000000"/>
                <w:kern w:val="0"/>
                <w:sz w:val="20"/>
                <w:szCs w:val="20"/>
                <w:lang w:val="en-US" w:eastAsia="zh-CN" w:bidi="ar"/>
              </w:rPr>
              <w:t>GACCAGGGCTACATCTCCA</w:t>
            </w:r>
          </w:p>
        </w:tc>
        <w:tc>
          <w:tcPr>
            <w:tcW w:w="4106" w:type="dxa"/>
            <w:tcBorders>
              <w:tl2br w:val="nil"/>
              <w:tr2bl w:val="nil"/>
            </w:tcBorders>
          </w:tcPr>
          <w:p w14:paraId="4C2CF8C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color w:val="000000"/>
                <w:kern w:val="0"/>
                <w:sz w:val="20"/>
                <w:szCs w:val="20"/>
                <w:lang w:val="en-US" w:eastAsia="zh-CN" w:bidi="ar"/>
              </w:rPr>
              <w:t>CAGGCTCCGTAGTTCCTCA</w:t>
            </w:r>
          </w:p>
        </w:tc>
      </w:tr>
      <w:tr w14:paraId="47F9E00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99" w:type="dxa"/>
            <w:tcBorders>
              <w:tl2br w:val="nil"/>
              <w:tr2bl w:val="nil"/>
            </w:tcBorders>
          </w:tcPr>
          <w:p w14:paraId="2487740D">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Act1</w:t>
            </w:r>
          </w:p>
        </w:tc>
        <w:tc>
          <w:tcPr>
            <w:tcW w:w="3934" w:type="dxa"/>
            <w:tcBorders>
              <w:tl2br w:val="nil"/>
              <w:tr2bl w:val="nil"/>
            </w:tcBorders>
          </w:tcPr>
          <w:p w14:paraId="4EC3138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color w:val="000000"/>
                <w:kern w:val="0"/>
                <w:sz w:val="20"/>
                <w:szCs w:val="20"/>
                <w:lang w:val="en-US" w:eastAsia="zh-CN" w:bidi="ar"/>
              </w:rPr>
              <w:t>CTGGTGAACGCAAGAGGT</w:t>
            </w:r>
          </w:p>
        </w:tc>
        <w:tc>
          <w:tcPr>
            <w:tcW w:w="4106" w:type="dxa"/>
            <w:tcBorders>
              <w:tl2br w:val="nil"/>
              <w:tr2bl w:val="nil"/>
            </w:tcBorders>
          </w:tcPr>
          <w:p w14:paraId="2509124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color w:val="000000"/>
                <w:kern w:val="0"/>
                <w:sz w:val="20"/>
                <w:szCs w:val="20"/>
                <w:lang w:val="en-US" w:eastAsia="zh-CN" w:bidi="ar"/>
              </w:rPr>
              <w:t>GCAGGAAGTGGATGCTGT</w:t>
            </w:r>
          </w:p>
        </w:tc>
      </w:tr>
      <w:tr w14:paraId="022CC6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99" w:type="dxa"/>
            <w:tcBorders>
              <w:tl2br w:val="nil"/>
              <w:tr2bl w:val="nil"/>
            </w:tcBorders>
          </w:tcPr>
          <w:p w14:paraId="33AC4EF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color w:val="000000"/>
                <w:kern w:val="0"/>
                <w:sz w:val="20"/>
                <w:szCs w:val="20"/>
                <w:lang w:val="en-US" w:eastAsia="zh-CN" w:bidi="ar"/>
              </w:rPr>
              <w:t>CCL2</w:t>
            </w:r>
          </w:p>
        </w:tc>
        <w:tc>
          <w:tcPr>
            <w:tcW w:w="3934" w:type="dxa"/>
            <w:tcBorders>
              <w:tl2br w:val="nil"/>
              <w:tr2bl w:val="nil"/>
            </w:tcBorders>
          </w:tcPr>
          <w:p w14:paraId="3CDB9C3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color w:val="000000"/>
                <w:kern w:val="0"/>
                <w:sz w:val="20"/>
                <w:szCs w:val="20"/>
                <w:lang w:val="en-US" w:eastAsia="zh-CN" w:bidi="ar"/>
              </w:rPr>
              <w:t>TTGTCACCAAGCTCAAGAGAGA</w:t>
            </w:r>
          </w:p>
        </w:tc>
        <w:tc>
          <w:tcPr>
            <w:tcW w:w="4106" w:type="dxa"/>
            <w:tcBorders>
              <w:tl2br w:val="nil"/>
              <w:tr2bl w:val="nil"/>
            </w:tcBorders>
          </w:tcPr>
          <w:p w14:paraId="2278520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color w:val="000000"/>
                <w:kern w:val="0"/>
                <w:sz w:val="20"/>
                <w:szCs w:val="20"/>
                <w:lang w:val="en-US" w:eastAsia="zh-CN" w:bidi="ar"/>
              </w:rPr>
              <w:t>GAGGTGGTTGTGGAAAAGGTAG</w:t>
            </w:r>
          </w:p>
        </w:tc>
      </w:tr>
      <w:tr w14:paraId="1FDA69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99" w:type="dxa"/>
            <w:tcBorders>
              <w:tl2br w:val="nil"/>
              <w:tr2bl w:val="nil"/>
            </w:tcBorders>
          </w:tcPr>
          <w:p w14:paraId="7FE7C1F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color w:val="000000"/>
                <w:kern w:val="0"/>
                <w:sz w:val="20"/>
                <w:szCs w:val="20"/>
                <w:lang w:val="en-US" w:eastAsia="zh-CN" w:bidi="ar"/>
              </w:rPr>
              <w:t>CCL7</w:t>
            </w:r>
          </w:p>
        </w:tc>
        <w:tc>
          <w:tcPr>
            <w:tcW w:w="3934" w:type="dxa"/>
            <w:tcBorders>
              <w:tl2br w:val="nil"/>
              <w:tr2bl w:val="nil"/>
            </w:tcBorders>
          </w:tcPr>
          <w:p w14:paraId="6A72FF2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color w:val="000000"/>
                <w:kern w:val="0"/>
                <w:sz w:val="20"/>
                <w:szCs w:val="20"/>
                <w:lang w:val="en-US" w:eastAsia="zh-CN" w:bidi="ar"/>
              </w:rPr>
              <w:t>CAGAAGTGGGTCGAGGAG</w:t>
            </w:r>
          </w:p>
        </w:tc>
        <w:tc>
          <w:tcPr>
            <w:tcW w:w="4106" w:type="dxa"/>
            <w:tcBorders>
              <w:tl2br w:val="nil"/>
              <w:tr2bl w:val="nil"/>
            </w:tcBorders>
          </w:tcPr>
          <w:p w14:paraId="4583C84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color w:val="000000"/>
                <w:kern w:val="0"/>
                <w:sz w:val="20"/>
                <w:szCs w:val="20"/>
                <w:lang w:val="en-US" w:eastAsia="zh-CN" w:bidi="ar"/>
              </w:rPr>
              <w:t>AAGAACAGCGGTGAGGAA</w:t>
            </w:r>
          </w:p>
        </w:tc>
      </w:tr>
      <w:tr w14:paraId="0C183C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99" w:type="dxa"/>
            <w:tcBorders>
              <w:tl2br w:val="nil"/>
              <w:tr2bl w:val="nil"/>
            </w:tcBorders>
          </w:tcPr>
          <w:p w14:paraId="53E91F9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color w:val="000000"/>
                <w:kern w:val="0"/>
                <w:sz w:val="20"/>
                <w:szCs w:val="20"/>
                <w:lang w:val="en-US" w:eastAsia="zh-CN" w:bidi="ar"/>
              </w:rPr>
              <w:t>CCL20</w:t>
            </w:r>
          </w:p>
        </w:tc>
        <w:tc>
          <w:tcPr>
            <w:tcW w:w="3934" w:type="dxa"/>
            <w:tcBorders>
              <w:tl2br w:val="nil"/>
              <w:tr2bl w:val="nil"/>
            </w:tcBorders>
          </w:tcPr>
          <w:p w14:paraId="0EC8B7E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color w:val="000000"/>
                <w:kern w:val="0"/>
                <w:sz w:val="20"/>
                <w:szCs w:val="20"/>
                <w:lang w:val="en-US" w:eastAsia="zh-CN" w:bidi="ar"/>
              </w:rPr>
              <w:t>GTGTGCGCTGATCCAA</w:t>
            </w:r>
          </w:p>
        </w:tc>
        <w:tc>
          <w:tcPr>
            <w:tcW w:w="4106" w:type="dxa"/>
            <w:tcBorders>
              <w:tl2br w:val="nil"/>
              <w:tr2bl w:val="nil"/>
            </w:tcBorders>
          </w:tcPr>
          <w:p w14:paraId="302010A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sz w:val="20"/>
                <w:szCs w:val="20"/>
                <w:vertAlign w:val="baseline"/>
                <w:lang w:val="en-US" w:eastAsia="zh-CN"/>
              </w:rPr>
            </w:pPr>
            <w:r>
              <w:rPr>
                <w:rFonts w:hint="default" w:ascii="Times New Roman" w:hAnsi="Times New Roman" w:eastAsia="宋体" w:cs="Times New Roman"/>
                <w:color w:val="000000"/>
                <w:kern w:val="0"/>
                <w:sz w:val="20"/>
                <w:szCs w:val="20"/>
                <w:lang w:val="en-US" w:eastAsia="zh-CN" w:bidi="ar"/>
              </w:rPr>
              <w:t>GGGCTGTGTCCAATTCC</w:t>
            </w:r>
          </w:p>
        </w:tc>
      </w:tr>
      <w:tr w14:paraId="4F0733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99" w:type="dxa"/>
            <w:tcBorders>
              <w:tl2br w:val="nil"/>
              <w:tr2bl w:val="nil"/>
            </w:tcBorders>
          </w:tcPr>
          <w:p w14:paraId="2D55DC4D">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β-actin</w:t>
            </w:r>
          </w:p>
        </w:tc>
        <w:tc>
          <w:tcPr>
            <w:tcW w:w="3934" w:type="dxa"/>
            <w:tcBorders>
              <w:tl2br w:val="nil"/>
              <w:tr2bl w:val="nil"/>
            </w:tcBorders>
          </w:tcPr>
          <w:p w14:paraId="0E84AFF8">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lang w:val="en-US" w:eastAsia="zh-CN"/>
              </w:rPr>
              <w:t>TGTCCACCTTCCAGCAGATGT</w:t>
            </w:r>
          </w:p>
        </w:tc>
        <w:tc>
          <w:tcPr>
            <w:tcW w:w="4106" w:type="dxa"/>
            <w:tcBorders>
              <w:tl2br w:val="nil"/>
              <w:tr2bl w:val="nil"/>
            </w:tcBorders>
          </w:tcPr>
          <w:p w14:paraId="2559C695">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lang w:val="en-US" w:eastAsia="zh-CN"/>
              </w:rPr>
              <w:t>AGCTCAGTAACAGTCCGCCTAGA</w:t>
            </w:r>
          </w:p>
        </w:tc>
      </w:tr>
    </w:tbl>
    <w:p w14:paraId="50D42D87">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lang w:val="en-US" w:eastAsia="zh-CN"/>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Emoji">
    <w:panose1 w:val="020B0502040204020203"/>
    <w:charset w:val="00"/>
    <w:family w:val="swiss"/>
    <w:pitch w:val="default"/>
    <w:sig w:usb0="00000001" w:usb1="02000000" w:usb2="00000000" w:usb3="00000000" w:csb0="00000001" w:csb1="00000000"/>
  </w:font>
  <w:font w:name="MyriadPro-Bold">
    <w:altName w:val="flaticon"/>
    <w:panose1 w:val="00000000000000000000"/>
    <w:charset w:val="00"/>
    <w:family w:val="auto"/>
    <w:pitch w:val="default"/>
    <w:sig w:usb0="00000000" w:usb1="00000000" w:usb2="00000000" w:usb3="00000000" w:csb0="00000000" w:csb1="00000000"/>
  </w:font>
  <w:font w:name="flaticon">
    <w:panose1 w:val="02000509000000000000"/>
    <w:charset w:val="00"/>
    <w:family w:val="auto"/>
    <w:pitch w:val="default"/>
    <w:sig w:usb0="00000000" w:usb1="10000000" w:usb2="00000000" w:usb3="00000000" w:csb0="00000001" w:csb1="00000000"/>
  </w:font>
  <w:font w:name="Myriad Pro Light">
    <w:panose1 w:val="020B0603030403020204"/>
    <w:charset w:val="00"/>
    <w:family w:val="swiss"/>
    <w:pitch w:val="default"/>
    <w:sig w:usb0="20000287" w:usb1="00000001" w:usb2="00000000" w:usb3="00000000" w:csb0="200001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4896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CEA298">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CEA298">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417C20"/>
    <w:multiLevelType w:val="multilevel"/>
    <w:tmpl w:val="19417C2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DE00C0"/>
    <w:rsid w:val="00351BA4"/>
    <w:rsid w:val="03032B50"/>
    <w:rsid w:val="08172726"/>
    <w:rsid w:val="08DC2A9C"/>
    <w:rsid w:val="09880F90"/>
    <w:rsid w:val="099C6DAD"/>
    <w:rsid w:val="0C6B62B9"/>
    <w:rsid w:val="10DE00C0"/>
    <w:rsid w:val="11194576"/>
    <w:rsid w:val="11915C6C"/>
    <w:rsid w:val="15115DD4"/>
    <w:rsid w:val="1AA74BD5"/>
    <w:rsid w:val="1C475483"/>
    <w:rsid w:val="1D0070EE"/>
    <w:rsid w:val="1D3118A9"/>
    <w:rsid w:val="1D6A435A"/>
    <w:rsid w:val="1FEB1956"/>
    <w:rsid w:val="21461E6D"/>
    <w:rsid w:val="22E66999"/>
    <w:rsid w:val="26C64A43"/>
    <w:rsid w:val="275E670E"/>
    <w:rsid w:val="29C873CB"/>
    <w:rsid w:val="2B782938"/>
    <w:rsid w:val="2B787D81"/>
    <w:rsid w:val="2C142CF9"/>
    <w:rsid w:val="2CD76381"/>
    <w:rsid w:val="2CF014EC"/>
    <w:rsid w:val="32DD713D"/>
    <w:rsid w:val="33A0660B"/>
    <w:rsid w:val="33A30E8A"/>
    <w:rsid w:val="34CC1876"/>
    <w:rsid w:val="35A838B0"/>
    <w:rsid w:val="375C3E66"/>
    <w:rsid w:val="37E67443"/>
    <w:rsid w:val="3F4B6F7F"/>
    <w:rsid w:val="3FE50BB2"/>
    <w:rsid w:val="40B250BF"/>
    <w:rsid w:val="41E9140C"/>
    <w:rsid w:val="422A3B18"/>
    <w:rsid w:val="4350478B"/>
    <w:rsid w:val="442F6CCA"/>
    <w:rsid w:val="44353213"/>
    <w:rsid w:val="44610617"/>
    <w:rsid w:val="45AB75BE"/>
    <w:rsid w:val="46542446"/>
    <w:rsid w:val="472B0583"/>
    <w:rsid w:val="47825056"/>
    <w:rsid w:val="47E400CC"/>
    <w:rsid w:val="49396F88"/>
    <w:rsid w:val="499C1663"/>
    <w:rsid w:val="499E0095"/>
    <w:rsid w:val="49DA57FA"/>
    <w:rsid w:val="4D0D01ED"/>
    <w:rsid w:val="4DAC582F"/>
    <w:rsid w:val="4E4F3F0B"/>
    <w:rsid w:val="4F3F2B60"/>
    <w:rsid w:val="4F4E4E74"/>
    <w:rsid w:val="51F23EE8"/>
    <w:rsid w:val="52943587"/>
    <w:rsid w:val="57C50E11"/>
    <w:rsid w:val="58FB2ABB"/>
    <w:rsid w:val="59193E98"/>
    <w:rsid w:val="59CE48DD"/>
    <w:rsid w:val="5E6E5F24"/>
    <w:rsid w:val="5FB707AE"/>
    <w:rsid w:val="60726432"/>
    <w:rsid w:val="64C5571C"/>
    <w:rsid w:val="675300C1"/>
    <w:rsid w:val="6866016F"/>
    <w:rsid w:val="69E24C8F"/>
    <w:rsid w:val="6A9728CC"/>
    <w:rsid w:val="6BC87C19"/>
    <w:rsid w:val="6CC97B95"/>
    <w:rsid w:val="6CD0127C"/>
    <w:rsid w:val="6D6D7BDB"/>
    <w:rsid w:val="706A4E9E"/>
    <w:rsid w:val="70BD3320"/>
    <w:rsid w:val="724E268C"/>
    <w:rsid w:val="72BA456A"/>
    <w:rsid w:val="738761F6"/>
    <w:rsid w:val="747B3A1A"/>
    <w:rsid w:val="7539590B"/>
    <w:rsid w:val="754E655C"/>
    <w:rsid w:val="75EC5C91"/>
    <w:rsid w:val="78444701"/>
    <w:rsid w:val="787C51FA"/>
    <w:rsid w:val="7AE34E88"/>
    <w:rsid w:val="7B0B7ADA"/>
    <w:rsid w:val="7F416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caption"/>
    <w:basedOn w:val="1"/>
    <w:next w:val="1"/>
    <w:link w:val="13"/>
    <w:semiHidden/>
    <w:unhideWhenUsed/>
    <w:qFormat/>
    <w:uiPriority w:val="0"/>
    <w:rPr>
      <w:rFonts w:ascii="Arial" w:hAnsi="Arial" w:eastAsia="黑体"/>
      <w:sz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 w:type="character" w:customStyle="1" w:styleId="13">
    <w:name w:val="Caption Char"/>
    <w:link w:val="3"/>
    <w:qFormat/>
    <w:uiPriority w:val="0"/>
    <w:rPr>
      <w:rFonts w:ascii="Arial" w:hAnsi="Arial" w:eastAsia="黑体"/>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tiff"/><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2358</Words>
  <Characters>13588</Characters>
  <Lines>0</Lines>
  <Paragraphs>0</Paragraphs>
  <TotalTime>3</TotalTime>
  <ScaleCrop>false</ScaleCrop>
  <LinksUpToDate>false</LinksUpToDate>
  <CharactersWithSpaces>15682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2026-03-19T02:03:00Z</dcterms:created>
  <dc:creator>花花</dc:creator>
  <cp:lastModifiedBy>花花</cp:lastModifiedBy>
  <dcterms:modified xsi:type="dcterms:W3CDTF">2026-08-11T02:52:50Z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AEE228B20E1D484C9F5C1A03DE7CD12C_11</vt:lpwstr>
  </property>
  <property fmtid="{D5CDD505-2E9C-101B-9397-08002B2CF9AE}" pid="4" name="KSOTemplateDocerSaveRecord">
    <vt:lpwstr>eyJoZGlkIjoiNGI1MzBjNWU4ZjM3ZTRiMmRhZDQ0ZjZiMmMwYjU4YjEiLCJ1c2VySWQiOiI1MDA2MDUwNzcifQ==</vt:lpwstr>
  </property>
</Properties>
</file>