
<file path=[Content_Types].xml><?xml version="1.0" encoding="utf-8"?>
<Types xmlns="http://schemas.openxmlformats.org/package/2006/content-types">
  <Default Extension="png" ContentType="image/png"/>
  <Default Extension="tiff" ContentType="image/tif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3EF67">
      <w:pPr>
        <w:spacing w:line="360" w:lineRule="auto"/>
        <w:jc w:val="center"/>
        <w:rPr>
          <w:rFonts w:hint="default" w:ascii="Times New Roman" w:hAnsi="Times New Roman" w:cs="Times New Roman"/>
          <w:b/>
          <w:bCs/>
          <w:sz w:val="24"/>
          <w:szCs w:val="32"/>
        </w:rPr>
      </w:pPr>
      <w:r>
        <w:rPr>
          <w:rFonts w:hint="default" w:ascii="Times New Roman" w:hAnsi="Times New Roman" w:cs="Times New Roman"/>
          <w:b/>
          <w:bCs/>
          <w:sz w:val="24"/>
          <w:szCs w:val="32"/>
        </w:rPr>
        <w:t>Supplementary Materials</w:t>
      </w:r>
      <w:r>
        <w:rPr>
          <w:rFonts w:hint="eastAsia" w:ascii="Times New Roman" w:hAnsi="Times New Roman" w:cs="Times New Roman"/>
          <w:b/>
          <w:bCs/>
          <w:sz w:val="24"/>
          <w:szCs w:val="32"/>
          <w:lang w:val="en-US" w:eastAsia="zh-CN"/>
        </w:rPr>
        <w:t xml:space="preserve"> </w:t>
      </w:r>
      <w:r>
        <w:rPr>
          <w:rFonts w:hint="default" w:ascii="Times New Roman" w:hAnsi="Times New Roman" w:cs="Times New Roman"/>
          <w:b/>
          <w:bCs/>
          <w:sz w:val="24"/>
          <w:szCs w:val="32"/>
        </w:rPr>
        <w:t>for</w:t>
      </w:r>
    </w:p>
    <w:p w14:paraId="629E3D30">
      <w:pPr>
        <w:spacing w:line="360" w:lineRule="auto"/>
        <w:jc w:val="center"/>
        <w:rPr>
          <w:rFonts w:ascii="Times New Roman" w:hAnsi="Times New Roman" w:cs="Times New Roman"/>
          <w:b/>
          <w:bCs/>
          <w:sz w:val="28"/>
          <w:szCs w:val="36"/>
        </w:rPr>
      </w:pPr>
      <w:r>
        <w:rPr>
          <w:rFonts w:ascii="Times New Roman" w:hAnsi="Times New Roman" w:cs="Times New Roman"/>
          <w:b/>
          <w:bCs/>
          <w:sz w:val="28"/>
          <w:szCs w:val="36"/>
        </w:rPr>
        <w:t xml:space="preserve"> </w:t>
      </w:r>
      <w:r>
        <w:rPr>
          <w:rFonts w:hint="eastAsia" w:ascii="Times New Roman" w:hAnsi="Times New Roman" w:cs="Times New Roman"/>
          <w:b/>
          <w:bCs/>
          <w:sz w:val="28"/>
          <w:szCs w:val="36"/>
          <w:lang w:val="en-US" w:eastAsia="zh-CN"/>
        </w:rPr>
        <w:t>C</w:t>
      </w:r>
      <w:r>
        <w:rPr>
          <w:rFonts w:hint="eastAsia" w:ascii="Times New Roman" w:hAnsi="Times New Roman" w:cs="Times New Roman"/>
          <w:b/>
          <w:bCs/>
          <w:sz w:val="28"/>
          <w:szCs w:val="36"/>
        </w:rPr>
        <w:t>a</w:t>
      </w:r>
      <w:r>
        <w:rPr>
          <w:rFonts w:ascii="Times New Roman" w:hAnsi="Times New Roman" w:cs="Times New Roman"/>
          <w:b/>
          <w:bCs/>
          <w:sz w:val="28"/>
          <w:szCs w:val="36"/>
        </w:rPr>
        <w:t xml:space="preserve">rtilage matrix-inspired </w:t>
      </w:r>
      <w:r>
        <w:rPr>
          <w:rFonts w:hint="eastAsia" w:ascii="Times New Roman" w:hAnsi="Times New Roman" w:cs="Times New Roman"/>
          <w:b/>
          <w:bCs/>
          <w:sz w:val="28"/>
          <w:szCs w:val="36"/>
        </w:rPr>
        <w:t>e</w:t>
      </w:r>
      <w:r>
        <w:rPr>
          <w:rFonts w:ascii="Times New Roman" w:hAnsi="Times New Roman" w:cs="Times New Roman"/>
          <w:b/>
          <w:bCs/>
          <w:sz w:val="28"/>
          <w:szCs w:val="36"/>
        </w:rPr>
        <w:t>ngineer</w:t>
      </w:r>
      <w:r>
        <w:rPr>
          <w:rFonts w:hint="eastAsia" w:ascii="Times New Roman" w:hAnsi="Times New Roman" w:cs="Times New Roman"/>
          <w:b/>
          <w:bCs/>
          <w:sz w:val="28"/>
          <w:szCs w:val="36"/>
        </w:rPr>
        <w:t xml:space="preserve">ed </w:t>
      </w:r>
      <w:r>
        <w:rPr>
          <w:rFonts w:ascii="Times New Roman" w:hAnsi="Times New Roman" w:cs="Times New Roman"/>
          <w:b/>
          <w:bCs/>
          <w:sz w:val="28"/>
          <w:szCs w:val="36"/>
        </w:rPr>
        <w:t>organoid precursors</w:t>
      </w:r>
      <w:r>
        <w:rPr>
          <w:rFonts w:hint="eastAsia" w:ascii="Times New Roman" w:hAnsi="Times New Roman" w:cs="Times New Roman"/>
          <w:b/>
          <w:bCs/>
          <w:sz w:val="28"/>
          <w:szCs w:val="36"/>
        </w:rPr>
        <w:t xml:space="preserve"> using d</w:t>
      </w:r>
      <w:r>
        <w:rPr>
          <w:rFonts w:ascii="Times New Roman" w:hAnsi="Times New Roman" w:cs="Times New Roman"/>
          <w:b/>
          <w:bCs/>
          <w:sz w:val="28"/>
          <w:szCs w:val="36"/>
        </w:rPr>
        <w:t xml:space="preserve">igital light processing 3D bioprinting </w:t>
      </w:r>
      <w:r>
        <w:rPr>
          <w:rFonts w:hint="eastAsia" w:ascii="Times New Roman" w:hAnsi="Times New Roman" w:cs="Times New Roman"/>
          <w:b/>
          <w:bCs/>
          <w:sz w:val="28"/>
          <w:szCs w:val="36"/>
        </w:rPr>
        <w:t>for articular cartilage regeneration</w:t>
      </w:r>
    </w:p>
    <w:p w14:paraId="192B6E73">
      <w:pPr>
        <w:spacing w:line="360" w:lineRule="auto"/>
        <w:rPr>
          <w:rFonts w:hint="default" w:ascii="Times New Roman" w:hAnsi="Times New Roman" w:cs="Times New Roman" w:eastAsiaTheme="minorEastAsia"/>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Xun</w:t>
      </w:r>
      <w:r>
        <w:rPr>
          <w:rFonts w:hint="default" w:ascii="Times New Roman" w:hAnsi="Times New Roman" w:cs="Times New Roman"/>
          <w:color w:val="000000" w:themeColor="text1"/>
          <w:sz w:val="24"/>
          <w14:textFill>
            <w14:solidFill>
              <w14:schemeClr w14:val="tx1"/>
            </w14:solidFill>
          </w14:textFill>
        </w:rPr>
        <w:t xml:space="preserve"> </w:t>
      </w:r>
      <w:r>
        <w:rPr>
          <w:rFonts w:hint="default" w:ascii="Times New Roman" w:hAnsi="Times New Roman" w:cs="Times New Roman"/>
          <w:color w:val="000000" w:themeColor="text1"/>
          <w:sz w:val="24"/>
          <w:lang w:val="en-US" w:eastAsia="zh-CN"/>
          <w14:textFill>
            <w14:solidFill>
              <w14:schemeClr w14:val="tx1"/>
            </w14:solidFill>
          </w14:textFill>
        </w:rPr>
        <w:t>Yuan</w:t>
      </w:r>
      <w:r>
        <w:rPr>
          <w:rFonts w:hint="default" w:ascii="Times New Roman" w:hAnsi="Times New Roman" w:cs="Times New Roman"/>
          <w:color w:val="000000" w:themeColor="text1"/>
          <w:sz w:val="24"/>
          <w:vertAlign w:val="superscript"/>
          <w14:textFill>
            <w14:solidFill>
              <w14:schemeClr w14:val="tx1"/>
            </w14:solidFill>
          </w14:textFill>
        </w:rPr>
        <w:t>1#</w:t>
      </w:r>
      <w:r>
        <w:rPr>
          <w:rFonts w:hint="default" w:ascii="Times New Roman" w:hAnsi="Times New Roman" w:cs="Times New Roman"/>
          <w:color w:val="000000" w:themeColor="text1"/>
          <w:sz w:val="24"/>
          <w14:textFill>
            <w14:solidFill>
              <w14:schemeClr w14:val="tx1"/>
            </w14:solidFill>
          </w14:textFill>
        </w:rPr>
        <w:t xml:space="preserve">, </w:t>
      </w:r>
      <w:r>
        <w:rPr>
          <w:rFonts w:hint="default" w:ascii="Times New Roman" w:hAnsi="Times New Roman" w:cs="Times New Roman"/>
          <w:color w:val="000000" w:themeColor="text1"/>
          <w:sz w:val="24"/>
          <w:lang w:val="en-US" w:eastAsia="zh-CN"/>
          <w14:textFill>
            <w14:solidFill>
              <w14:schemeClr w14:val="tx1"/>
            </w14:solidFill>
          </w14:textFill>
        </w:rPr>
        <w:t>Liwei</w:t>
      </w:r>
      <w:r>
        <w:rPr>
          <w:rFonts w:hint="default" w:ascii="Times New Roman" w:hAnsi="Times New Roman" w:cs="Times New Roman"/>
          <w:color w:val="000000" w:themeColor="text1"/>
          <w:sz w:val="24"/>
          <w14:textFill>
            <w14:solidFill>
              <w14:schemeClr w14:val="tx1"/>
            </w14:solidFill>
          </w14:textFill>
        </w:rPr>
        <w:t xml:space="preserve"> </w:t>
      </w:r>
      <w:r>
        <w:rPr>
          <w:rFonts w:hint="default" w:ascii="Times New Roman" w:hAnsi="Times New Roman" w:cs="Times New Roman"/>
          <w:color w:val="000000" w:themeColor="text1"/>
          <w:sz w:val="24"/>
          <w:lang w:val="en-US" w:eastAsia="zh-CN"/>
          <w14:textFill>
            <w14:solidFill>
              <w14:schemeClr w14:val="tx1"/>
            </w14:solidFill>
          </w14:textFill>
        </w:rPr>
        <w:t>Fu</w:t>
      </w:r>
      <w:r>
        <w:rPr>
          <w:rFonts w:hint="default" w:ascii="Times New Roman" w:hAnsi="Times New Roman" w:cs="Times New Roman"/>
          <w:color w:val="000000" w:themeColor="text1"/>
          <w:sz w:val="24"/>
          <w:vertAlign w:val="superscript"/>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Jiang Wu</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4</w:t>
      </w:r>
      <w:r>
        <w:rPr>
          <w:rFonts w:hint="default"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vertAlign w:val="superscript"/>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Zhengang Ding</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4</w:t>
      </w:r>
      <w:r>
        <w:rPr>
          <w:rFonts w:hint="default"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vertAlign w:val="superscript"/>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Yazhe Zheng</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4</w:t>
      </w:r>
      <w:r>
        <w:rPr>
          <w:rFonts w:hint="default"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Zhichao Zhang</w:t>
      </w:r>
      <w:r>
        <w:rPr>
          <w:rFonts w:hint="default" w:ascii="Times New Roman" w:hAnsi="Times New Roman" w:cs="Times New Roman"/>
          <w:color w:val="000000" w:themeColor="text1"/>
          <w:sz w:val="24"/>
          <w:vertAlign w:val="superscript"/>
          <w14:textFill>
            <w14:solidFill>
              <w14:schemeClr w14:val="tx1"/>
            </w14:solidFill>
          </w14:textFill>
        </w:rPr>
        <w:t>3,4</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,5</w:t>
      </w:r>
      <w:bookmarkStart w:id="0" w:name="OLE_LINK29"/>
      <w:r>
        <w:rPr>
          <w:rFonts w:hint="default" w:ascii="Times New Roman" w:hAnsi="Times New Roman" w:cs="Times New Roman"/>
          <w:color w:val="000000" w:themeColor="text1"/>
          <w:sz w:val="24"/>
          <w14:textFill>
            <w14:solidFill>
              <w14:schemeClr w14:val="tx1"/>
            </w14:solidFill>
          </w14:textFill>
        </w:rPr>
        <w:t>, Zhixing Zhang</w:t>
      </w:r>
      <w:r>
        <w:rPr>
          <w:rFonts w:hint="default" w:ascii="Times New Roman" w:hAnsi="Times New Roman" w:cs="Times New Roman"/>
          <w:color w:val="000000" w:themeColor="text1"/>
          <w:sz w:val="24"/>
          <w:vertAlign w:val="superscript"/>
          <w14:textFill>
            <w14:solidFill>
              <w14:schemeClr w14:val="tx1"/>
            </w14:solidFill>
          </w14:textFill>
        </w:rPr>
        <w:t>3,4</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 Chuanyang Long</w:t>
      </w:r>
      <w:r>
        <w:rPr>
          <w:rFonts w:hint="default" w:ascii="Times New Roman" w:hAnsi="Times New Roman" w:cs="Times New Roman"/>
          <w:color w:val="000000" w:themeColor="text1"/>
          <w:sz w:val="24"/>
          <w:vertAlign w:val="superscript"/>
          <w14:textFill>
            <w14:solidFill>
              <w14:schemeClr w14:val="tx1"/>
            </w14:solidFill>
          </w14:textFill>
        </w:rPr>
        <w:t>3,4</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 Jianhao Wu</w:t>
      </w:r>
      <w:bookmarkEnd w:id="0"/>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4</w:t>
      </w:r>
      <w:r>
        <w:rPr>
          <w:rFonts w:hint="default"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 Xiang Sui</w:t>
      </w:r>
      <w:bookmarkStart w:id="1" w:name="OLE_LINK32"/>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4</w:t>
      </w:r>
      <w:r>
        <w:rPr>
          <w:rFonts w:hint="default"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 Shuyun Liu</w:t>
      </w:r>
      <w:r>
        <w:rPr>
          <w:rFonts w:hint="default" w:ascii="Times New Roman" w:hAnsi="Times New Roman" w:cs="Times New Roman"/>
          <w:color w:val="000000" w:themeColor="text1"/>
          <w:sz w:val="24"/>
          <w:vertAlign w:val="superscript"/>
          <w14:textFill>
            <w14:solidFill>
              <w14:schemeClr w14:val="tx1"/>
            </w14:solidFill>
          </w14:textFill>
        </w:rPr>
        <w:t>3,4</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 xml:space="preserve">*, </w:t>
      </w:r>
      <w:bookmarkEnd w:id="1"/>
      <w:r>
        <w:rPr>
          <w:rFonts w:hint="default" w:ascii="Times New Roman" w:hAnsi="Times New Roman" w:cs="Times New Roman"/>
          <w:color w:val="000000" w:themeColor="text1"/>
          <w:sz w:val="24"/>
          <w14:textFill>
            <w14:solidFill>
              <w14:schemeClr w14:val="tx1"/>
            </w14:solidFill>
          </w14:textFill>
        </w:rPr>
        <w:t>Quanyi Guo</w:t>
      </w:r>
      <w:r>
        <w:rPr>
          <w:rFonts w:hint="default" w:ascii="Times New Roman" w:hAnsi="Times New Roman" w:cs="Times New Roman"/>
          <w:color w:val="000000" w:themeColor="text1"/>
          <w:sz w:val="24"/>
          <w:vertAlign w:val="superscript"/>
          <w14:textFill>
            <w14:solidFill>
              <w14:schemeClr w14:val="tx1"/>
            </w14:solidFill>
          </w14:textFill>
        </w:rPr>
        <w:t>3,4,</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w:t>
      </w:r>
    </w:p>
    <w:p w14:paraId="1DE00D81">
      <w:pPr>
        <w:widowControl/>
        <w:spacing w:line="480" w:lineRule="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 The Fourth People's Hospital of Guiyan</w:t>
      </w:r>
      <w:r>
        <w:rPr>
          <w:rFonts w:hint="eastAsia" w:ascii="Times New Roman" w:hAnsi="Times New Roman" w:cs="Times New Roman"/>
          <w:color w:val="000000" w:themeColor="text1"/>
          <w:sz w:val="24"/>
          <w:lang w:val="en-US" w:eastAsia="zh-CN"/>
          <w14:textFill>
            <w14:solidFill>
              <w14:schemeClr w14:val="tx1"/>
            </w14:solidFill>
          </w14:textFill>
        </w:rPr>
        <w:t>g</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Guiyang 550002, Guizhou Province, People</w:t>
      </w:r>
      <w:r>
        <w:rPr>
          <w:rFonts w:hint="default" w:ascii="Times New Roman" w:hAnsi="Times New Roman"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s Republic of China</w:t>
      </w:r>
    </w:p>
    <w:p w14:paraId="678031F8">
      <w:pPr>
        <w:widowControl/>
        <w:spacing w:line="480" w:lineRule="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 Department of Orthopedics, Peking University First Hospital, Beijing 100034, China</w:t>
      </w:r>
    </w:p>
    <w:p w14:paraId="405D5E2B">
      <w:pPr>
        <w:widowControl/>
        <w:numPr>
          <w:ilvl w:val="0"/>
          <w:numId w:val="0"/>
        </w:numPr>
        <w:spacing w:line="480" w:lineRule="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 Institute of Orthopedics, Chinese PLA General Hospital; Beijing Key Laboratory of Regenerative Medicine in Orthopedics; Key Laboratory of Musculoskeletal Trauma &amp; War Injuries PLA; No. 28 Fuxing Road, Haidian District, Beijing 100853, People’s Republic of China</w:t>
      </w:r>
    </w:p>
    <w:p w14:paraId="70F0AEB9">
      <w:pPr>
        <w:widowControl/>
        <w:spacing w:line="480" w:lineRule="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w:t>
      </w:r>
      <w:r>
        <w:rPr>
          <w:rFonts w:hint="default" w:ascii="Times New Roman" w:hAnsi="Times New Roman" w:cs="Times New Roman"/>
          <w:color w:val="000000" w:themeColor="text1"/>
          <w:sz w:val="24"/>
          <w14:textFill>
            <w14:solidFill>
              <w14:schemeClr w14:val="tx1"/>
            </w14:solidFill>
          </w14:textFill>
        </w:rPr>
        <w:t>: Department of Orthopedics, The Fourth Medical Center, Chinese PLA General Hospital, Beijing 100048, People’s Republic of China</w:t>
      </w:r>
    </w:p>
    <w:p w14:paraId="755E3637">
      <w:pPr>
        <w:widowControl/>
        <w:spacing w:line="480" w:lineRule="auto"/>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National Clinical Research Center for Orthopedics, Sports Medicine &amp; Rehabilitation, Beijing 100853, People’s Republic of China</w:t>
      </w:r>
    </w:p>
    <w:p w14:paraId="00A0D238">
      <w:pPr>
        <w:widowControl/>
        <w:spacing w:line="480" w:lineRule="auto"/>
        <w:rPr>
          <w:rFonts w:ascii="Times New Roman" w:hAnsi="Times New Roman" w:cs="Times New Roman"/>
          <w:sz w:val="24"/>
        </w:rPr>
      </w:pPr>
      <w:r>
        <w:rPr>
          <w:rFonts w:ascii="Times New Roman" w:hAnsi="Times New Roman" w:cs="Times New Roman"/>
          <w:sz w:val="24"/>
          <w:vertAlign w:val="superscript"/>
        </w:rPr>
        <w:t>#</w:t>
      </w:r>
      <w:r>
        <w:rPr>
          <w:rFonts w:ascii="Times New Roman" w:hAnsi="Times New Roman" w:cs="Times New Roman"/>
          <w:sz w:val="24"/>
        </w:rPr>
        <w:t>These authors contributed equally to this work</w:t>
      </w:r>
    </w:p>
    <w:p w14:paraId="5F87A1DB">
      <w:pPr>
        <w:widowControl/>
        <w:spacing w:line="480" w:lineRule="auto"/>
        <w:rPr>
          <w:rFonts w:ascii="Times New Roman" w:hAnsi="Times New Roman" w:cs="Times New Roman"/>
          <w:sz w:val="24"/>
        </w:rPr>
      </w:pPr>
      <w:r>
        <w:rPr>
          <w:rFonts w:ascii="Times New Roman" w:hAnsi="Times New Roman" w:cs="Times New Roman"/>
          <w:sz w:val="24"/>
        </w:rPr>
        <w:t>*Corresponding author:</w:t>
      </w:r>
    </w:p>
    <w:p w14:paraId="1CAA3897">
      <w:pPr>
        <w:numPr>
          <w:ilvl w:val="0"/>
          <w:numId w:val="1"/>
        </w:numPr>
        <w:spacing w:line="360" w:lineRule="auto"/>
        <w:rPr>
          <w:rFonts w:ascii="Times New Roman" w:hAnsi="Times New Roman" w:cs="Times New Roman"/>
          <w:sz w:val="24"/>
        </w:rPr>
      </w:pPr>
      <w:r>
        <w:rPr>
          <w:rFonts w:ascii="Times New Roman" w:hAnsi="Times New Roman" w:cs="Times New Roman"/>
          <w:sz w:val="24"/>
        </w:rPr>
        <w:t>Quanyi Guo, Email: doctorguo_301@163.com</w:t>
      </w:r>
    </w:p>
    <w:p w14:paraId="2E2DAF48">
      <w:pPr>
        <w:numPr>
          <w:ilvl w:val="0"/>
          <w:numId w:val="1"/>
        </w:numPr>
        <w:spacing w:line="360" w:lineRule="auto"/>
        <w:rPr>
          <w:rFonts w:ascii="Times New Roman" w:hAnsi="Times New Roman" w:cs="Times New Roman"/>
          <w:sz w:val="24"/>
        </w:rPr>
      </w:pPr>
      <w:r>
        <w:rPr>
          <w:rFonts w:hint="eastAsia" w:ascii="Times New Roman" w:hAnsi="Times New Roman" w:cs="Times New Roman"/>
          <w:sz w:val="24"/>
          <w:lang w:val="en-US" w:eastAsia="zh-CN"/>
        </w:rPr>
        <w:t>Shuyun Liu</w:t>
      </w:r>
      <w:r>
        <w:rPr>
          <w:rFonts w:ascii="Times New Roman" w:hAnsi="Times New Roman" w:cs="Times New Roman"/>
          <w:sz w:val="24"/>
        </w:rPr>
        <w:t>, Email:</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clear_ann@163.com</w:t>
      </w:r>
    </w:p>
    <w:p w14:paraId="0011AC88">
      <w:pPr>
        <w:numPr>
          <w:ilvl w:val="0"/>
          <w:numId w:val="1"/>
        </w:numPr>
        <w:spacing w:line="360" w:lineRule="auto"/>
        <w:rPr>
          <w:rFonts w:hint="default" w:ascii="Times New Roman" w:hAnsi="Times New Roman" w:cs="Times New Roman"/>
          <w:b/>
          <w:bCs/>
          <w:sz w:val="24"/>
          <w:szCs w:val="32"/>
        </w:rPr>
      </w:pPr>
      <w:r>
        <w:rPr>
          <w:rFonts w:ascii="Times New Roman" w:hAnsi="Times New Roman" w:cs="Times New Roman"/>
          <w:sz w:val="24"/>
        </w:rPr>
        <w:t xml:space="preserve">Liwei Fu, Email: </w:t>
      </w:r>
      <w:r>
        <w:rPr>
          <w:rFonts w:ascii="Times New Roman" w:hAnsi="Times New Roman" w:cs="Times New Roman"/>
          <w:color w:val="auto"/>
          <w:sz w:val="24"/>
          <w:u w:val="none"/>
        </w:rPr>
        <w:t>fuliwei1996@163.com</w:t>
      </w:r>
    </w:p>
    <w:p w14:paraId="5485590E">
      <w:pPr>
        <w:spacing w:line="360" w:lineRule="auto"/>
        <w:rPr>
          <w:rFonts w:hint="default" w:ascii="Times New Roman" w:hAnsi="Times New Roman" w:cs="Times New Roman"/>
          <w:b/>
          <w:bCs/>
          <w:sz w:val="24"/>
          <w:szCs w:val="32"/>
        </w:rPr>
      </w:pPr>
      <w:r>
        <w:rPr>
          <w:rFonts w:hint="eastAsia" w:ascii="Times New Roman" w:hAnsi="Times New Roman" w:cs="Times New Roman"/>
          <w:b/>
          <w:color w:val="000000"/>
          <w:kern w:val="0"/>
          <w:sz w:val="24"/>
          <w:lang w:val="en-US" w:eastAsia="zh-CN"/>
        </w:rPr>
        <w:t>Supplementary e</w:t>
      </w:r>
      <w:r>
        <w:rPr>
          <w:rFonts w:hint="default" w:ascii="Times New Roman" w:hAnsi="Times New Roman" w:cs="Times New Roman"/>
          <w:b/>
          <w:bCs/>
          <w:sz w:val="24"/>
          <w:szCs w:val="32"/>
        </w:rPr>
        <w:t>xperimental Section</w:t>
      </w:r>
    </w:p>
    <w:p w14:paraId="31574203">
      <w:pPr>
        <w:numPr>
          <w:ilvl w:val="0"/>
          <w:numId w:val="0"/>
        </w:numPr>
        <w:spacing w:line="360" w:lineRule="auto"/>
        <w:rPr>
          <w:rFonts w:hint="default" w:ascii="Times New Roman" w:hAnsi="Times New Roman" w:cs="Times New Roman"/>
          <w:b/>
          <w:bCs/>
          <w:sz w:val="24"/>
          <w:szCs w:val="32"/>
        </w:rPr>
      </w:pPr>
      <w:r>
        <w:rPr>
          <w:rFonts w:hint="default" w:ascii="Times New Roman" w:hAnsi="Times New Roman" w:cs="Times New Roman" w:eastAsiaTheme="minorEastAsia"/>
          <w:b/>
          <w:bCs/>
          <w:kern w:val="2"/>
          <w:sz w:val="24"/>
          <w:szCs w:val="32"/>
          <w:lang w:val="en-US" w:eastAsia="zh-CN" w:bidi="ar-SA"/>
        </w:rPr>
        <w:t>1.</w:t>
      </w:r>
      <w:r>
        <w:rPr>
          <w:rFonts w:hint="default" w:ascii="Times New Roman" w:hAnsi="Times New Roman" w:cs="Times New Roman"/>
          <w:b/>
          <w:bCs/>
          <w:sz w:val="24"/>
          <w:szCs w:val="32"/>
        </w:rPr>
        <w:t>Preparation and characterization of matrix bioinks</w:t>
      </w:r>
    </w:p>
    <w:p w14:paraId="0D4005E9">
      <w:pPr>
        <w:spacing w:line="360" w:lineRule="auto"/>
        <w:rPr>
          <w:rFonts w:hint="default" w:ascii="Times New Roman" w:hAnsi="Times New Roman" w:cs="Times New Roman"/>
          <w:b w:val="0"/>
          <w:bCs w:val="0"/>
          <w:sz w:val="24"/>
          <w:szCs w:val="32"/>
        </w:rPr>
      </w:pPr>
      <w:r>
        <w:rPr>
          <w:rFonts w:hint="eastAsia" w:ascii="Times New Roman" w:hAnsi="Times New Roman" w:cs="Times New Roman"/>
          <w:b w:val="0"/>
          <w:bCs w:val="0"/>
          <w:sz w:val="24"/>
          <w:szCs w:val="32"/>
          <w:lang w:val="en-US" w:eastAsia="zh-CN"/>
        </w:rPr>
        <w:t>1.1</w:t>
      </w:r>
      <w:r>
        <w:rPr>
          <w:rFonts w:hint="default" w:ascii="Times New Roman" w:hAnsi="Times New Roman" w:cs="Times New Roman"/>
          <w:b w:val="0"/>
          <w:bCs w:val="0"/>
          <w:sz w:val="24"/>
          <w:szCs w:val="32"/>
        </w:rPr>
        <w:t xml:space="preserve"> Extraction of Glycosaminoglycans (GAG)</w:t>
      </w:r>
    </w:p>
    <w:p w14:paraId="34358A10">
      <w:pPr>
        <w:spacing w:line="360" w:lineRule="auto"/>
        <w:ind w:firstLine="480" w:firstLineChars="200"/>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The extraction and purification of GAG were conducted according to the method reported by Keiichi Takagaki et al. with appropriate modifications. Briefly, the articular cartilage was isolated from the trochlea and condyles of purchased pig knee joints, uniformly minced, and then pulverized using a grinder. The pulverized samples were immersed in a 4% acetic acid solution at 4°C with continuous stirring for 48 hours. The mixture was then filtered through a 150-μm stainless steel mesh to remove residual impurities. The filtrate was centrifuged (4°C, 10,000 rpm, 20 min) to collect the supernatant. Three volumes of ethanol saturated with sodium chloride were added to the supernatant, followed by another centrifugation step (4°C, 10,000 rpm, 20 min) to collect the precipitate. The precipitate was dissolved in a 4% acetic acid solution and dialyzed for 72 hours using a cellulose ester dialysis membrane with a molecular weight cut-off of 1000 kDa. Finally, the dialyzed sample was freeze-dried at -70°C for 24 hours to obtain the glycosaminoglycans (GAG).</w:t>
      </w:r>
    </w:p>
    <w:p w14:paraId="261A718F">
      <w:pPr>
        <w:spacing w:line="360" w:lineRule="auto"/>
        <w:ind w:firstLine="480" w:firstLineChars="200"/>
        <w:rPr>
          <w:rFonts w:hint="default" w:ascii="Times New Roman" w:hAnsi="Times New Roman" w:cs="Times New Roman"/>
          <w:b w:val="0"/>
          <w:bCs w:val="0"/>
          <w:sz w:val="24"/>
          <w:szCs w:val="32"/>
        </w:rPr>
      </w:pPr>
    </w:p>
    <w:p w14:paraId="6DCCE29E">
      <w:pPr>
        <w:spacing w:line="360" w:lineRule="auto"/>
        <w:rPr>
          <w:rFonts w:hint="default" w:ascii="Times New Roman" w:hAnsi="Times New Roman" w:cs="Times New Roman"/>
          <w:b w:val="0"/>
          <w:bCs w:val="0"/>
          <w:sz w:val="24"/>
          <w:szCs w:val="32"/>
        </w:rPr>
      </w:pPr>
      <w:r>
        <w:rPr>
          <w:rFonts w:hint="eastAsia" w:ascii="Times New Roman" w:hAnsi="Times New Roman" w:cs="Times New Roman"/>
          <w:b w:val="0"/>
          <w:bCs w:val="0"/>
          <w:sz w:val="24"/>
          <w:szCs w:val="32"/>
          <w:lang w:val="en-US" w:eastAsia="zh-CN"/>
        </w:rPr>
        <w:t xml:space="preserve">1.2 </w:t>
      </w:r>
      <w:r>
        <w:rPr>
          <w:rFonts w:hint="default" w:ascii="Times New Roman" w:hAnsi="Times New Roman" w:cs="Times New Roman"/>
          <w:b w:val="0"/>
          <w:bCs w:val="0"/>
          <w:sz w:val="24"/>
          <w:szCs w:val="32"/>
        </w:rPr>
        <w:t>Preparation of the Bioink</w:t>
      </w:r>
    </w:p>
    <w:p w14:paraId="45799B64">
      <w:pPr>
        <w:spacing w:line="360" w:lineRule="auto"/>
        <w:ind w:firstLine="480" w:firstLineChars="200"/>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This study used recombinant humanized type II collagen (Rhcol II) (Jiangsu Chuangjian Medical Co., Ltd.) and glycosaminoglycan (GAG) as the main components. Precise amounts of the mixture, totaling 5 g, were weighed according to different mass ratios (Rhcol II:GAG = 10:0, 7:3, 5:5, 3:7, 0:10) and dissolved in 100 mL of PBS buffer to prepare a homogeneous series of bioink precursor solutions. Simultaneously, 50 g of HAMA sponge was dissolved in 500 mL of sterile PBS solution, and completely dissolved in a constant temperature water bath at 37°C. The solution was sterilized by filtration through a 0.22 μm microporous membrane to obtain a 10% (w/v) HAMA stock solution. Subsequently, the HAMA solution was mixed with the different bioink precursor solutions in a 1:1 volume ratio. The photoinitiator Lithium Phenyl (2,4,6-trimethylbenzoyl) phosphinate (LAP, Sigma-Aldrich) was added to the mixture to finally obtain the RGH bioinks with different formulations. Using aseptic techniques, the bioinks were aliquoted, sealed, and stored at 4°C for future use.</w:t>
      </w:r>
    </w:p>
    <w:p w14:paraId="6A0F76E5">
      <w:pPr>
        <w:spacing w:line="360" w:lineRule="auto"/>
        <w:rPr>
          <w:rFonts w:hint="eastAsia" w:ascii="Times New Roman" w:hAnsi="Times New Roman" w:cs="Times New Roman"/>
          <w:b w:val="0"/>
          <w:bCs w:val="0"/>
          <w:sz w:val="24"/>
          <w:szCs w:val="32"/>
          <w:lang w:val="en-US" w:eastAsia="zh-CN"/>
        </w:rPr>
      </w:pPr>
    </w:p>
    <w:p w14:paraId="7EF42D7C">
      <w:pPr>
        <w:spacing w:line="360" w:lineRule="auto"/>
        <w:rPr>
          <w:rFonts w:hint="default" w:ascii="Times New Roman" w:hAnsi="Times New Roman" w:cs="Times New Roman" w:eastAsiaTheme="minorEastAsia"/>
          <w:b w:val="0"/>
          <w:bCs w:val="0"/>
          <w:sz w:val="24"/>
          <w:szCs w:val="32"/>
          <w:lang w:val="en-US" w:eastAsia="zh-CN"/>
        </w:rPr>
      </w:pPr>
      <w:r>
        <w:rPr>
          <w:rFonts w:hint="eastAsia" w:ascii="Times New Roman" w:hAnsi="Times New Roman" w:cs="Times New Roman"/>
          <w:b w:val="0"/>
          <w:bCs w:val="0"/>
          <w:sz w:val="24"/>
          <w:szCs w:val="32"/>
          <w:lang w:val="en-US" w:eastAsia="zh-CN"/>
        </w:rPr>
        <w:t>1.3 Photocuring Properties of the Bioink</w:t>
      </w:r>
    </w:p>
    <w:p w14:paraId="1EA2B984">
      <w:pPr>
        <w:spacing w:line="360" w:lineRule="auto"/>
        <w:ind w:firstLine="480" w:firstLineChars="200"/>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To evaluate the photocrosslinking properties of the RGH bioinks with different formulations, 1 mL of each RGH bioink (containing Rhcol II and GAG at mass ratios of 10:0, 7:3, 5:5, 3:7, and 0:10) and HAMA bioink were added into curing molds, respectively. After exposure to blue light (wavelength: 405 nm) for 3 minutes, their crosslinking and curing status were observed and recorded.</w:t>
      </w:r>
    </w:p>
    <w:p w14:paraId="2C9A7CAF">
      <w:pPr>
        <w:spacing w:line="360" w:lineRule="auto"/>
        <w:ind w:firstLine="480" w:firstLineChars="200"/>
        <w:rPr>
          <w:rFonts w:hint="default" w:ascii="Times New Roman" w:hAnsi="Times New Roman" w:cs="Times New Roman"/>
          <w:b w:val="0"/>
          <w:bCs w:val="0"/>
          <w:sz w:val="24"/>
          <w:szCs w:val="32"/>
        </w:rPr>
      </w:pPr>
    </w:p>
    <w:p w14:paraId="7B7EF40F">
      <w:pPr>
        <w:spacing w:line="360" w:lineRule="auto"/>
        <w:rPr>
          <w:rFonts w:hint="default" w:ascii="Times New Roman" w:hAnsi="Times New Roman" w:cs="Times New Roman"/>
          <w:b w:val="0"/>
          <w:bCs w:val="0"/>
          <w:sz w:val="24"/>
          <w:szCs w:val="32"/>
        </w:rPr>
      </w:pPr>
      <w:r>
        <w:rPr>
          <w:rFonts w:hint="eastAsia" w:ascii="Times New Roman" w:hAnsi="Times New Roman" w:cs="Times New Roman"/>
          <w:b w:val="0"/>
          <w:bCs w:val="0"/>
          <w:sz w:val="24"/>
          <w:szCs w:val="32"/>
          <w:lang w:val="en-US" w:eastAsia="zh-CN"/>
        </w:rPr>
        <w:t xml:space="preserve">1.4 </w:t>
      </w:r>
      <w:r>
        <w:rPr>
          <w:rFonts w:hint="default" w:ascii="Times New Roman" w:hAnsi="Times New Roman" w:cs="Times New Roman"/>
          <w:b w:val="0"/>
          <w:bCs w:val="0"/>
          <w:sz w:val="24"/>
          <w:szCs w:val="32"/>
        </w:rPr>
        <w:t>Rheological Properties of the Bioink</w:t>
      </w:r>
    </w:p>
    <w:p w14:paraId="3CA7AFDE">
      <w:pPr>
        <w:spacing w:line="360" w:lineRule="auto"/>
        <w:ind w:firstLine="480" w:firstLineChars="200"/>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To evaluate the printability of the bioink for DLP printing, its rheological properties were characterized using a Paar MCR 301 rotational rheometer. A dynamic frequency sweep was performed at 25°C, with the frequency range set from 10¹ to 10³ Hz and the angular frequency range from 10¹ to 10² rad/s, to measure the viscoelastic moduli of bioinks with different concentrations.</w:t>
      </w:r>
    </w:p>
    <w:p w14:paraId="4CCC7A26">
      <w:pPr>
        <w:spacing w:line="360" w:lineRule="auto"/>
        <w:ind w:firstLine="480" w:firstLineChars="200"/>
        <w:rPr>
          <w:rFonts w:hint="default" w:ascii="Times New Roman" w:hAnsi="Times New Roman" w:cs="Times New Roman"/>
          <w:b w:val="0"/>
          <w:bCs w:val="0"/>
          <w:sz w:val="24"/>
          <w:szCs w:val="32"/>
        </w:rPr>
      </w:pPr>
    </w:p>
    <w:p w14:paraId="6A18BD11">
      <w:pPr>
        <w:widowControl/>
        <w:numPr>
          <w:ilvl w:val="0"/>
          <w:numId w:val="0"/>
        </w:numPr>
        <w:spacing w:line="360" w:lineRule="auto"/>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24"/>
          <w:lang w:val="en-US" w:eastAsia="zh-CN"/>
        </w:rPr>
        <w:t xml:space="preserve">2. </w:t>
      </w:r>
      <w:r>
        <w:rPr>
          <w:rFonts w:hint="eastAsia" w:ascii="Times New Roman" w:hAnsi="Times New Roman" w:cs="Times New Roman"/>
          <w:b/>
          <w:bCs/>
          <w:sz w:val="24"/>
          <w:szCs w:val="32"/>
          <w:lang w:val="en-US" w:eastAsia="zh-CN"/>
        </w:rPr>
        <w:t>Isolation, Culture, and Identification of Umbilical Cord Mesenchymal Stem Cells</w:t>
      </w:r>
    </w:p>
    <w:p w14:paraId="3B8F5BAC">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This study was approved by the Ethics Committee of Chinese PLA General Hospital. Human umbilical cord mesenchymal stem cells (</w:t>
      </w:r>
      <w:r>
        <w:rPr>
          <w:rFonts w:hint="eastAsia" w:ascii="Times New Roman" w:hAnsi="Times New Roman" w:cs="Times New Roman"/>
          <w:b w:val="0"/>
          <w:bCs w:val="0"/>
          <w:sz w:val="24"/>
          <w:szCs w:val="32"/>
          <w:lang w:val="en-US" w:eastAsia="zh-CN"/>
        </w:rPr>
        <w:t>h</w:t>
      </w:r>
      <w:r>
        <w:rPr>
          <w:rFonts w:hint="default" w:ascii="Times New Roman" w:hAnsi="Times New Roman" w:cs="Times New Roman"/>
          <w:b w:val="0"/>
          <w:bCs w:val="0"/>
          <w:sz w:val="24"/>
          <w:szCs w:val="32"/>
          <w:lang w:val="en-US" w:eastAsia="zh-CN"/>
        </w:rPr>
        <w:t xml:space="preserve">UCMSCs) were isolated and cultured according to the method </w:t>
      </w:r>
      <w:r>
        <w:rPr>
          <w:rFonts w:hint="eastAsia" w:ascii="Times New Roman" w:hAnsi="Times New Roman" w:cs="Times New Roman"/>
          <w:b w:val="0"/>
          <w:bCs w:val="0"/>
          <w:sz w:val="24"/>
          <w:szCs w:val="32"/>
          <w:lang w:val="en-US" w:eastAsia="zh-CN"/>
        </w:rPr>
        <w:t>before</w:t>
      </w:r>
      <w:r>
        <w:rPr>
          <w:rFonts w:hint="default" w:ascii="Times New Roman" w:hAnsi="Times New Roman" w:cs="Times New Roman"/>
          <w:b w:val="0"/>
          <w:bCs w:val="0"/>
          <w:sz w:val="24"/>
          <w:szCs w:val="32"/>
          <w:lang w:val="en-US" w:eastAsia="zh-CN"/>
        </w:rPr>
        <w:t>. Briefly, fresh umbilical cord tissue obtained from cesarean section was aseptically cut into segments approximately 5 cm in length. The segments were rinsed with PBS to remove residual amniotic fluid and blood. The cord was longitudinally incised, and the umbilical vein (one) and umbilical arteries (two) were separated and removed. The Wharton's jelly was carefully scraped and minced into fragments of approximately 1×1 mm³. The tissue fragments were placed in a T25 culture flask</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(Jet Biofil)</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 xml:space="preserve">containing DMEM basal medium </w:t>
      </w:r>
      <w:bookmarkStart w:id="3" w:name="_GoBack"/>
      <w:bookmarkEnd w:id="3"/>
      <w:r>
        <w:rPr>
          <w:rFonts w:hint="default" w:ascii="Times New Roman" w:hAnsi="Times New Roman" w:cs="Times New Roman"/>
          <w:b w:val="0"/>
          <w:bCs w:val="0"/>
          <w:sz w:val="24"/>
          <w:szCs w:val="32"/>
          <w:lang w:val="en-US" w:eastAsia="zh-CN"/>
        </w:rPr>
        <w:t>supplemented with 10% fetal bovine serum</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w:t>
      </w:r>
      <w:r>
        <w:rPr>
          <w:rFonts w:hint="eastAsia" w:ascii="Times New Roman" w:hAnsi="Times New Roman" w:cs="Times New Roman"/>
          <w:b w:val="0"/>
          <w:bCs w:val="0"/>
          <w:sz w:val="24"/>
          <w:szCs w:val="32"/>
          <w:lang w:val="en-US" w:eastAsia="zh-CN"/>
        </w:rPr>
        <w:t xml:space="preserve">F101, </w:t>
      </w:r>
      <w:r>
        <w:rPr>
          <w:rFonts w:hint="default" w:ascii="Times New Roman" w:hAnsi="Times New Roman" w:cs="Times New Roman"/>
          <w:b w:val="0"/>
          <w:bCs w:val="0"/>
          <w:sz w:val="24"/>
          <w:szCs w:val="32"/>
          <w:lang w:val="en-US" w:eastAsia="zh-CN"/>
        </w:rPr>
        <w:t>Vazyme Biotech Co.,Ltd)</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and 1% penicillin-streptomycin, and cultured at 37°C in a 5% CO₂ incubator. The medium was changed every two days. When cells reached approximately 90% confluence, they were passaged at a 1:3 ratio. HUCMSCs at passages 3–4 (P3–P4) were used in the experiments.</w:t>
      </w:r>
    </w:p>
    <w:p w14:paraId="16DAFEC0">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To verify the multilineage differentiation potential of HUCMSCs, trilineage (adipogenic, osteogenic, and chondrogenic) differentiation experiments were conducted.</w:t>
      </w:r>
    </w:p>
    <w:p w14:paraId="61A638AB">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Adipogenic differentiation: 1×10⁵ HUCMSCs were seeded into a 6-well plate and cultured in mesenchymal stem cell adipogenic differentiation medium, which was changed every two days. After 7 days of induction, the cells were fixed with 4% paraformaldehyde and stained with Oil Red O to detect lipid droplet formation.</w:t>
      </w:r>
    </w:p>
    <w:p w14:paraId="787F483A">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Osteogenic differentiation: A similar procedure was followed. HUCMSCs were cultured in osteogenic induction medium for 14 days and then stained with Alizarin Red S to assess calcium nodule formation.</w:t>
      </w:r>
    </w:p>
    <w:p w14:paraId="71A82352">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Chondrogenic differentiation: 3×10⁵ HUCMSCs were suspended in a 15 mL centrifuge tube and centrifuged at 2000 rpm for 5 minutes to form a cell pellet. The pellet was first pre-cultured for 24 hours in DMEM basal medium containing 10% FBS (</w:t>
      </w:r>
      <w:r>
        <w:rPr>
          <w:rFonts w:hint="eastAsia" w:ascii="Times New Roman" w:hAnsi="Times New Roman" w:cs="Times New Roman"/>
          <w:b w:val="0"/>
          <w:bCs w:val="0"/>
          <w:sz w:val="24"/>
          <w:szCs w:val="32"/>
          <w:lang w:val="en-US" w:eastAsia="zh-CN"/>
        </w:rPr>
        <w:t xml:space="preserve">F101, </w:t>
      </w:r>
      <w:r>
        <w:rPr>
          <w:rFonts w:hint="default" w:ascii="Times New Roman" w:hAnsi="Times New Roman" w:cs="Times New Roman"/>
          <w:b w:val="0"/>
          <w:bCs w:val="0"/>
          <w:sz w:val="24"/>
          <w:szCs w:val="32"/>
          <w:lang w:val="en-US" w:eastAsia="zh-CN"/>
        </w:rPr>
        <w:t>Vazyme Biotech Co.,Ltd) and 1% penicillin-streptomycin. The medium was then replaced with chondrogenic induction medium and changed every two days. After 14 days of induction, the cell pellet was subjected to frozen sectioning and stained with Alcian Blue to detect glycosaminoglycan deposition in the cartilage matrix.</w:t>
      </w:r>
    </w:p>
    <w:p w14:paraId="6DEB525F">
      <w:pPr>
        <w:spacing w:line="360" w:lineRule="auto"/>
        <w:ind w:firstLine="480" w:firstLineChars="200"/>
        <w:rPr>
          <w:rFonts w:hint="default" w:ascii="Times New Roman" w:hAnsi="Times New Roman" w:cs="Times New Roman"/>
          <w:b w:val="0"/>
          <w:bCs w:val="0"/>
          <w:sz w:val="24"/>
          <w:szCs w:val="32"/>
        </w:rPr>
      </w:pPr>
    </w:p>
    <w:p w14:paraId="329476DF">
      <w:pPr>
        <w:numPr>
          <w:ilvl w:val="0"/>
          <w:numId w:val="2"/>
        </w:numPr>
        <w:spacing w:line="360" w:lineRule="auto"/>
        <w:ind w:left="0" w:leftChars="0" w:firstLine="0" w:firstLineChars="0"/>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t>Preparation and Characterization of COPs</w:t>
      </w:r>
    </w:p>
    <w:p w14:paraId="57F9FCE7">
      <w:pPr>
        <w:spacing w:line="360" w:lineRule="auto"/>
        <w:rPr>
          <w:rFonts w:hint="default"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3.1 Scaffold Printing</w:t>
      </w:r>
    </w:p>
    <w:p w14:paraId="6E7C2DA4">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Based on previous design experience in cartilage tissue engineering scaffolds and a comprehensive histological and mechanical analysis of rabbit knee joint cartilage, this study determined the final scaffold parameters as follows: diameter of 3 mm, height of 1.5 mm, macropore diameter of 500 μm, and pore spacing of 450 μm. The overall geometry of the scaffold was first constructed using CAD software, and its internal porous structure was designed using Magics software. The generated model files were imported into 3D-Bioplotter software and converted into STL format for printing.</w:t>
      </w:r>
    </w:p>
    <w:p w14:paraId="3A840544">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The scaffolds were fabricated using digital light processing (DLP) technology. Different ratios of RGH bioink were loaded into the printer's material cartridge. The printing parameters were set as follows: light intensity of 10 mW/cm², exposure time of 10s, and a base layer exposure time of 12s (for 5 layers). Ultimately, HAMA and RGH hydrogel scaffolds with different ratios were successfully printed at room temperature.</w:t>
      </w:r>
    </w:p>
    <w:p w14:paraId="6217D391">
      <w:pPr>
        <w:spacing w:line="360" w:lineRule="auto"/>
        <w:rPr>
          <w:rFonts w:hint="eastAsia"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3.2 Macroscopic and Microscopic Observation of Scaffolds</w:t>
      </w:r>
    </w:p>
    <w:p w14:paraId="4AB03900">
      <w:pPr>
        <w:spacing w:line="360" w:lineRule="auto"/>
        <w:ind w:firstLine="480" w:firstLineChars="200"/>
        <w:rPr>
          <w:rFonts w:hint="eastAsia"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To evaluate the macroscopic and microscopic structures of different scaffolds, observation was performed using an inverted microscope and a scanning electron microscope (SEM). The procedure was as follows: the hydrogel scaffolds were first observed under an inverted microscope for macroscopic morphological assessment. Subsequently, the hydrogel scaffolds were freeze-dried, fixed, and sputter-coated with gold, after which their microstructure was examined and images were acquired using SEM.</w:t>
      </w:r>
    </w:p>
    <w:p w14:paraId="0B51CB61">
      <w:pPr>
        <w:spacing w:line="360" w:lineRule="auto"/>
        <w:rPr>
          <w:rFonts w:hint="default"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3</w:t>
      </w:r>
      <w:r>
        <w:rPr>
          <w:rFonts w:hint="default" w:ascii="Times New Roman" w:hAnsi="Times New Roman" w:cs="Times New Roman"/>
          <w:b w:val="0"/>
          <w:bCs w:val="0"/>
          <w:sz w:val="24"/>
          <w:szCs w:val="32"/>
          <w:lang w:val="en-US" w:eastAsia="zh-CN"/>
        </w:rPr>
        <w:t>.3 Porosity Measurement</w:t>
      </w:r>
    </w:p>
    <w:p w14:paraId="01C46383">
      <w:pPr>
        <w:spacing w:line="360" w:lineRule="auto"/>
        <w:ind w:firstLine="480" w:firstLineChars="200"/>
        <w:rPr>
          <w:rFonts w:hint="eastAsia"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The porosity of the scaffolds was determined using the ethanol displacement method. The procedure was as follows: a certain volume of anhydrous ethanol was first placed in a test tube, and its volume was recorded as V₀. The scaffold was immersed in the anhydrous ethanol until no bubbles emerged from the solution, followed by an additional 5 minutes of immersion to ensure the pores were fully filled with ethanol. The total volume of the liquid at this point was recorded as V₁. After removing the scaffold, the volume of the remaining ethanol was measured as V₂. The porosity was calculated using the following formula: Porosity = (V₀ − V₂) / (V₁ − V₂) × 100%. Three replicate samples were tested for each group of scaffolds.</w:t>
      </w:r>
    </w:p>
    <w:p w14:paraId="61CA131C">
      <w:pPr>
        <w:spacing w:line="360" w:lineRule="auto"/>
        <w:rPr>
          <w:rFonts w:hint="default"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 xml:space="preserve">3.4 </w:t>
      </w:r>
      <w:r>
        <w:rPr>
          <w:rFonts w:hint="default" w:ascii="Times New Roman" w:hAnsi="Times New Roman" w:cs="Times New Roman"/>
          <w:b w:val="0"/>
          <w:bCs w:val="0"/>
          <w:sz w:val="24"/>
          <w:szCs w:val="32"/>
          <w:lang w:val="en-US" w:eastAsia="zh-CN"/>
        </w:rPr>
        <w:t xml:space="preserve">Water Absorption </w:t>
      </w:r>
      <w:r>
        <w:rPr>
          <w:rFonts w:hint="eastAsia" w:ascii="Times New Roman" w:hAnsi="Times New Roman" w:cs="Times New Roman"/>
          <w:b w:val="0"/>
          <w:bCs w:val="0"/>
          <w:sz w:val="24"/>
          <w:szCs w:val="32"/>
          <w:lang w:val="en-US" w:eastAsia="zh-CN"/>
        </w:rPr>
        <w:t>Properties</w:t>
      </w:r>
    </w:p>
    <w:p w14:paraId="5B888B95">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The freeze-dried scaffolds were weighed and then statically immersed in PBS solution at 37°C. At predetermined time points, the scaffolds were removed, and the residual liquid on the surface was absorbed with filter paper before re-weighing. Each group included three parallel samples (n = 3). The water absorption rate was calculated using the following formula: Water absorption rate (%) = [(Ws − Wd) / Wd] × 100%, where Ws represents the weight of the swollen scaffold and Wd denotes the weight of the dry scaffold.</w:t>
      </w:r>
    </w:p>
    <w:p w14:paraId="7A1B7E81">
      <w:pPr>
        <w:spacing w:line="360" w:lineRule="auto"/>
        <w:rPr>
          <w:rFonts w:hint="default"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3</w:t>
      </w:r>
      <w:r>
        <w:rPr>
          <w:rFonts w:hint="default" w:ascii="Times New Roman" w:hAnsi="Times New Roman" w:cs="Times New Roman"/>
          <w:b w:val="0"/>
          <w:bCs w:val="0"/>
          <w:sz w:val="24"/>
          <w:szCs w:val="32"/>
          <w:lang w:val="en-US" w:eastAsia="zh-CN"/>
        </w:rPr>
        <w:t>.</w:t>
      </w:r>
      <w:r>
        <w:rPr>
          <w:rFonts w:hint="eastAsia" w:ascii="Times New Roman" w:hAnsi="Times New Roman" w:cs="Times New Roman"/>
          <w:b w:val="0"/>
          <w:bCs w:val="0"/>
          <w:sz w:val="24"/>
          <w:szCs w:val="32"/>
          <w:lang w:val="en-US" w:eastAsia="zh-CN"/>
        </w:rPr>
        <w:t>5</w:t>
      </w:r>
      <w:r>
        <w:rPr>
          <w:rFonts w:hint="default" w:ascii="Times New Roman" w:hAnsi="Times New Roman" w:cs="Times New Roman"/>
          <w:b w:val="0"/>
          <w:bCs w:val="0"/>
          <w:sz w:val="24"/>
          <w:szCs w:val="32"/>
          <w:lang w:val="en-US" w:eastAsia="zh-CN"/>
        </w:rPr>
        <w:t xml:space="preserve"> Mechanical Properties</w:t>
      </w:r>
    </w:p>
    <w:p w14:paraId="4AECFD6D">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To evaluate the biomechanical properties of the different 3D-printed cartilage-like biomimetic matrix scaffolds, samples with dimensions of 3.5 × 3.5 × 1.2 mm³ were prepared. The mechanical properties of the scaffolds were tested using a BOSE biomechanical testing machine. The compressive modulus was determined from the linear slope of the stress-strain curve.</w:t>
      </w:r>
    </w:p>
    <w:p w14:paraId="4C801DC1">
      <w:pPr>
        <w:spacing w:line="360" w:lineRule="auto"/>
        <w:rPr>
          <w:rFonts w:hint="default" w:ascii="Times New Roman" w:hAnsi="Times New Roman" w:cs="Times New Roman"/>
          <w:b w:val="0"/>
          <w:bCs w:val="0"/>
          <w:sz w:val="24"/>
          <w:szCs w:val="32"/>
          <w:lang w:val="en-US" w:eastAsia="zh-CN"/>
        </w:rPr>
      </w:pPr>
    </w:p>
    <w:p w14:paraId="467E9ECA">
      <w:pPr>
        <w:widowControl/>
        <w:numPr>
          <w:ilvl w:val="0"/>
          <w:numId w:val="3"/>
        </w:num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The mechanism of RGH-bioprinted COPs in promoting chondrogenic differentiation of hUCMSCs</w:t>
      </w:r>
    </w:p>
    <w:p w14:paraId="08AD4924">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To further investigate the mechanism by which RGH scaffolds with the optimal ratio (Rhcol II:GAG=7:3) promote the chondrogenic differentiation of human umbilical cord mesenchymal stem cells (hUCMSCs), this study performed eukaryotic reference-based transcriptome sequencing on both monolayer-cultured hUCMSCs (control group) and RGH scaffold-loaded hUCMSCs (experimental group) without using chondrogenic induction medium. Three biological replicates were set for each group, and the collected samples were sent to Tiangen Biotech (Shanghai) Co., Ltd. for sequencing analysis.</w:t>
      </w:r>
    </w:p>
    <w:p w14:paraId="0BB21F01">
      <w:pPr>
        <w:widowControl/>
        <w:numPr>
          <w:ilvl w:val="0"/>
          <w:numId w:val="0"/>
        </w:numPr>
        <w:spacing w:line="360" w:lineRule="auto"/>
        <w:rPr>
          <w:rFonts w:hint="default" w:ascii="Times New Roman" w:hAnsi="Times New Roman" w:cs="Times New Roman"/>
          <w:b/>
          <w:bCs/>
          <w:sz w:val="24"/>
          <w:szCs w:val="24"/>
          <w:lang w:val="en-US" w:eastAsia="zh-CN"/>
        </w:rPr>
      </w:pPr>
    </w:p>
    <w:p w14:paraId="7AA7EAA5">
      <w:pPr>
        <w:widowControl/>
        <w:numPr>
          <w:ilvl w:val="0"/>
          <w:numId w:val="0"/>
        </w:num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5. In vivo cartilage organoids formation using COPs </w:t>
      </w:r>
    </w:p>
    <w:p w14:paraId="25B94BDD">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To further evaluate the chondrogenic potential of the </w:t>
      </w:r>
      <w:r>
        <w:rPr>
          <w:rFonts w:hint="eastAsia" w:ascii="Times New Roman" w:hAnsi="Times New Roman" w:cs="Times New Roman"/>
          <w:b w:val="0"/>
          <w:bCs w:val="0"/>
          <w:sz w:val="24"/>
          <w:szCs w:val="32"/>
          <w:lang w:val="en-US" w:eastAsia="zh-CN"/>
        </w:rPr>
        <w:t>RGH</w:t>
      </w:r>
      <w:r>
        <w:rPr>
          <w:rFonts w:hint="default" w:ascii="Times New Roman" w:hAnsi="Times New Roman" w:cs="Times New Roman"/>
          <w:b w:val="0"/>
          <w:bCs w:val="0"/>
          <w:sz w:val="24"/>
          <w:szCs w:val="32"/>
          <w:lang w:val="en-US" w:eastAsia="zh-CN"/>
        </w:rPr>
        <w:t xml:space="preserve"> system in vivo, cartilage organoid precursors (COPs) derived from pure HAMA and </w:t>
      </w:r>
      <w:r>
        <w:rPr>
          <w:rFonts w:hint="eastAsia" w:ascii="Times New Roman" w:hAnsi="Times New Roman" w:cs="Times New Roman"/>
          <w:b w:val="0"/>
          <w:bCs w:val="0"/>
          <w:sz w:val="24"/>
          <w:szCs w:val="32"/>
          <w:lang w:val="en-US" w:eastAsia="zh-CN"/>
        </w:rPr>
        <w:t>RGH</w:t>
      </w:r>
      <w:r>
        <w:rPr>
          <w:rFonts w:hint="default" w:ascii="Times New Roman" w:hAnsi="Times New Roman" w:cs="Times New Roman"/>
          <w:b w:val="0"/>
          <w:bCs w:val="0"/>
          <w:sz w:val="24"/>
          <w:szCs w:val="32"/>
          <w:lang w:val="en-US" w:eastAsia="zh-CN"/>
        </w:rPr>
        <w:t xml:space="preserve">-loaded hUCMSCs were subcutaneously implanted into the dorsal region of nude mice. Briefly, after resuspending HAMA and </w:t>
      </w:r>
      <w:r>
        <w:rPr>
          <w:rFonts w:hint="eastAsia" w:ascii="Times New Roman" w:hAnsi="Times New Roman" w:cs="Times New Roman"/>
          <w:b w:val="0"/>
          <w:bCs w:val="0"/>
          <w:sz w:val="24"/>
          <w:szCs w:val="32"/>
          <w:lang w:val="en-US" w:eastAsia="zh-CN"/>
        </w:rPr>
        <w:t>RGH</w:t>
      </w:r>
      <w:r>
        <w:rPr>
          <w:rFonts w:hint="default" w:ascii="Times New Roman" w:hAnsi="Times New Roman" w:cs="Times New Roman"/>
          <w:b w:val="0"/>
          <w:bCs w:val="0"/>
          <w:sz w:val="24"/>
          <w:szCs w:val="32"/>
          <w:lang w:val="en-US" w:eastAsia="zh-CN"/>
        </w:rPr>
        <w:t xml:space="preserve"> with hUCMSCs respectively, chondrogenic organoid precursors were constructed according to the method described in Section 2.1. Following a 5-day preculture in vitro, the COPs were implanted subcutaneously into the dorsal area of nude mice. </w:t>
      </w:r>
      <w:r>
        <w:rPr>
          <w:rFonts w:hint="eastAsia" w:ascii="Times New Roman" w:hAnsi="Times New Roman" w:cs="Times New Roman"/>
          <w:b w:val="0"/>
          <w:bCs w:val="0"/>
          <w:sz w:val="24"/>
          <w:szCs w:val="32"/>
          <w:lang w:val="en-US" w:eastAsia="zh-CN"/>
        </w:rPr>
        <w:t>Twelve</w:t>
      </w:r>
      <w:r>
        <w:rPr>
          <w:rFonts w:hint="default" w:ascii="Times New Roman" w:hAnsi="Times New Roman" w:cs="Times New Roman"/>
          <w:b w:val="0"/>
          <w:bCs w:val="0"/>
          <w:sz w:val="24"/>
          <w:szCs w:val="32"/>
          <w:lang w:val="en-US" w:eastAsia="zh-CN"/>
        </w:rPr>
        <w:t xml:space="preserve">- to eight-week-old male thymus-free mice were randomly divided into two groups: the HAMA-hUCMSCs group and the </w:t>
      </w:r>
      <w:r>
        <w:rPr>
          <w:rFonts w:hint="eastAsia" w:ascii="Times New Roman" w:hAnsi="Times New Roman" w:cs="Times New Roman"/>
          <w:b w:val="0"/>
          <w:bCs w:val="0"/>
          <w:sz w:val="24"/>
          <w:szCs w:val="32"/>
          <w:lang w:val="en-US" w:eastAsia="zh-CN"/>
        </w:rPr>
        <w:t>RGH</w:t>
      </w:r>
      <w:r>
        <w:rPr>
          <w:rFonts w:hint="default" w:ascii="Times New Roman" w:hAnsi="Times New Roman" w:cs="Times New Roman"/>
          <w:b w:val="0"/>
          <w:bCs w:val="0"/>
          <w:sz w:val="24"/>
          <w:szCs w:val="32"/>
          <w:lang w:val="en-US" w:eastAsia="zh-CN"/>
        </w:rPr>
        <w:t>-hUCMSCs group</w:t>
      </w:r>
      <w:r>
        <w:rPr>
          <w:rFonts w:hint="eastAsia" w:ascii="Times New Roman" w:hAnsi="Times New Roman" w:cs="Times New Roman"/>
          <w:b w:val="0"/>
          <w:bCs w:val="0"/>
          <w:sz w:val="24"/>
          <w:szCs w:val="32"/>
          <w:lang w:val="en-US" w:eastAsia="zh-CN"/>
        </w:rPr>
        <w:t xml:space="preserve"> The experimental protocol was approved by the Laboratory Animal Welfare and Ethics Committee of Beijing Yumao Biotechnology Co., Ltd (YM-2025-0430). All animal studies were conducted in strict compliance with the ARRIVE 2.0 guidelines and were randomly assigned to treatment groups using a computer-generated sequence by an independent researcher. </w:t>
      </w:r>
      <w:r>
        <w:rPr>
          <w:rFonts w:hint="default" w:ascii="Times New Roman" w:hAnsi="Times New Roman" w:cs="Times New Roman"/>
          <w:b w:val="0"/>
          <w:bCs w:val="0"/>
          <w:sz w:val="24"/>
          <w:szCs w:val="32"/>
          <w:lang w:val="en-US" w:eastAsia="zh-CN"/>
        </w:rPr>
        <w:t>After 8 weeks of implantation, the samples were harvested and photographed with a digital camera for gross morphological observation. The COPs were then cryosectioned, fixed with 95% ethanol, and subjected to hematoxylin-eosin (HE) staining, Alcian blue staining, Safranin O staining, and type II collagen immunohistochemical staining to assess cartilage formation. All staining procedures were strictly performed according to the manufacturer's instructions.</w:t>
      </w:r>
    </w:p>
    <w:p w14:paraId="5638F266">
      <w:pPr>
        <w:spacing w:line="360" w:lineRule="auto"/>
        <w:ind w:firstLine="480" w:firstLineChars="200"/>
        <w:rPr>
          <w:rFonts w:hint="eastAsia"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To detect the expression of cartilage-related proteins, Western blotting was performed to analyze Sox9, type II collagen, and aggrecan. Total protein was extracted from the samples using a protein extraction kit. The protein samples were mixed with loading buffer, boiled, and separated by SDS-PAGE gel electrophoresis, followed by transfer onto a polyvinylidene fluoride (PVDF) membrane. The membrane was blocked with 5% skim milk and then incubated overnight at 4°C with the following primary antibodies: anti-β-actin (1:5000, Immunoway, USA), anti-type II collagen (1:1000, Novus, USA), anti-Sox9 (1:1000, Abcam, UK), and anti-aggrecan (1:2000, Invitrogen, USA). After washing three times with TBST buffer for 5 minutes each, the membrane was incubated with corresponding secondary antibodies for 1 hour. Protein bands were finally detected using an ECL enhanced chemiluminescence system</w:t>
      </w:r>
      <w:r>
        <w:rPr>
          <w:rFonts w:hint="eastAsia" w:ascii="Times New Roman" w:hAnsi="Times New Roman" w:cs="Times New Roman"/>
          <w:b w:val="0"/>
          <w:bCs w:val="0"/>
          <w:sz w:val="24"/>
          <w:szCs w:val="32"/>
          <w:lang w:val="en-US" w:eastAsia="zh-CN"/>
        </w:rPr>
        <w:t>.</w:t>
      </w:r>
    </w:p>
    <w:p w14:paraId="389D01E2">
      <w:pPr>
        <w:spacing w:line="360" w:lineRule="auto"/>
        <w:ind w:firstLine="480" w:firstLineChars="200"/>
        <w:rPr>
          <w:rFonts w:hint="default" w:ascii="Times New Roman" w:hAnsi="Times New Roman" w:cs="Times New Roman"/>
          <w:b w:val="0"/>
          <w:bCs w:val="0"/>
          <w:sz w:val="24"/>
          <w:szCs w:val="32"/>
          <w:lang w:val="en-US" w:eastAsia="zh-CN"/>
        </w:rPr>
      </w:pPr>
    </w:p>
    <w:p w14:paraId="519DD4B9">
      <w:pPr>
        <w:widowControl/>
        <w:spacing w:line="480" w:lineRule="auto"/>
        <w:rPr>
          <w:rFonts w:hint="default"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sz w:val="24"/>
          <w:szCs w:val="32"/>
          <w:lang w:val="en-US" w:eastAsia="zh-CN"/>
        </w:rPr>
        <w:t xml:space="preserve">6. </w:t>
      </w:r>
      <w:r>
        <w:rPr>
          <w:rFonts w:hint="default" w:ascii="Times New Roman" w:hAnsi="Times New Roman" w:cs="Times New Roman"/>
          <w:b/>
          <w:bCs/>
          <w:color w:val="000000" w:themeColor="text1"/>
          <w:sz w:val="24"/>
          <w14:textFill>
            <w14:solidFill>
              <w14:schemeClr w14:val="tx1"/>
            </w14:solidFill>
          </w14:textFill>
        </w:rPr>
        <w:t>COPs promote in situ articular cartilage repair</w:t>
      </w:r>
    </w:p>
    <w:p w14:paraId="032FA80F">
      <w:pPr>
        <w:spacing w:line="360" w:lineRule="auto"/>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6.1 </w:t>
      </w:r>
      <w:r>
        <w:rPr>
          <w:rFonts w:hint="eastAsia" w:ascii="Times New Roman" w:hAnsi="Times New Roman" w:cs="Times New Roman"/>
          <w:b w:val="0"/>
          <w:bCs w:val="0"/>
          <w:sz w:val="24"/>
          <w:szCs w:val="32"/>
          <w:lang w:val="en-US" w:eastAsia="zh-CN"/>
        </w:rPr>
        <w:t>R</w:t>
      </w:r>
      <w:r>
        <w:rPr>
          <w:rFonts w:hint="default" w:ascii="Times New Roman" w:hAnsi="Times New Roman" w:cs="Times New Roman"/>
          <w:b w:val="0"/>
          <w:bCs w:val="0"/>
          <w:sz w:val="24"/>
          <w:szCs w:val="32"/>
          <w:lang w:val="en-US" w:eastAsia="zh-CN"/>
        </w:rPr>
        <w:t>abbits</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AC defect model</w:t>
      </w:r>
    </w:p>
    <w:p w14:paraId="537FB206">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All animal experimental procedures in this study were approved by the Institutional Animal Care and Use Committee of Chinese PLA General Hospital. Forty skeletally mature New Zealand white rabbits (male, 6 months old, weight 2.5–3.0 kg) were selected as the animal model and randomly divided into four groups (n=10 per group): (A) negative control group (defect only, no implantation); (B) HAMA group; (C) RGH/hUCMSC group; and (D) sham surgery group (joint opened without further intervention).</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Following standard sterile surgical preparation and anesthesia, one hind limb was randomly selected for hair removal, disinfection, and draping. A medial parapatellar approach was used to access the knee joint. The patella was laterally displaced to dislocate it, fully exposing the femoral trochlea while maintaining the knee in flexion. A full-thickness cartilage defect with a diameter of 3.5 mm and depth of 1.5 mm was created in the femoral trochlear groove, approximately 1 mm above the insertion site of the medial collateral ligament, using a corneal trephine.</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In the negative control group, only the defect was created without any additional treatment. In the experimental groups, the corresponding scaffolds (HAMA scaffold or RGH/hUCMSC scaffold) were implanted into the defect. In the sham surgery group, the joint was opened and the patella was dislocated and immediately reduced. After achieving hemostasis in the surgical area, the joint capsule and skin were sutured sequentially. The incision site was disinfected with iodophor and covered with sterile gauze.</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All rabbits received routine antibiotic and analgesic therapy for 7 days postoperatively and were allowed to move freely. The animals were euthanized at 6 and 12 weeks post-surgery, and knee joint samples were collected for further analysis.</w:t>
      </w:r>
    </w:p>
    <w:p w14:paraId="0A04D4F3">
      <w:pPr>
        <w:spacing w:line="360" w:lineRule="auto"/>
        <w:rPr>
          <w:rFonts w:hint="default" w:ascii="Times New Roman" w:hAnsi="Times New Roman" w:cs="Times New Roman"/>
          <w:b w:val="0"/>
          <w:bCs w:val="0"/>
          <w:sz w:val="24"/>
          <w:szCs w:val="32"/>
          <w:lang w:val="en-US" w:eastAsia="zh-CN"/>
        </w:rPr>
      </w:pPr>
    </w:p>
    <w:p w14:paraId="097379FB">
      <w:pPr>
        <w:spacing w:line="360" w:lineRule="auto"/>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 xml:space="preserve">6.2 Gross Observation and Scoring </w:t>
      </w:r>
    </w:p>
    <w:p w14:paraId="038DEF7C">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After harvesting the rabbit femoral condyles, the defect repair areas were grossly examined and photographed. Subsequently, all images were randomly coded with group information concealed and independently evaluated by three researchers experienced in cartilage injury regeneration. Scoring was performed according to the International Cartilage Repair Society (ICRS) macroscopic assessment criteria (Table 2) under blinded conditions.</w:t>
      </w:r>
    </w:p>
    <w:p w14:paraId="7B1DBAF1">
      <w:pPr>
        <w:spacing w:line="360" w:lineRule="auto"/>
        <w:ind w:firstLine="480" w:firstLineChars="200"/>
        <w:rPr>
          <w:rFonts w:hint="default" w:ascii="Times New Roman" w:hAnsi="Times New Roman" w:cs="Times New Roman"/>
          <w:b w:val="0"/>
          <w:bCs w:val="0"/>
          <w:sz w:val="24"/>
          <w:szCs w:val="32"/>
          <w:lang w:val="en-US" w:eastAsia="zh-CN"/>
        </w:rPr>
      </w:pPr>
    </w:p>
    <w:p w14:paraId="1D6F84AE">
      <w:pPr>
        <w:spacing w:line="360" w:lineRule="auto"/>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6.3 Micro-CT Analysis</w:t>
      </w:r>
    </w:p>
    <w:p w14:paraId="2B7D41F1">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Following gross observation, the femoral condyle samples were first subjected to Micro-CT scanning. Subsequently, coronal and sagittal plane images were reconstructed, and three-dimensional rendering was performed. A cylindrical region of interest (ROI) with a diameter of approximately 3.5 mm and height of approximately 1 mm, matching the volume of the original surgical defect, was then selected within the defect repair area of each sample. To accurately distinguish true subchondral bone tissue from newly formed calcified or dense cartilage tissue, specific segmentation criteria and global thresholding algorithms were applied. Grayscale thresholds were empirically set based on the density of native rabbit subchondral bone (typically defined within a specific Hounsfield Unit range corresponding to calcified bone). Tissues with mineral densities falling below this threshold were categorized as unmineralized or partially mineralized cartilage and were intentionally excluded from the bone analysis. The bone mineral density (BMD) and bone volume fraction (BV/TV) within each ROI were analyzed to evaluate the regeneration of subchondral bone in the trochlear defect model across different groups.</w:t>
      </w:r>
    </w:p>
    <w:p w14:paraId="0A68AF4A">
      <w:pPr>
        <w:spacing w:line="360" w:lineRule="auto"/>
        <w:ind w:firstLine="480" w:firstLineChars="200"/>
        <w:rPr>
          <w:rFonts w:hint="default" w:ascii="Times New Roman" w:hAnsi="Times New Roman" w:cs="Times New Roman"/>
          <w:b w:val="0"/>
          <w:bCs w:val="0"/>
          <w:sz w:val="24"/>
          <w:szCs w:val="32"/>
          <w:lang w:val="en-US" w:eastAsia="zh-CN"/>
        </w:rPr>
      </w:pPr>
    </w:p>
    <w:p w14:paraId="385F9EC0">
      <w:pPr>
        <w:spacing w:line="360" w:lineRule="auto"/>
        <w:rPr>
          <w:rFonts w:hint="default"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6.4  Histological Evaluation</w:t>
      </w:r>
    </w:p>
    <w:p w14:paraId="7C0C0745">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Femoral condyle specimens were randomly selected from the four groups. After fixation in 4% paraformaldehyde for 5 days and decalcification in 10% EDTA for 6 weeks, the samples were trimmed, embedded in paraffin, and sectioned into 6 μm-thick slices. Sections were randomly chosen from each group and stained according to the respective kit instructions for H&amp;E, Safranin O-Fast Green, Sirius Red, and Toluidine Blue staining. Stained sections were observed and photographed under a microscope.</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Additional sections were randomly selected from each group for Type II collagen immunohistochemical staining, performed as follows: after routine deparaffinization, sections were treated with hydrogen peroxide for membrane permeabilization, followed by antigen retrieval using pepsin and blocking with immunoblocking solution. Subsequently, sections were incubated overnight at 4 °C with Type II collagen antibody diluted at 1:200. After thorough washing, a secondary antibody was applied, and color development was performed using DAB. Sections were then dehydrated via conventional steps, mounted with neutral resin and coverslips, and observed under a microscope for imaging.</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All stained section images were anonymized by concealing group information and randomly provided to experienced pathological researchers for blinded scoring according to the O'Driscoll scoring system guidelines (Table 3).</w:t>
      </w:r>
    </w:p>
    <w:p w14:paraId="024773E2">
      <w:pPr>
        <w:spacing w:line="360" w:lineRule="auto"/>
        <w:rPr>
          <w:rFonts w:hint="default" w:ascii="Times New Roman" w:hAnsi="Times New Roman" w:cs="Times New Roman"/>
          <w:b w:val="0"/>
          <w:bCs w:val="0"/>
          <w:sz w:val="24"/>
          <w:szCs w:val="32"/>
          <w:lang w:val="en-US" w:eastAsia="zh-CN"/>
        </w:rPr>
      </w:pPr>
    </w:p>
    <w:p w14:paraId="24ECA62B">
      <w:pPr>
        <w:spacing w:line="360" w:lineRule="auto"/>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6.5 Biomechanical and Biochemical Analysis</w:t>
      </w:r>
    </w:p>
    <w:p w14:paraId="62F09112">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Biomechanical Testing:Femoral condyle specimens were randomly selected from each group at two time points for mechanical evaluation of the regenerated tissue in the cartilage defect area. A biomechanical testing system (Bose 5100) was used to perform compression tests. The applied force (F) and deformation (ΔL) were recorded, with S representing the contact area of the indenter</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where L denotes the initial thickness of the sample.Young’s modulus (E), which reflects the stiffness and elastic properties of the material, was calculated using the following formula:</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lang w:val="en-US" w:eastAsia="zh-CN"/>
        </w:rPr>
        <w:t>E = (F × L) / (S × ΔL)</w:t>
      </w:r>
      <w:r>
        <w:rPr>
          <w:rFonts w:hint="eastAsia" w:ascii="Times New Roman" w:hAnsi="Times New Roman" w:cs="Times New Roman"/>
          <w:b w:val="0"/>
          <w:bCs w:val="0"/>
          <w:sz w:val="24"/>
          <w:szCs w:val="32"/>
          <w:lang w:val="en-US" w:eastAsia="zh-CN"/>
        </w:rPr>
        <w:t>.</w:t>
      </w:r>
    </w:p>
    <w:p w14:paraId="7C0CED25">
      <w:pPr>
        <w:spacing w:line="360" w:lineRule="auto"/>
        <w:ind w:firstLine="480" w:firstLineChars="200"/>
        <w:rPr>
          <w:rFonts w:hint="default"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lang w:val="en-US" w:eastAsia="zh-CN"/>
        </w:rPr>
        <w:t>Biochemical Analysis:Following biomechanical testing, the regenerated cartilage tissue from the defect area was carefully excised. Glycosaminoglycan (GAG) content was measured using a dimethylmethylene blue (DMMB) colorimetric assay kit, and collagen content was evaluated via a hydroxyproline (HYP) detection kit. All procedures were performed in strict accordance with the manufacturer's instructions. The final contents were normalized to wet weight or DNA content to compare extracellular matrix synthesis capacity among the groups.</w:t>
      </w:r>
    </w:p>
    <w:p w14:paraId="0BD31B12">
      <w:pPr>
        <w:spacing w:line="360" w:lineRule="auto"/>
        <w:rPr>
          <w:rFonts w:hint="default" w:ascii="Times New Roman" w:hAnsi="Times New Roman" w:cs="Times New Roman"/>
          <w:b w:val="0"/>
          <w:bCs w:val="0"/>
          <w:sz w:val="24"/>
          <w:szCs w:val="32"/>
          <w:lang w:val="en-US" w:eastAsia="zh-CN"/>
        </w:rPr>
      </w:pPr>
    </w:p>
    <w:p w14:paraId="761D2F3A">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5FBC07B1">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0C96F180">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3136B6D9">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4054841A">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3B9EF8C3">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2ACA6C17">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72F12148">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7F6A1928">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r>
        <w:rPr>
          <w:rFonts w:ascii="Times New Roman" w:hAnsi="Times New Roman" w:eastAsia="等线" w:cs="Times New Roman"/>
          <w:b/>
          <w:color w:val="000000"/>
          <w:kern w:val="0"/>
          <w:sz w:val="24"/>
        </w:rPr>
        <w:t>Supplementary Figures and Tables</w:t>
      </w:r>
    </w:p>
    <w:p w14:paraId="377AC3F7">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p>
    <w:p w14:paraId="7E23F090">
      <w:pPr>
        <w:suppressAutoHyphens/>
        <w:overflowPunct w:val="0"/>
        <w:autoSpaceDE w:val="0"/>
        <w:autoSpaceDN w:val="0"/>
        <w:spacing w:line="360" w:lineRule="auto"/>
        <w:textAlignment w:val="baseline"/>
        <w:rPr>
          <w:rFonts w:hint="eastAsia" w:ascii="Times New Roman" w:hAnsi="Times New Roman" w:eastAsia="等线" w:cs="Times New Roman"/>
          <w:b/>
          <w:color w:val="000000"/>
          <w:kern w:val="0"/>
          <w:sz w:val="24"/>
          <w:lang w:eastAsia="zh-CN"/>
        </w:rPr>
      </w:pPr>
      <w:r>
        <w:rPr>
          <w:rFonts w:hint="eastAsia" w:ascii="Times New Roman" w:hAnsi="Times New Roman" w:eastAsia="等线" w:cs="Times New Roman"/>
          <w:b/>
          <w:color w:val="000000"/>
          <w:kern w:val="0"/>
          <w:sz w:val="24"/>
          <w:lang w:eastAsia="zh-CN"/>
        </w:rPr>
        <w:drawing>
          <wp:inline distT="0" distB="0" distL="114300" distR="114300">
            <wp:extent cx="5267325" cy="3874770"/>
            <wp:effectExtent l="0" t="0" r="9525" b="11430"/>
            <wp:docPr id="5" name="图片 5" descr="726e8aeb3b1cb31f5cfda40409dc53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26e8aeb3b1cb31f5cfda40409dc531e"/>
                    <pic:cNvPicPr>
                      <a:picLocks noChangeAspect="1"/>
                    </pic:cNvPicPr>
                  </pic:nvPicPr>
                  <pic:blipFill>
                    <a:blip r:embed="rId4"/>
                    <a:stretch>
                      <a:fillRect/>
                    </a:stretch>
                  </pic:blipFill>
                  <pic:spPr>
                    <a:xfrm>
                      <a:off x="0" y="0"/>
                      <a:ext cx="5267325" cy="3874770"/>
                    </a:xfrm>
                    <a:prstGeom prst="rect">
                      <a:avLst/>
                    </a:prstGeom>
                  </pic:spPr>
                </pic:pic>
              </a:graphicData>
            </a:graphic>
          </wp:inline>
        </w:drawing>
      </w:r>
    </w:p>
    <w:p w14:paraId="6011B91C">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1. FTIR analysis of porcine cartilage-derived GAGs.</w:t>
      </w:r>
    </w:p>
    <w:p w14:paraId="16B29946">
      <w:pPr>
        <w:suppressAutoHyphens/>
        <w:overflowPunct w:val="0"/>
        <w:autoSpaceDE w:val="0"/>
        <w:autoSpaceDN w:val="0"/>
        <w:spacing w:line="360" w:lineRule="auto"/>
        <w:jc w:val="center"/>
        <w:textAlignment w:val="baseline"/>
        <w:rPr>
          <w:rFonts w:ascii="Times New Roman" w:hAnsi="Times New Roman" w:eastAsia="等线" w:cs="Times New Roman"/>
          <w:b/>
          <w:color w:val="000000"/>
          <w:kern w:val="0"/>
          <w:sz w:val="24"/>
        </w:rPr>
      </w:pPr>
      <w:r>
        <w:rPr>
          <w:rFonts w:hint="default"/>
          <w:lang w:val="en-US" w:eastAsia="zh-CN"/>
        </w:rPr>
        <w:drawing>
          <wp:inline distT="0" distB="0" distL="114300" distR="114300">
            <wp:extent cx="2682240" cy="2834640"/>
            <wp:effectExtent l="0" t="0" r="0" b="0"/>
            <wp:docPr id="9" name="图片 9" descr="孔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孔径"/>
                    <pic:cNvPicPr>
                      <a:picLocks noChangeAspect="1"/>
                    </pic:cNvPicPr>
                  </pic:nvPicPr>
                  <pic:blipFill>
                    <a:blip r:embed="rId5"/>
                    <a:stretch>
                      <a:fillRect/>
                    </a:stretch>
                  </pic:blipFill>
                  <pic:spPr>
                    <a:xfrm>
                      <a:off x="0" y="0"/>
                      <a:ext cx="2682240" cy="2834640"/>
                    </a:xfrm>
                    <a:prstGeom prst="rect">
                      <a:avLst/>
                    </a:prstGeom>
                  </pic:spPr>
                </pic:pic>
              </a:graphicData>
            </a:graphic>
          </wp:inline>
        </w:drawing>
      </w:r>
    </w:p>
    <w:p w14:paraId="763481DA">
      <w:pPr>
        <w:suppressAutoHyphens/>
        <w:overflowPunct w:val="0"/>
        <w:autoSpaceDE w:val="0"/>
        <w:autoSpaceDN w:val="0"/>
        <w:spacing w:line="360" w:lineRule="auto"/>
        <w:textAlignment w:val="baseline"/>
        <w:rPr>
          <w:rFonts w:ascii="Times New Roman" w:hAnsi="Times New Roman" w:eastAsia="等线" w:cs="Times New Roman"/>
          <w:b/>
          <w:color w:val="000000"/>
          <w:kern w:val="0"/>
          <w:sz w:val="24"/>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2. Quantitative analysis of pore size among different experimental groups.</w:t>
      </w:r>
    </w:p>
    <w:p w14:paraId="21A7783B">
      <w:pPr>
        <w:widowControl/>
        <w:spacing w:after="200" w:line="360" w:lineRule="auto"/>
        <w:rPr>
          <w:rFonts w:hint="eastAsia" w:ascii="Times New Roman" w:hAnsi="Times New Roman" w:eastAsia="宋体"/>
          <w:b/>
          <w:bCs w:val="0"/>
          <w:kern w:val="0"/>
          <w:lang w:eastAsia="en-US"/>
        </w:rPr>
      </w:pPr>
    </w:p>
    <w:p w14:paraId="44F9F486">
      <w:pPr>
        <w:widowControl/>
        <w:spacing w:after="200" w:line="360" w:lineRule="auto"/>
        <w:rPr>
          <w:rFonts w:hint="eastAsia" w:ascii="Times New Roman" w:hAnsi="Times New Roman" w:eastAsia="宋体"/>
          <w:b/>
          <w:bCs w:val="0"/>
          <w:kern w:val="0"/>
          <w:lang w:eastAsia="en-US"/>
        </w:rPr>
      </w:pPr>
    </w:p>
    <w:p w14:paraId="39CBC8C4">
      <w:pPr>
        <w:widowControl/>
        <w:spacing w:after="200" w:line="360" w:lineRule="auto"/>
        <w:rPr>
          <w:rFonts w:hint="eastAsia" w:ascii="Times New Roman" w:hAnsi="Times New Roman" w:eastAsia="宋体"/>
          <w:b/>
          <w:bCs w:val="0"/>
          <w:kern w:val="0"/>
          <w:lang w:eastAsia="en-US"/>
        </w:rPr>
      </w:pPr>
      <w:r>
        <w:drawing>
          <wp:inline distT="0" distB="0" distL="114300" distR="114300">
            <wp:extent cx="5311140" cy="1461770"/>
            <wp:effectExtent l="0" t="0" r="381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l="2842" r="1678"/>
                    <a:stretch>
                      <a:fillRect/>
                    </a:stretch>
                  </pic:blipFill>
                  <pic:spPr>
                    <a:xfrm>
                      <a:off x="0" y="0"/>
                      <a:ext cx="5311140" cy="1461770"/>
                    </a:xfrm>
                    <a:prstGeom prst="rect">
                      <a:avLst/>
                    </a:prstGeom>
                    <a:noFill/>
                    <a:ln>
                      <a:noFill/>
                    </a:ln>
                  </pic:spPr>
                </pic:pic>
              </a:graphicData>
            </a:graphic>
          </wp:inline>
        </w:drawing>
      </w:r>
    </w:p>
    <w:p w14:paraId="619F2A28">
      <w:pPr>
        <w:widowControl/>
        <w:spacing w:after="200" w:line="360" w:lineRule="auto"/>
        <w:rPr>
          <w:rFonts w:hint="eastAsia" w:ascii="Times New Roman" w:hAnsi="Times New Roman" w:eastAsia="宋体"/>
          <w:b w:val="0"/>
          <w:bCs/>
          <w:kern w:val="0"/>
          <w:lang w:val="en-US" w:eastAsia="zh-CN"/>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 xml:space="preserve">3. Morphology and differentiation ability of HUCMSCs. </w:t>
      </w:r>
      <w:r>
        <w:rPr>
          <w:rFonts w:hint="eastAsia" w:ascii="Times New Roman" w:hAnsi="Times New Roman" w:eastAsia="宋体"/>
          <w:b w:val="0"/>
          <w:bCs/>
          <w:kern w:val="0"/>
          <w:lang w:val="en-US" w:eastAsia="zh-CN"/>
        </w:rPr>
        <w:t>(A)morphology of HUCMSCs under microscope; (B) Alizarin Red staining after osteogenic induction; (C) Oil Red O staining after adipogenic induction; (D) Alcian Blue staining of cartilage pellets after chondrogenic induction.</w:t>
      </w:r>
    </w:p>
    <w:p w14:paraId="36DA7008">
      <w:pPr>
        <w:widowControl/>
        <w:spacing w:after="200" w:line="360" w:lineRule="auto"/>
        <w:rPr>
          <w:rFonts w:hint="eastAsia" w:ascii="Times New Roman" w:hAnsi="Times New Roman" w:eastAsia="宋体" w:cs="Times New Roman"/>
          <w:i w:val="0"/>
          <w:iCs w:val="0"/>
          <w:caps w:val="0"/>
          <w:color w:val="000000"/>
          <w:spacing w:val="0"/>
          <w:sz w:val="24"/>
          <w:szCs w:val="24"/>
          <w:lang w:val="en-GB" w:eastAsia="zh-CN"/>
        </w:rPr>
      </w:pPr>
      <w:r>
        <w:rPr>
          <w:rFonts w:hint="eastAsia" w:ascii="Times New Roman" w:hAnsi="Times New Roman" w:eastAsia="宋体" w:cs="Times New Roman"/>
          <w:i w:val="0"/>
          <w:iCs w:val="0"/>
          <w:caps w:val="0"/>
          <w:color w:val="000000"/>
          <w:spacing w:val="0"/>
          <w:sz w:val="24"/>
          <w:szCs w:val="24"/>
          <w:lang w:val="en-GB" w:eastAsia="zh-CN"/>
        </w:rPr>
        <w:drawing>
          <wp:inline distT="0" distB="0" distL="114300" distR="114300">
            <wp:extent cx="5267960" cy="4131310"/>
            <wp:effectExtent l="0" t="0" r="8890" b="2540"/>
            <wp:docPr id="11" name="图片 11" descr="000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00_17"/>
                    <pic:cNvPicPr>
                      <a:picLocks noChangeAspect="1"/>
                    </pic:cNvPicPr>
                  </pic:nvPicPr>
                  <pic:blipFill>
                    <a:blip r:embed="rId7"/>
                    <a:stretch>
                      <a:fillRect/>
                    </a:stretch>
                  </pic:blipFill>
                  <pic:spPr>
                    <a:xfrm>
                      <a:off x="0" y="0"/>
                      <a:ext cx="5267960" cy="4131310"/>
                    </a:xfrm>
                    <a:prstGeom prst="rect">
                      <a:avLst/>
                    </a:prstGeom>
                  </pic:spPr>
                </pic:pic>
              </a:graphicData>
            </a:graphic>
          </wp:inline>
        </w:drawing>
      </w:r>
    </w:p>
    <w:p w14:paraId="6803A137">
      <w:pPr>
        <w:widowControl/>
        <w:spacing w:after="200" w:line="360" w:lineRule="auto"/>
        <w:rPr>
          <w:rFonts w:hint="default" w:ascii="Times New Roman" w:hAnsi="Times New Roman" w:eastAsia="宋体" w:cs="Times New Roman"/>
          <w:i w:val="0"/>
          <w:iCs w:val="0"/>
          <w:caps w:val="0"/>
          <w:color w:val="000000"/>
          <w:spacing w:val="0"/>
          <w:sz w:val="24"/>
          <w:szCs w:val="24"/>
          <w:lang w:val="en-US" w:eastAsia="zh-CN"/>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 xml:space="preserve">4. Representative bright-field images showing the rounded morphology of hUCMSCs in the 7:3 COP group after 21 days of chondrogenic induction. </w:t>
      </w:r>
    </w:p>
    <w:p w14:paraId="224E079B">
      <w:pPr>
        <w:widowControl/>
        <w:spacing w:after="200" w:line="360" w:lineRule="auto"/>
        <w:jc w:val="center"/>
        <w:rPr>
          <w:rFonts w:hint="eastAsia" w:ascii="Times New Roman" w:hAnsi="Times New Roman" w:eastAsia="宋体"/>
          <w:b w:val="0"/>
          <w:bCs/>
          <w:kern w:val="0"/>
          <w:lang w:val="en-US" w:eastAsia="zh-CN"/>
        </w:rPr>
      </w:pPr>
      <w:r>
        <w:rPr>
          <w:rFonts w:hint="eastAsia" w:ascii="Times New Roman" w:hAnsi="Times New Roman" w:eastAsia="宋体"/>
          <w:b w:val="0"/>
          <w:bCs/>
          <w:kern w:val="0"/>
          <w:lang w:val="en-US" w:eastAsia="zh-CN"/>
        </w:rPr>
        <w:drawing>
          <wp:inline distT="0" distB="0" distL="114300" distR="114300">
            <wp:extent cx="4839970" cy="2834640"/>
            <wp:effectExtent l="0" t="0" r="17780" b="0"/>
            <wp:docPr id="6" name="图片 6" descr="支架雷达图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支架雷达图png(1)"/>
                    <pic:cNvPicPr>
                      <a:picLocks noChangeAspect="1"/>
                    </pic:cNvPicPr>
                  </pic:nvPicPr>
                  <pic:blipFill>
                    <a:blip r:embed="rId8"/>
                    <a:stretch>
                      <a:fillRect/>
                    </a:stretch>
                  </pic:blipFill>
                  <pic:spPr>
                    <a:xfrm>
                      <a:off x="0" y="0"/>
                      <a:ext cx="4839970" cy="2834640"/>
                    </a:xfrm>
                    <a:prstGeom prst="rect">
                      <a:avLst/>
                    </a:prstGeom>
                  </pic:spPr>
                </pic:pic>
              </a:graphicData>
            </a:graphic>
          </wp:inline>
        </w:drawing>
      </w:r>
    </w:p>
    <w:p w14:paraId="4A43118C">
      <w:pPr>
        <w:widowControl/>
        <w:spacing w:after="200" w:line="360" w:lineRule="auto"/>
        <w:rPr>
          <w:rFonts w:hint="default" w:ascii="Times New Roman" w:hAnsi="Times New Roman" w:eastAsia="宋体" w:cs="Times New Roman"/>
          <w:color w:val="000000" w:themeColor="text1"/>
          <w:sz w:val="22"/>
          <w:szCs w:val="22"/>
          <w14:textFill>
            <w14:solidFill>
              <w14:schemeClr w14:val="tx1"/>
            </w14:solidFill>
          </w14:textFill>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 xml:space="preserve">5. </w:t>
      </w:r>
      <w:r>
        <w:rPr>
          <w:rFonts w:hint="default" w:ascii="Times New Roman" w:hAnsi="Times New Roman" w:cs="Times New Roman"/>
          <w:b/>
          <w:bCs w:val="0"/>
          <w:color w:val="000000" w:themeColor="text1"/>
          <w:sz w:val="22"/>
          <w:szCs w:val="22"/>
          <w14:textFill>
            <w14:solidFill>
              <w14:schemeClr w14:val="tx1"/>
            </w14:solidFill>
          </w14:textFill>
        </w:rPr>
        <w:t>Comprehensive performance evaluation of COPs.</w:t>
      </w:r>
      <w:r>
        <w:rPr>
          <w:rFonts w:hint="default" w:ascii="Times New Roman" w:hAnsi="Times New Roman" w:eastAsia="宋体" w:cs="Times New Roman"/>
          <w:color w:val="000000" w:themeColor="text1"/>
          <w:sz w:val="22"/>
          <w:szCs w:val="22"/>
          <w14:textFill>
            <w14:solidFill>
              <w14:schemeClr w14:val="tx1"/>
            </w14:solidFill>
          </w14:textFill>
        </w:rPr>
        <w:t xml:space="preserve"> </w:t>
      </w:r>
    </w:p>
    <w:p w14:paraId="10D44730">
      <w:pPr>
        <w:widowControl/>
        <w:spacing w:after="200" w:line="360" w:lineRule="auto"/>
        <w:jc w:val="center"/>
        <w:rPr>
          <w:rFonts w:hint="eastAsia" w:ascii="Times New Roman" w:hAnsi="Times New Roman" w:eastAsia="宋体" w:cs="Times New Roman"/>
          <w:i w:val="0"/>
          <w:iCs w:val="0"/>
          <w:caps w:val="0"/>
          <w:color w:val="000000"/>
          <w:spacing w:val="0"/>
          <w:sz w:val="24"/>
          <w:szCs w:val="24"/>
          <w:vertAlign w:val="baseline"/>
          <w:lang w:val="en-GB" w:eastAsia="zh-CN"/>
        </w:rPr>
      </w:pPr>
      <w:r>
        <w:rPr>
          <w:rFonts w:hint="eastAsia" w:ascii="Times New Roman" w:hAnsi="Times New Roman" w:eastAsia="宋体" w:cs="Times New Roman"/>
          <w:i w:val="0"/>
          <w:iCs w:val="0"/>
          <w:caps w:val="0"/>
          <w:color w:val="000000"/>
          <w:spacing w:val="0"/>
          <w:sz w:val="24"/>
          <w:szCs w:val="24"/>
          <w:vertAlign w:val="baseline"/>
          <w:lang w:val="en-GB" w:eastAsia="zh-CN"/>
        </w:rPr>
        <w:drawing>
          <wp:inline distT="0" distB="0" distL="114300" distR="114300">
            <wp:extent cx="3747135" cy="2440305"/>
            <wp:effectExtent l="0" t="0" r="5715" b="17145"/>
            <wp:docPr id="13" name="图片 13" descr="FO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OXO"/>
                    <pic:cNvPicPr>
                      <a:picLocks noChangeAspect="1"/>
                    </pic:cNvPicPr>
                  </pic:nvPicPr>
                  <pic:blipFill>
                    <a:blip r:embed="rId9"/>
                    <a:stretch>
                      <a:fillRect/>
                    </a:stretch>
                  </pic:blipFill>
                  <pic:spPr>
                    <a:xfrm>
                      <a:off x="0" y="0"/>
                      <a:ext cx="3747135" cy="2440305"/>
                    </a:xfrm>
                    <a:prstGeom prst="rect">
                      <a:avLst/>
                    </a:prstGeom>
                  </pic:spPr>
                </pic:pic>
              </a:graphicData>
            </a:graphic>
          </wp:inline>
        </w:drawing>
      </w:r>
    </w:p>
    <w:p w14:paraId="4810F784">
      <w:pPr>
        <w:widowControl/>
        <w:spacing w:line="360" w:lineRule="auto"/>
        <w:rPr>
          <w:rFonts w:hint="eastAsia" w:ascii="Times New Roman" w:hAnsi="Times New Roman" w:eastAsia="宋体"/>
          <w:b/>
          <w:bCs w:val="0"/>
          <w:kern w:val="0"/>
          <w:lang w:val="en-US" w:eastAsia="zh-CN"/>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6.Expression of FOXO1 and FOXO3 detected by RT‒PCR across groups.</w:t>
      </w:r>
    </w:p>
    <w:p w14:paraId="0FC265D1">
      <w:pPr>
        <w:widowControl/>
        <w:spacing w:after="200" w:line="360" w:lineRule="auto"/>
        <w:jc w:val="center"/>
        <w:rPr>
          <w:rFonts w:hint="eastAsia" w:ascii="Times New Roman" w:hAnsi="Times New Roman" w:eastAsia="宋体" w:cs="Times New Roman"/>
          <w:i w:val="0"/>
          <w:iCs w:val="0"/>
          <w:caps w:val="0"/>
          <w:color w:val="000000"/>
          <w:spacing w:val="0"/>
          <w:sz w:val="24"/>
          <w:szCs w:val="24"/>
          <w:vertAlign w:val="baseline"/>
          <w:lang w:val="en-US" w:eastAsia="zh-CN"/>
        </w:rPr>
      </w:pPr>
    </w:p>
    <w:p w14:paraId="2E768CAC">
      <w:pPr>
        <w:widowControl/>
        <w:spacing w:line="360" w:lineRule="auto"/>
        <w:rPr>
          <w:rFonts w:ascii="Times New Roman" w:hAnsi="Times New Roman"/>
          <w:b/>
          <w:bCs/>
          <w:color w:val="000000" w:themeColor="text1"/>
          <w:sz w:val="24"/>
          <w14:textFill>
            <w14:solidFill>
              <w14:schemeClr w14:val="tx1"/>
            </w14:solidFill>
          </w14:textFill>
        </w:rPr>
      </w:pPr>
      <w:r>
        <w:rPr>
          <w:rFonts w:hint="default" w:ascii="Times New Roman" w:hAnsi="Times New Roman" w:cs="Times New Roman"/>
          <w:color w:val="4874CB" w:themeColor="accent1"/>
          <w:sz w:val="24"/>
          <w:szCs w:val="24"/>
          <w:lang w:val="en-US" w:eastAsia="zh-CN"/>
          <w14:textFill>
            <w14:solidFill>
              <w14:schemeClr w14:val="accent1"/>
            </w14:solidFill>
          </w14:textFill>
        </w:rPr>
        <w:drawing>
          <wp:inline distT="0" distB="0" distL="114300" distR="114300">
            <wp:extent cx="5271135" cy="2522855"/>
            <wp:effectExtent l="0" t="0" r="5715" b="10795"/>
            <wp:docPr id="1" name="图片 1" descr="抑制实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抑制实验"/>
                    <pic:cNvPicPr>
                      <a:picLocks noChangeAspect="1"/>
                    </pic:cNvPicPr>
                  </pic:nvPicPr>
                  <pic:blipFill>
                    <a:blip r:embed="rId10"/>
                    <a:stretch>
                      <a:fillRect/>
                    </a:stretch>
                  </pic:blipFill>
                  <pic:spPr>
                    <a:xfrm>
                      <a:off x="0" y="0"/>
                      <a:ext cx="5271135" cy="2522855"/>
                    </a:xfrm>
                    <a:prstGeom prst="rect">
                      <a:avLst/>
                    </a:prstGeom>
                  </pic:spPr>
                </pic:pic>
              </a:graphicData>
            </a:graphic>
          </wp:inline>
        </w:drawing>
      </w:r>
    </w:p>
    <w:p w14:paraId="7A42100C">
      <w:pPr>
        <w:widowControl/>
        <w:spacing w:line="360" w:lineRule="auto"/>
        <w:rPr>
          <w:rFonts w:hint="eastAsia" w:ascii="Times New Roman" w:hAnsi="Times New Roman" w:eastAsia="宋体"/>
          <w:b/>
          <w:bCs w:val="0"/>
          <w:kern w:val="0"/>
          <w:lang w:val="en-US" w:eastAsia="zh-CN"/>
        </w:rPr>
      </w:pPr>
      <w:r>
        <w:rPr>
          <w:rFonts w:hint="eastAsia" w:ascii="Times New Roman" w:hAnsi="Times New Roman" w:eastAsia="宋体"/>
          <w:b/>
          <w:bCs w:val="0"/>
          <w:kern w:val="0"/>
          <w:lang w:eastAsia="en-US"/>
        </w:rPr>
        <w:t>Figure S</w:t>
      </w:r>
      <w:r>
        <w:rPr>
          <w:rFonts w:hint="eastAsia" w:ascii="Times New Roman" w:hAnsi="Times New Roman" w:eastAsia="宋体"/>
          <w:b/>
          <w:bCs w:val="0"/>
          <w:kern w:val="0"/>
          <w:lang w:val="en-US" w:eastAsia="zh-CN"/>
        </w:rPr>
        <w:t>7. Pathway inhibition experiments to elucidate the effect of RGH on the chondrogenic differentiation of hUCMSCs via the FOXO signaling pathway.</w:t>
      </w:r>
    </w:p>
    <w:p w14:paraId="5374B79F">
      <w:pPr>
        <w:widowControl/>
        <w:spacing w:line="360" w:lineRule="auto"/>
        <w:rPr>
          <w:rFonts w:hint="eastAsia" w:ascii="Times New Roman" w:hAnsi="Times New Roman" w:eastAsia="宋体"/>
          <w:b/>
          <w:bCs w:val="0"/>
          <w:kern w:val="0"/>
          <w:lang w:val="en-US" w:eastAsia="zh-CN"/>
        </w:rPr>
      </w:pPr>
    </w:p>
    <w:p w14:paraId="6B5CC32E">
      <w:pPr>
        <w:widowControl/>
        <w:spacing w:line="360" w:lineRule="auto"/>
        <w:rPr>
          <w:rFonts w:hint="eastAsia" w:ascii="Times New Roman" w:hAnsi="Times New Roman" w:eastAsia="宋体"/>
          <w:b/>
          <w:bCs w:val="0"/>
          <w:kern w:val="0"/>
          <w:lang w:val="en-US" w:eastAsia="zh-CN"/>
        </w:rPr>
      </w:pPr>
      <w:r>
        <w:rPr>
          <w:rFonts w:hint="eastAsia" w:ascii="Times New Roman" w:hAnsi="Times New Roman" w:eastAsia="宋体"/>
          <w:b/>
          <w:bCs w:val="0"/>
          <w:kern w:val="0"/>
          <w:lang w:val="en-US" w:eastAsia="zh-CN"/>
        </w:rPr>
        <w:drawing>
          <wp:inline distT="0" distB="0" distL="114300" distR="114300">
            <wp:extent cx="5272405" cy="2328545"/>
            <wp:effectExtent l="0" t="0" r="10795" b="8255"/>
            <wp:docPr id="8" name="图片 8" descr="MMP13-col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MP13-col X"/>
                    <pic:cNvPicPr>
                      <a:picLocks noChangeAspect="1"/>
                    </pic:cNvPicPr>
                  </pic:nvPicPr>
                  <pic:blipFill>
                    <a:blip r:embed="rId11"/>
                    <a:stretch>
                      <a:fillRect/>
                    </a:stretch>
                  </pic:blipFill>
                  <pic:spPr>
                    <a:xfrm>
                      <a:off x="0" y="0"/>
                      <a:ext cx="5272405" cy="2328545"/>
                    </a:xfrm>
                    <a:prstGeom prst="rect">
                      <a:avLst/>
                    </a:prstGeom>
                  </pic:spPr>
                </pic:pic>
              </a:graphicData>
            </a:graphic>
          </wp:inline>
        </w:drawing>
      </w:r>
    </w:p>
    <w:p w14:paraId="63A785A9">
      <w:pPr>
        <w:widowControl/>
        <w:spacing w:line="360" w:lineRule="auto"/>
        <w:rPr>
          <w:rFonts w:hint="eastAsia" w:ascii="Times New Roman" w:hAnsi="Times New Roman" w:eastAsia="宋体"/>
          <w:b/>
          <w:bCs w:val="0"/>
          <w:kern w:val="0"/>
          <w:lang w:val="en-US" w:eastAsia="zh-CN"/>
        </w:rPr>
      </w:pPr>
      <w:r>
        <w:rPr>
          <w:rFonts w:hint="default" w:ascii="Times New Roman" w:hAnsi="Times New Roman" w:eastAsia="宋体"/>
          <w:b/>
          <w:bCs w:val="0"/>
          <w:kern w:val="0"/>
          <w:lang w:val="en-US" w:eastAsia="zh-CN"/>
        </w:rPr>
        <w:t>Figure S</w:t>
      </w:r>
      <w:r>
        <w:rPr>
          <w:rFonts w:hint="eastAsia" w:ascii="Times New Roman" w:hAnsi="Times New Roman" w:eastAsia="宋体"/>
          <w:b/>
          <w:bCs w:val="0"/>
          <w:kern w:val="0"/>
          <w:lang w:val="en-US" w:eastAsia="zh-CN"/>
        </w:rPr>
        <w:t>8</w:t>
      </w:r>
      <w:r>
        <w:rPr>
          <w:rFonts w:hint="default" w:ascii="Times New Roman" w:hAnsi="Times New Roman" w:eastAsia="宋体"/>
          <w:b/>
          <w:bCs w:val="0"/>
          <w:kern w:val="0"/>
          <w:lang w:val="en-US" w:eastAsia="zh-CN"/>
        </w:rPr>
        <w:t>. Western blot</w:t>
      </w:r>
      <w:r>
        <w:rPr>
          <w:rFonts w:hint="eastAsia" w:ascii="Times New Roman" w:hAnsi="Times New Roman" w:eastAsia="宋体"/>
          <w:b/>
          <w:bCs w:val="0"/>
          <w:kern w:val="0"/>
          <w:lang w:val="en-US" w:eastAsia="zh-CN"/>
        </w:rPr>
        <w:t xml:space="preserve"> (A) and RT‒PCR (B) analysis of COLX and MMP13. </w:t>
      </w:r>
    </w:p>
    <w:p w14:paraId="42EFBD10">
      <w:pPr>
        <w:widowControl/>
        <w:spacing w:line="360" w:lineRule="auto"/>
        <w:rPr>
          <w:rFonts w:hint="eastAsia" w:ascii="Times New Roman" w:hAnsi="Times New Roman" w:eastAsia="宋体"/>
          <w:b/>
          <w:bCs w:val="0"/>
          <w:kern w:val="0"/>
          <w:lang w:val="en-US" w:eastAsia="zh-CN"/>
        </w:rPr>
      </w:pPr>
    </w:p>
    <w:p w14:paraId="4E62EC52">
      <w:pPr>
        <w:widowControl/>
        <w:spacing w:line="360" w:lineRule="auto"/>
        <w:rPr>
          <w:rFonts w:hint="eastAsia" w:ascii="Times New Roman" w:hAnsi="Times New Roman" w:eastAsia="宋体"/>
          <w:b/>
          <w:bCs w:val="0"/>
          <w:kern w:val="0"/>
          <w:lang w:val="en-US" w:eastAsia="zh-CN"/>
        </w:rPr>
      </w:pPr>
    </w:p>
    <w:p w14:paraId="5FB2D921">
      <w:pPr>
        <w:widowControl/>
        <w:spacing w:line="360" w:lineRule="auto"/>
        <w:rPr>
          <w:rFonts w:hint="default" w:ascii="Times New Roman" w:hAnsi="Times New Roman" w:eastAsia="宋体"/>
          <w:b/>
          <w:bCs w:val="0"/>
          <w:kern w:val="0"/>
          <w:lang w:val="en-US" w:eastAsia="zh-CN"/>
        </w:rPr>
      </w:pPr>
    </w:p>
    <w:p w14:paraId="5FED08D8">
      <w:pPr>
        <w:widowControl/>
        <w:spacing w:line="360" w:lineRule="auto"/>
        <w:rPr>
          <w:rFonts w:hint="default" w:ascii="Times New Roman" w:hAnsi="Times New Roman" w:eastAsia="宋体"/>
          <w:b/>
          <w:bCs w:val="0"/>
          <w:kern w:val="0"/>
          <w:lang w:val="en-US" w:eastAsia="zh-CN"/>
        </w:rPr>
      </w:pPr>
      <w:r>
        <w:rPr>
          <w:rFonts w:hint="default" w:ascii="Times New Roman" w:hAnsi="Times New Roman" w:eastAsia="宋体"/>
          <w:b/>
          <w:bCs w:val="0"/>
          <w:kern w:val="0"/>
          <w:lang w:val="en-US" w:eastAsia="zh-CN"/>
        </w:rPr>
        <w:drawing>
          <wp:inline distT="0" distB="0" distL="114300" distR="114300">
            <wp:extent cx="5273040" cy="2324735"/>
            <wp:effectExtent l="0" t="0" r="0" b="0"/>
            <wp:docPr id="12" name="图片 12"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5"/>
                    <pic:cNvPicPr>
                      <a:picLocks noChangeAspect="1"/>
                    </pic:cNvPicPr>
                  </pic:nvPicPr>
                  <pic:blipFill>
                    <a:blip r:embed="rId12"/>
                    <a:srcRect b="14999"/>
                    <a:stretch>
                      <a:fillRect/>
                    </a:stretch>
                  </pic:blipFill>
                  <pic:spPr>
                    <a:xfrm>
                      <a:off x="0" y="0"/>
                      <a:ext cx="5273040" cy="2324735"/>
                    </a:xfrm>
                    <a:prstGeom prst="rect">
                      <a:avLst/>
                    </a:prstGeom>
                  </pic:spPr>
                </pic:pic>
              </a:graphicData>
            </a:graphic>
          </wp:inline>
        </w:drawing>
      </w:r>
    </w:p>
    <w:p w14:paraId="280AAB07">
      <w:pPr>
        <w:widowControl/>
        <w:spacing w:line="360" w:lineRule="auto"/>
        <w:rPr>
          <w:rFonts w:hint="eastAsia" w:ascii="Times New Roman" w:hAnsi="Times New Roman" w:eastAsia="宋体"/>
          <w:b/>
          <w:bCs w:val="0"/>
          <w:kern w:val="0"/>
          <w:lang w:val="en-US" w:eastAsia="zh-CN"/>
        </w:rPr>
      </w:pPr>
      <w:r>
        <w:rPr>
          <w:rFonts w:hint="default" w:ascii="Times New Roman" w:hAnsi="Times New Roman" w:eastAsia="宋体"/>
          <w:b/>
          <w:bCs w:val="0"/>
          <w:kern w:val="0"/>
          <w:lang w:val="en-US" w:eastAsia="zh-CN"/>
        </w:rPr>
        <w:t>Figure S</w:t>
      </w:r>
      <w:r>
        <w:rPr>
          <w:rFonts w:hint="eastAsia" w:ascii="Times New Roman" w:hAnsi="Times New Roman" w:eastAsia="宋体"/>
          <w:b/>
          <w:bCs w:val="0"/>
          <w:kern w:val="0"/>
          <w:lang w:val="en-US" w:eastAsia="zh-CN"/>
        </w:rPr>
        <w:t>9</w:t>
      </w:r>
      <w:r>
        <w:rPr>
          <w:rFonts w:hint="default" w:ascii="Times New Roman" w:hAnsi="Times New Roman" w:eastAsia="宋体"/>
          <w:b/>
          <w:bCs w:val="0"/>
          <w:kern w:val="0"/>
          <w:lang w:val="en-US" w:eastAsia="zh-CN"/>
        </w:rPr>
        <w:t>. Western blot</w:t>
      </w:r>
      <w:r>
        <w:rPr>
          <w:rFonts w:hint="eastAsia" w:ascii="Times New Roman" w:hAnsi="Times New Roman" w:eastAsia="宋体"/>
          <w:b/>
          <w:bCs w:val="0"/>
          <w:kern w:val="0"/>
          <w:lang w:val="en-US" w:eastAsia="zh-CN"/>
        </w:rPr>
        <w:t xml:space="preserve"> (A) and RT‒PCR (B) analysis of ADAMTS-4 and ADAMTS-5. </w:t>
      </w:r>
    </w:p>
    <w:p w14:paraId="45EE64E9">
      <w:pPr>
        <w:widowControl/>
        <w:spacing w:line="360" w:lineRule="auto"/>
        <w:rPr>
          <w:rFonts w:hint="default" w:ascii="Times New Roman" w:hAnsi="Times New Roman" w:eastAsia="宋体"/>
          <w:b/>
          <w:bCs w:val="0"/>
          <w:kern w:val="0"/>
          <w:lang w:val="en-US" w:eastAsia="zh-CN"/>
        </w:rPr>
      </w:pPr>
    </w:p>
    <w:p w14:paraId="5C5F5183">
      <w:pPr>
        <w:widowControl/>
        <w:spacing w:line="360" w:lineRule="auto"/>
        <w:rPr>
          <w:rFonts w:hint="eastAsia" w:ascii="Times New Roman" w:hAnsi="Times New Roman" w:eastAsia="宋体"/>
          <w:b/>
          <w:bCs w:val="0"/>
          <w:kern w:val="0"/>
          <w:lang w:val="en-US" w:eastAsia="zh-CN"/>
        </w:rPr>
      </w:pPr>
      <w:r>
        <w:rPr>
          <w:rFonts w:hint="default" w:ascii="Times New Roman" w:hAnsi="Times New Roman" w:cs="Times New Roman"/>
          <w:color w:val="4874CB" w:themeColor="accent1"/>
          <w:sz w:val="24"/>
          <w:szCs w:val="24"/>
          <w:lang w:val="en-US" w:eastAsia="zh-CN"/>
          <w14:textFill>
            <w14:solidFill>
              <w14:schemeClr w14:val="accent1"/>
            </w14:solidFill>
          </w14:textFill>
        </w:rPr>
        <w:drawing>
          <wp:inline distT="0" distB="0" distL="114300" distR="114300">
            <wp:extent cx="5273675" cy="2573020"/>
            <wp:effectExtent l="0" t="0" r="3175" b="17780"/>
            <wp:docPr id="7" name="图片 7" descr="zheng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zhenghe"/>
                    <pic:cNvPicPr>
                      <a:picLocks noChangeAspect="1"/>
                    </pic:cNvPicPr>
                  </pic:nvPicPr>
                  <pic:blipFill>
                    <a:blip r:embed="rId13"/>
                    <a:stretch>
                      <a:fillRect/>
                    </a:stretch>
                  </pic:blipFill>
                  <pic:spPr>
                    <a:xfrm>
                      <a:off x="0" y="0"/>
                      <a:ext cx="5273675" cy="2573020"/>
                    </a:xfrm>
                    <a:prstGeom prst="rect">
                      <a:avLst/>
                    </a:prstGeom>
                  </pic:spPr>
                </pic:pic>
              </a:graphicData>
            </a:graphic>
          </wp:inline>
        </w:drawing>
      </w:r>
    </w:p>
    <w:p w14:paraId="12BFB888">
      <w:pPr>
        <w:widowControl/>
        <w:spacing w:line="360" w:lineRule="auto"/>
        <w:rPr>
          <w:rFonts w:hint="eastAsia" w:ascii="Times New Roman" w:hAnsi="Times New Roman" w:eastAsia="宋体"/>
          <w:b/>
          <w:bCs w:val="0"/>
          <w:kern w:val="0"/>
          <w:lang w:val="en-US" w:eastAsia="zh-CN"/>
        </w:rPr>
      </w:pPr>
      <w:r>
        <w:rPr>
          <w:rFonts w:hint="default" w:ascii="Times New Roman" w:hAnsi="Times New Roman" w:eastAsia="宋体"/>
          <w:b/>
          <w:bCs w:val="0"/>
          <w:kern w:val="0"/>
          <w:lang w:val="en-US" w:eastAsia="zh-CN"/>
        </w:rPr>
        <w:t>Figure S</w:t>
      </w:r>
      <w:r>
        <w:rPr>
          <w:rFonts w:hint="eastAsia" w:ascii="Times New Roman" w:hAnsi="Times New Roman" w:eastAsia="宋体"/>
          <w:b/>
          <w:bCs w:val="0"/>
          <w:kern w:val="0"/>
          <w:lang w:val="en-US" w:eastAsia="zh-CN"/>
        </w:rPr>
        <w:t>10</w:t>
      </w:r>
      <w:r>
        <w:rPr>
          <w:rFonts w:hint="default" w:ascii="Times New Roman" w:hAnsi="Times New Roman" w:eastAsia="宋体"/>
          <w:b/>
          <w:bCs w:val="0"/>
          <w:kern w:val="0"/>
          <w:lang w:val="en-US" w:eastAsia="zh-CN"/>
        </w:rPr>
        <w:t>.</w:t>
      </w:r>
      <w:r>
        <w:rPr>
          <w:rFonts w:hint="eastAsia" w:ascii="Times New Roman" w:hAnsi="Times New Roman" w:eastAsia="宋体"/>
          <w:b/>
          <w:bCs w:val="0"/>
          <w:kern w:val="0"/>
          <w:lang w:val="en-US" w:eastAsia="zh-CN"/>
        </w:rPr>
        <w:t xml:space="preserve"> the RGH group achieved excellent integration with native cartilage.</w:t>
      </w:r>
    </w:p>
    <w:p w14:paraId="15987B82">
      <w:pPr>
        <w:widowControl/>
        <w:spacing w:line="360" w:lineRule="auto"/>
        <w:rPr>
          <w:rFonts w:hint="eastAsia" w:ascii="Times New Roman" w:hAnsi="Times New Roman" w:eastAsia="宋体"/>
          <w:b/>
          <w:bCs w:val="0"/>
          <w:kern w:val="0"/>
          <w:lang w:val="en-US" w:eastAsia="zh-CN"/>
        </w:rPr>
      </w:pPr>
    </w:p>
    <w:p w14:paraId="5230DA6A">
      <w:pPr>
        <w:widowControl/>
        <w:spacing w:line="360" w:lineRule="auto"/>
        <w:rPr>
          <w:rFonts w:hint="eastAsia" w:ascii="Times New Roman" w:hAnsi="Times New Roman" w:eastAsia="宋体" w:cs="Times New Roman"/>
          <w:i w:val="0"/>
          <w:iCs w:val="0"/>
          <w:caps w:val="0"/>
          <w:color w:val="000000"/>
          <w:spacing w:val="0"/>
          <w:sz w:val="24"/>
          <w:szCs w:val="24"/>
          <w:highlight w:val="none"/>
          <w:vertAlign w:val="baseline"/>
          <w:lang w:val="en-GB" w:eastAsia="zh-CN"/>
        </w:rPr>
      </w:pPr>
      <w:r>
        <w:rPr>
          <w:rFonts w:hint="eastAsia" w:ascii="Times New Roman" w:hAnsi="Times New Roman" w:eastAsia="宋体" w:cs="Times New Roman"/>
          <w:i w:val="0"/>
          <w:iCs w:val="0"/>
          <w:caps w:val="0"/>
          <w:color w:val="000000"/>
          <w:spacing w:val="0"/>
          <w:sz w:val="24"/>
          <w:szCs w:val="24"/>
          <w:highlight w:val="none"/>
          <w:vertAlign w:val="baseline"/>
          <w:lang w:val="en-GB" w:eastAsia="zh-CN"/>
        </w:rPr>
        <w:drawing>
          <wp:inline distT="0" distB="0" distL="114300" distR="114300">
            <wp:extent cx="5267960" cy="1049020"/>
            <wp:effectExtent l="0" t="0" r="8890" b="17780"/>
            <wp:docPr id="10" name="图片 10" descr="col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ol 10"/>
                    <pic:cNvPicPr>
                      <a:picLocks noChangeAspect="1"/>
                    </pic:cNvPicPr>
                  </pic:nvPicPr>
                  <pic:blipFill>
                    <a:blip r:embed="rId14"/>
                    <a:stretch>
                      <a:fillRect/>
                    </a:stretch>
                  </pic:blipFill>
                  <pic:spPr>
                    <a:xfrm>
                      <a:off x="0" y="0"/>
                      <a:ext cx="5267960" cy="1049020"/>
                    </a:xfrm>
                    <a:prstGeom prst="rect">
                      <a:avLst/>
                    </a:prstGeom>
                  </pic:spPr>
                </pic:pic>
              </a:graphicData>
            </a:graphic>
          </wp:inline>
        </w:drawing>
      </w:r>
    </w:p>
    <w:p w14:paraId="3FE960DB">
      <w:pPr>
        <w:widowControl/>
        <w:spacing w:line="360" w:lineRule="auto"/>
        <w:rPr>
          <w:rFonts w:hint="default" w:ascii="Times New Roman" w:hAnsi="Times New Roman" w:eastAsia="宋体" w:cs="Times New Roman"/>
          <w:i w:val="0"/>
          <w:iCs w:val="0"/>
          <w:caps w:val="0"/>
          <w:color w:val="000000"/>
          <w:spacing w:val="0"/>
          <w:sz w:val="24"/>
          <w:szCs w:val="24"/>
          <w:highlight w:val="none"/>
          <w:vertAlign w:val="baseline"/>
          <w:lang w:val="en-US" w:eastAsia="zh-CN"/>
        </w:rPr>
      </w:pPr>
      <w:r>
        <w:rPr>
          <w:rFonts w:hint="default" w:ascii="Times New Roman" w:hAnsi="Times New Roman" w:eastAsia="宋体"/>
          <w:b/>
          <w:bCs w:val="0"/>
          <w:kern w:val="0"/>
          <w:lang w:val="en-US" w:eastAsia="zh-CN"/>
        </w:rPr>
        <w:t>Figure S</w:t>
      </w:r>
      <w:r>
        <w:rPr>
          <w:rFonts w:hint="eastAsia" w:ascii="Times New Roman" w:hAnsi="Times New Roman" w:eastAsia="宋体"/>
          <w:b/>
          <w:bCs w:val="0"/>
          <w:kern w:val="0"/>
          <w:lang w:val="en-US" w:eastAsia="zh-CN"/>
        </w:rPr>
        <w:t>11</w:t>
      </w:r>
      <w:r>
        <w:rPr>
          <w:rFonts w:hint="default" w:ascii="Times New Roman" w:hAnsi="Times New Roman" w:eastAsia="宋体"/>
          <w:b/>
          <w:bCs w:val="0"/>
          <w:kern w:val="0"/>
          <w:lang w:val="en-US" w:eastAsia="zh-CN"/>
        </w:rPr>
        <w:t>.</w:t>
      </w:r>
      <w:r>
        <w:rPr>
          <w:rFonts w:hint="eastAsia" w:ascii="Times New Roman" w:hAnsi="Times New Roman" w:eastAsia="宋体"/>
          <w:b/>
          <w:bCs w:val="0"/>
          <w:kern w:val="0"/>
          <w:lang w:val="en-US" w:eastAsia="zh-CN"/>
        </w:rPr>
        <w:t xml:space="preserve"> </w:t>
      </w:r>
    </w:p>
    <w:p w14:paraId="47822DDB">
      <w:pPr>
        <w:widowControl/>
        <w:spacing w:line="360" w:lineRule="auto"/>
        <w:rPr>
          <w:rFonts w:hint="default" w:ascii="Times New Roman" w:hAnsi="Times New Roman" w:eastAsia="宋体" w:cs="Times New Roman"/>
          <w:i w:val="0"/>
          <w:iCs w:val="0"/>
          <w:caps w:val="0"/>
          <w:color w:val="000000"/>
          <w:spacing w:val="0"/>
          <w:sz w:val="24"/>
          <w:szCs w:val="24"/>
          <w:highlight w:val="none"/>
          <w:vertAlign w:val="baseline"/>
          <w:lang w:val="en-US" w:eastAsia="zh-CN"/>
        </w:rPr>
      </w:pPr>
    </w:p>
    <w:p w14:paraId="7104339C">
      <w:pPr>
        <w:widowControl/>
        <w:spacing w:line="360" w:lineRule="auto"/>
        <w:rPr>
          <w:rFonts w:hint="default" w:ascii="Times New Roman" w:hAnsi="Times New Roman" w:eastAsia="宋体" w:cs="Times New Roman"/>
          <w:i w:val="0"/>
          <w:iCs w:val="0"/>
          <w:caps w:val="0"/>
          <w:color w:val="000000"/>
          <w:spacing w:val="0"/>
          <w:sz w:val="24"/>
          <w:szCs w:val="24"/>
          <w:highlight w:val="none"/>
          <w:vertAlign w:val="baseline"/>
          <w:lang w:val="en-US" w:eastAsia="zh-CN"/>
        </w:rPr>
      </w:pPr>
    </w:p>
    <w:p w14:paraId="490BD75C">
      <w:pPr>
        <w:widowControl/>
        <w:spacing w:line="360" w:lineRule="auto"/>
        <w:rPr>
          <w:rFonts w:hint="default" w:ascii="Times New Roman" w:hAnsi="Times New Roman" w:eastAsia="宋体" w:cs="Times New Roman"/>
          <w:i w:val="0"/>
          <w:iCs w:val="0"/>
          <w:caps w:val="0"/>
          <w:color w:val="000000"/>
          <w:spacing w:val="0"/>
          <w:sz w:val="24"/>
          <w:szCs w:val="24"/>
          <w:highlight w:val="none"/>
          <w:vertAlign w:val="baseline"/>
          <w:lang w:val="en-US" w:eastAsia="zh-CN"/>
        </w:rPr>
      </w:pPr>
    </w:p>
    <w:p w14:paraId="01DDAB43">
      <w:pPr>
        <w:widowControl/>
        <w:spacing w:line="36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Table S1. Primer sequences for quantitative RT‒PCR.</w:t>
      </w:r>
    </w:p>
    <w:tbl>
      <w:tblPr>
        <w:tblStyle w:val="3"/>
        <w:tblW w:w="7793" w:type="dxa"/>
        <w:tblInd w:w="250" w:type="dxa"/>
        <w:tblLayout w:type="fixed"/>
        <w:tblCellMar>
          <w:top w:w="0" w:type="dxa"/>
          <w:left w:w="10" w:type="dxa"/>
          <w:bottom w:w="0" w:type="dxa"/>
          <w:right w:w="10" w:type="dxa"/>
        </w:tblCellMar>
      </w:tblPr>
      <w:tblGrid>
        <w:gridCol w:w="1651"/>
        <w:gridCol w:w="1685"/>
        <w:gridCol w:w="4457"/>
      </w:tblGrid>
      <w:tr w14:paraId="11167681">
        <w:tblPrEx>
          <w:tblCellMar>
            <w:top w:w="0" w:type="dxa"/>
            <w:left w:w="10" w:type="dxa"/>
            <w:bottom w:w="0" w:type="dxa"/>
            <w:right w:w="10" w:type="dxa"/>
          </w:tblCellMar>
        </w:tblPrEx>
        <w:trPr>
          <w:trHeight w:val="511" w:hRule="atLeas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8DB02B3">
            <w:pPr>
              <w:pStyle w:val="7"/>
              <w:snapToGrid w:val="0"/>
              <w:spacing w:line="360" w:lineRule="auto"/>
              <w:ind w:firstLine="0"/>
              <w:jc w:val="both"/>
              <w:rPr>
                <w:b/>
                <w:bCs/>
              </w:rPr>
            </w:pPr>
            <w:r>
              <w:rPr>
                <w:b/>
                <w:bCs/>
              </w:rPr>
              <w:t>Gene</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F90F45">
            <w:pPr>
              <w:pStyle w:val="7"/>
              <w:snapToGrid w:val="0"/>
              <w:spacing w:line="360" w:lineRule="auto"/>
              <w:ind w:firstLine="0"/>
              <w:jc w:val="both"/>
              <w:rPr>
                <w:b/>
                <w:bCs/>
              </w:rPr>
            </w:pPr>
            <w:r>
              <w:rPr>
                <w:b/>
                <w:bCs/>
              </w:rPr>
              <w:t>Primer</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3D8B6AD0">
            <w:pPr>
              <w:pStyle w:val="7"/>
              <w:snapToGrid w:val="0"/>
              <w:spacing w:line="360" w:lineRule="auto"/>
              <w:ind w:firstLine="0"/>
              <w:jc w:val="both"/>
              <w:rPr>
                <w:b/>
                <w:bCs/>
              </w:rPr>
            </w:pPr>
            <w:r>
              <w:rPr>
                <w:b/>
                <w:bCs/>
              </w:rPr>
              <w:t>Primer Sequence (5' to 3')</w:t>
            </w:r>
          </w:p>
        </w:tc>
      </w:tr>
      <w:tr w14:paraId="45DE5A78">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4A6B249A">
            <w:pPr>
              <w:pStyle w:val="7"/>
              <w:snapToGrid w:val="0"/>
              <w:spacing w:line="360" w:lineRule="auto"/>
              <w:ind w:firstLine="0"/>
              <w:jc w:val="both"/>
            </w:pPr>
            <w:r>
              <w:rPr>
                <w:bCs/>
                <w:i/>
                <w:iCs/>
              </w:rPr>
              <w:t>SOX9</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9FFC59">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407F40A2">
            <w:pPr>
              <w:pStyle w:val="7"/>
              <w:snapToGrid w:val="0"/>
              <w:spacing w:line="360" w:lineRule="auto"/>
              <w:ind w:firstLine="0"/>
              <w:jc w:val="both"/>
              <w:rPr>
                <w:bCs/>
              </w:rPr>
            </w:pPr>
            <w:r>
              <w:rPr>
                <w:bCs/>
              </w:rPr>
              <w:t>CCAGCAAGAACAAGCCACAC</w:t>
            </w:r>
          </w:p>
        </w:tc>
      </w:tr>
      <w:tr w14:paraId="59C0B9AF">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2FB8106C">
            <w:pPr>
              <w:pStyle w:val="7"/>
              <w:snapToGrid w:val="0"/>
              <w:spacing w:line="360" w:lineRule="auto"/>
              <w:ind w:firstLine="0"/>
              <w:jc w:val="both"/>
            </w:pPr>
            <w:r>
              <w:rPr>
                <w:bCs/>
                <w:i/>
                <w:iCs/>
              </w:rPr>
              <w:t>SOX9</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D85DD63">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65681D6B">
            <w:pPr>
              <w:pStyle w:val="7"/>
              <w:snapToGrid w:val="0"/>
              <w:spacing w:line="360" w:lineRule="auto"/>
              <w:ind w:firstLine="0"/>
              <w:jc w:val="both"/>
              <w:rPr>
                <w:bCs/>
              </w:rPr>
            </w:pPr>
            <w:r>
              <w:rPr>
                <w:bCs/>
              </w:rPr>
              <w:t>CTTGCCCAGAGTCTTGCTGA</w:t>
            </w:r>
          </w:p>
        </w:tc>
      </w:tr>
      <w:tr w14:paraId="76E6FE21">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21324428">
            <w:pPr>
              <w:pStyle w:val="7"/>
              <w:snapToGrid w:val="0"/>
              <w:spacing w:line="360" w:lineRule="auto"/>
              <w:ind w:firstLine="0"/>
              <w:jc w:val="both"/>
            </w:pPr>
            <w:r>
              <w:rPr>
                <w:bCs/>
                <w:i/>
                <w:iCs/>
              </w:rPr>
              <w:t>COL 2A1</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C15077C">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14C41D1B">
            <w:pPr>
              <w:pStyle w:val="7"/>
              <w:snapToGrid w:val="0"/>
              <w:spacing w:line="360" w:lineRule="auto"/>
              <w:ind w:firstLine="0"/>
              <w:jc w:val="both"/>
              <w:rPr>
                <w:bCs/>
              </w:rPr>
            </w:pPr>
            <w:r>
              <w:rPr>
                <w:bCs/>
              </w:rPr>
              <w:t>GAGTGGAAGAGCGGAGACTACTG</w:t>
            </w:r>
          </w:p>
        </w:tc>
      </w:tr>
      <w:tr w14:paraId="2A5B1777">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793FA35F">
            <w:pPr>
              <w:pStyle w:val="7"/>
              <w:snapToGrid w:val="0"/>
              <w:spacing w:line="360" w:lineRule="auto"/>
              <w:ind w:firstLine="0"/>
              <w:jc w:val="both"/>
            </w:pPr>
            <w:r>
              <w:rPr>
                <w:bCs/>
                <w:i/>
                <w:iCs/>
              </w:rPr>
              <w:t>COL 2A1</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3AEF640">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052E981E">
            <w:pPr>
              <w:pStyle w:val="7"/>
              <w:snapToGrid w:val="0"/>
              <w:spacing w:line="360" w:lineRule="auto"/>
              <w:ind w:firstLine="0"/>
              <w:jc w:val="both"/>
              <w:rPr>
                <w:bCs/>
              </w:rPr>
            </w:pPr>
            <w:r>
              <w:rPr>
                <w:bCs/>
              </w:rPr>
              <w:t>GTCTCCATGTTGCAGAAGACTTTCA</w:t>
            </w:r>
          </w:p>
        </w:tc>
      </w:tr>
      <w:tr w14:paraId="33D3C059">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216A9D41">
            <w:pPr>
              <w:pStyle w:val="7"/>
              <w:snapToGrid w:val="0"/>
              <w:spacing w:line="360" w:lineRule="auto"/>
              <w:ind w:firstLine="0"/>
              <w:jc w:val="both"/>
              <w:rPr>
                <w:rFonts w:eastAsiaTheme="minorEastAsia"/>
                <w:bCs/>
                <w:i/>
                <w:iCs/>
                <w:lang w:eastAsia="zh-CN"/>
              </w:rPr>
            </w:pPr>
            <w:r>
              <w:rPr>
                <w:rFonts w:hint="eastAsia" w:eastAsiaTheme="minorEastAsia"/>
                <w:bCs/>
                <w:i/>
                <w:iCs/>
                <w:lang w:eastAsia="zh-CN"/>
              </w:rPr>
              <w:t>A</w:t>
            </w:r>
            <w:r>
              <w:rPr>
                <w:rFonts w:eastAsiaTheme="minorEastAsia"/>
                <w:bCs/>
                <w:i/>
                <w:iCs/>
                <w:lang w:eastAsia="zh-CN"/>
              </w:rPr>
              <w:t>ggrecan</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6B1ACA7">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13A82582">
            <w:pPr>
              <w:pStyle w:val="7"/>
              <w:snapToGrid w:val="0"/>
              <w:spacing w:line="360" w:lineRule="auto"/>
              <w:ind w:firstLine="0"/>
              <w:jc w:val="both"/>
              <w:rPr>
                <w:bCs/>
              </w:rPr>
            </w:pPr>
            <w:r>
              <w:rPr>
                <w:bCs/>
              </w:rPr>
              <w:t>CTAGCTGCTTAGCAGGGATAACG</w:t>
            </w:r>
          </w:p>
        </w:tc>
      </w:tr>
      <w:tr w14:paraId="29DF6CC2">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010198AB">
            <w:pPr>
              <w:pStyle w:val="7"/>
              <w:snapToGrid w:val="0"/>
              <w:spacing w:line="360" w:lineRule="auto"/>
              <w:ind w:firstLine="0"/>
              <w:jc w:val="both"/>
              <w:rPr>
                <w:bCs/>
                <w:i/>
                <w:iCs/>
              </w:rPr>
            </w:pPr>
            <w:r>
              <w:rPr>
                <w:rFonts w:hint="eastAsia" w:eastAsiaTheme="minorEastAsia"/>
                <w:bCs/>
                <w:i/>
                <w:iCs/>
                <w:lang w:eastAsia="zh-CN"/>
              </w:rPr>
              <w:t>A</w:t>
            </w:r>
            <w:r>
              <w:rPr>
                <w:rFonts w:eastAsiaTheme="minorEastAsia"/>
                <w:bCs/>
                <w:i/>
                <w:iCs/>
                <w:lang w:eastAsia="zh-CN"/>
              </w:rPr>
              <w:t>ggrecan</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56B87F">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3091FEB">
            <w:pPr>
              <w:pStyle w:val="7"/>
              <w:snapToGrid w:val="0"/>
              <w:spacing w:line="360" w:lineRule="auto"/>
              <w:ind w:firstLine="0"/>
              <w:jc w:val="both"/>
              <w:rPr>
                <w:bCs/>
              </w:rPr>
            </w:pPr>
            <w:r>
              <w:rPr>
                <w:bCs/>
              </w:rPr>
              <w:t>TCATGTAGACCATGTAGTTGAGGTCA</w:t>
            </w:r>
          </w:p>
        </w:tc>
      </w:tr>
      <w:tr w14:paraId="7CCCC2C8">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28FD2ADF">
            <w:pPr>
              <w:pStyle w:val="7"/>
              <w:snapToGrid w:val="0"/>
              <w:spacing w:line="360" w:lineRule="auto"/>
              <w:ind w:firstLine="0"/>
              <w:jc w:val="both"/>
              <w:rPr>
                <w:rFonts w:eastAsiaTheme="minorEastAsia"/>
                <w:bCs/>
                <w:i/>
                <w:iCs/>
                <w:lang w:eastAsia="zh-CN"/>
              </w:rPr>
            </w:pPr>
            <w:r>
              <w:rPr>
                <w:bCs/>
                <w:i/>
                <w:iCs/>
              </w:rPr>
              <w:t>COL 1</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F79343">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0D807FA">
            <w:pPr>
              <w:pStyle w:val="7"/>
              <w:snapToGrid w:val="0"/>
              <w:spacing w:line="360" w:lineRule="auto"/>
              <w:ind w:firstLine="0"/>
              <w:jc w:val="both"/>
              <w:rPr>
                <w:bCs/>
              </w:rPr>
            </w:pPr>
            <w:r>
              <w:rPr>
                <w:bCs/>
              </w:rPr>
              <w:t>GTGCTAAAGGTGCCAATGGT</w:t>
            </w:r>
          </w:p>
        </w:tc>
      </w:tr>
      <w:tr w14:paraId="2BCB3A46">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60461F50">
            <w:pPr>
              <w:pStyle w:val="7"/>
              <w:snapToGrid w:val="0"/>
              <w:spacing w:line="360" w:lineRule="auto"/>
              <w:ind w:firstLine="0"/>
              <w:jc w:val="both"/>
              <w:rPr>
                <w:rFonts w:eastAsiaTheme="minorEastAsia"/>
                <w:bCs/>
                <w:i/>
                <w:iCs/>
                <w:lang w:eastAsia="zh-CN"/>
              </w:rPr>
            </w:pPr>
            <w:r>
              <w:rPr>
                <w:bCs/>
                <w:i/>
                <w:iCs/>
              </w:rPr>
              <w:t>COL 1</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7F9AE0">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FC174EB">
            <w:pPr>
              <w:pStyle w:val="7"/>
              <w:snapToGrid w:val="0"/>
              <w:spacing w:line="360" w:lineRule="auto"/>
              <w:ind w:firstLine="0"/>
              <w:jc w:val="both"/>
              <w:rPr>
                <w:bCs/>
              </w:rPr>
            </w:pPr>
            <w:r>
              <w:rPr>
                <w:bCs/>
              </w:rPr>
              <w:t>ACCAGGTTCACCGCTGTTAC</w:t>
            </w:r>
          </w:p>
        </w:tc>
      </w:tr>
      <w:tr w14:paraId="0ABC64EB">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4DC0F322">
            <w:pPr>
              <w:pStyle w:val="7"/>
              <w:snapToGrid w:val="0"/>
              <w:spacing w:line="360" w:lineRule="auto"/>
              <w:ind w:firstLine="0"/>
              <w:jc w:val="both"/>
              <w:rPr>
                <w:rFonts w:hint="eastAsia" w:eastAsia="宋体"/>
                <w:bCs/>
                <w:i/>
                <w:iCs/>
                <w:lang w:val="en-US" w:eastAsia="zh-CN"/>
              </w:rPr>
            </w:pPr>
            <w:r>
              <w:rPr>
                <w:rFonts w:hint="eastAsia"/>
                <w:bCs/>
                <w:i/>
                <w:iCs/>
              </w:rPr>
              <w:t>FOXO</w:t>
            </w:r>
            <w:r>
              <w:rPr>
                <w:rFonts w:hint="eastAsia" w:eastAsia="宋体"/>
                <w:bCs/>
                <w:i/>
                <w:iCs/>
                <w:lang w:val="en-US" w:eastAsia="zh-CN"/>
              </w:rPr>
              <w:t>1</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F21BAA">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0C5A9376">
            <w:pPr>
              <w:pStyle w:val="7"/>
              <w:snapToGrid w:val="0"/>
              <w:spacing w:line="360" w:lineRule="auto"/>
              <w:ind w:firstLine="0"/>
              <w:jc w:val="both"/>
              <w:rPr>
                <w:bCs/>
              </w:rPr>
            </w:pPr>
            <w:r>
              <w:rPr>
                <w:rFonts w:hint="eastAsia"/>
                <w:bCs/>
              </w:rPr>
              <w:t>TCGTCATAATCTGTCCCTACACA</w:t>
            </w:r>
          </w:p>
        </w:tc>
      </w:tr>
      <w:tr w14:paraId="2706EC9A">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6E60F743">
            <w:pPr>
              <w:pStyle w:val="7"/>
              <w:snapToGrid w:val="0"/>
              <w:spacing w:line="360" w:lineRule="auto"/>
              <w:ind w:firstLine="0"/>
              <w:jc w:val="both"/>
              <w:rPr>
                <w:bCs/>
                <w:i/>
                <w:iCs/>
              </w:rPr>
            </w:pPr>
            <w:r>
              <w:rPr>
                <w:rFonts w:hint="eastAsia"/>
                <w:bCs/>
                <w:i/>
                <w:iCs/>
              </w:rPr>
              <w:t>FOXO</w:t>
            </w:r>
            <w:r>
              <w:rPr>
                <w:rFonts w:hint="eastAsia" w:eastAsia="宋体"/>
                <w:bCs/>
                <w:i/>
                <w:iCs/>
                <w:lang w:val="en-US" w:eastAsia="zh-CN"/>
              </w:rPr>
              <w:t>1</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DC4BE26">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C108B71">
            <w:pPr>
              <w:pStyle w:val="7"/>
              <w:snapToGrid w:val="0"/>
              <w:spacing w:line="360" w:lineRule="auto"/>
              <w:ind w:firstLine="0"/>
              <w:jc w:val="both"/>
              <w:rPr>
                <w:bCs/>
              </w:rPr>
            </w:pPr>
            <w:r>
              <w:rPr>
                <w:rFonts w:hint="eastAsia"/>
                <w:bCs/>
              </w:rPr>
              <w:t>CGGCTTCGGCTCTTAGCAAA</w:t>
            </w:r>
          </w:p>
        </w:tc>
      </w:tr>
      <w:tr w14:paraId="6B630681">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90D171E">
            <w:pPr>
              <w:pStyle w:val="7"/>
              <w:snapToGrid w:val="0"/>
              <w:spacing w:line="360" w:lineRule="auto"/>
              <w:ind w:firstLine="0" w:firstLineChars="0"/>
              <w:jc w:val="both"/>
              <w:rPr>
                <w:rFonts w:hint="eastAsia" w:eastAsia="宋体"/>
                <w:bCs/>
                <w:i/>
                <w:iCs/>
                <w:lang w:val="en-US" w:eastAsia="zh-CN"/>
              </w:rPr>
            </w:pPr>
            <w:r>
              <w:rPr>
                <w:rFonts w:hint="eastAsia"/>
                <w:bCs/>
                <w:i/>
                <w:iCs/>
              </w:rPr>
              <w:t>FOXO</w:t>
            </w:r>
            <w:r>
              <w:rPr>
                <w:rFonts w:hint="eastAsia" w:eastAsia="宋体"/>
                <w:bCs/>
                <w:i/>
                <w:iCs/>
                <w:lang w:val="en-US" w:eastAsia="zh-CN"/>
              </w:rPr>
              <w:t>3</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83801C">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74EE4AD0">
            <w:pPr>
              <w:pStyle w:val="7"/>
              <w:snapToGrid w:val="0"/>
              <w:spacing w:line="360" w:lineRule="auto"/>
              <w:ind w:firstLine="0"/>
              <w:jc w:val="both"/>
              <w:rPr>
                <w:bCs/>
              </w:rPr>
            </w:pPr>
            <w:r>
              <w:rPr>
                <w:rFonts w:hint="eastAsia"/>
                <w:bCs/>
              </w:rPr>
              <w:t>CGGACAAACGGCTCACTCT</w:t>
            </w:r>
          </w:p>
        </w:tc>
      </w:tr>
      <w:tr w14:paraId="10BACE7F">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094A467F">
            <w:pPr>
              <w:pStyle w:val="7"/>
              <w:snapToGrid w:val="0"/>
              <w:spacing w:line="360" w:lineRule="auto"/>
              <w:ind w:firstLine="0" w:firstLineChars="0"/>
              <w:jc w:val="both"/>
              <w:rPr>
                <w:rFonts w:hint="eastAsia" w:ascii="Times New Roman" w:hAnsi="Times New Roman" w:eastAsia="宋体" w:cstheme="minorBidi"/>
                <w:bCs/>
                <w:i/>
                <w:iCs/>
                <w:kern w:val="0"/>
                <w:sz w:val="24"/>
                <w:szCs w:val="24"/>
                <w:lang w:val="en-US" w:eastAsia="zh-CN" w:bidi="ar-SA"/>
              </w:rPr>
            </w:pPr>
            <w:r>
              <w:rPr>
                <w:rFonts w:hint="eastAsia"/>
                <w:bCs/>
                <w:i/>
                <w:iCs/>
              </w:rPr>
              <w:t>FOXO</w:t>
            </w:r>
            <w:r>
              <w:rPr>
                <w:rFonts w:hint="eastAsia" w:eastAsia="宋体"/>
                <w:bCs/>
                <w:i/>
                <w:iCs/>
                <w:lang w:val="en-US" w:eastAsia="zh-CN"/>
              </w:rPr>
              <w:t>3</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46FA026">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5B97554B">
            <w:pPr>
              <w:pStyle w:val="7"/>
              <w:snapToGrid w:val="0"/>
              <w:spacing w:line="360" w:lineRule="auto"/>
              <w:ind w:firstLine="0"/>
              <w:jc w:val="both"/>
              <w:rPr>
                <w:bCs/>
              </w:rPr>
            </w:pPr>
            <w:r>
              <w:rPr>
                <w:rFonts w:hint="eastAsia"/>
                <w:bCs/>
              </w:rPr>
              <w:t>GGACCCGCATGAATCGACTAT</w:t>
            </w:r>
          </w:p>
        </w:tc>
      </w:tr>
      <w:tr w14:paraId="04CE4927">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642DCF04">
            <w:pPr>
              <w:pStyle w:val="7"/>
              <w:snapToGrid w:val="0"/>
              <w:spacing w:line="360" w:lineRule="auto"/>
              <w:ind w:firstLine="0"/>
              <w:jc w:val="both"/>
              <w:rPr>
                <w:rFonts w:eastAsiaTheme="minorEastAsia"/>
                <w:bCs/>
                <w:i/>
                <w:iCs/>
                <w:lang w:eastAsia="zh-CN"/>
              </w:rPr>
            </w:pPr>
            <w:r>
              <w:rPr>
                <w:rFonts w:hint="eastAsia" w:eastAsiaTheme="minorEastAsia"/>
                <w:bCs/>
                <w:i/>
                <w:iCs/>
                <w:lang w:eastAsia="zh-CN"/>
              </w:rPr>
              <w:t>G</w:t>
            </w:r>
            <w:r>
              <w:rPr>
                <w:rFonts w:eastAsiaTheme="minorEastAsia"/>
                <w:bCs/>
                <w:i/>
                <w:iCs/>
                <w:lang w:eastAsia="zh-CN"/>
              </w:rPr>
              <w:t>APDH</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F463DB">
            <w:pPr>
              <w:pStyle w:val="7"/>
              <w:snapToGrid w:val="0"/>
              <w:spacing w:line="360" w:lineRule="auto"/>
              <w:ind w:firstLine="0"/>
              <w:jc w:val="both"/>
              <w:rPr>
                <w:bCs/>
              </w:rPr>
            </w:pPr>
            <w:r>
              <w:rPr>
                <w:bCs/>
              </w:rPr>
              <w:t>Forward</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79B70052">
            <w:pPr>
              <w:pStyle w:val="7"/>
              <w:snapToGrid w:val="0"/>
              <w:spacing w:line="360" w:lineRule="auto"/>
              <w:ind w:firstLine="0"/>
              <w:jc w:val="both"/>
              <w:rPr>
                <w:bCs/>
              </w:rPr>
            </w:pPr>
            <w:r>
              <w:rPr>
                <w:bCs/>
              </w:rPr>
              <w:t>CAAGAAGGTGGTGAAGCAGG</w:t>
            </w:r>
          </w:p>
        </w:tc>
      </w:tr>
      <w:tr w14:paraId="46E026BF">
        <w:tblPrEx>
          <w:tblCellMar>
            <w:top w:w="0" w:type="dxa"/>
            <w:left w:w="10" w:type="dxa"/>
            <w:bottom w:w="0" w:type="dxa"/>
            <w:right w:w="10" w:type="dxa"/>
          </w:tblCellMar>
        </w:tblPrEx>
        <w:trPr>
          <w:trHeight w:val="511" w:hRule="exact"/>
        </w:trPr>
        <w:tc>
          <w:tcPr>
            <w:tcW w:w="1651"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0E9A826B">
            <w:pPr>
              <w:pStyle w:val="7"/>
              <w:snapToGrid w:val="0"/>
              <w:spacing w:line="360" w:lineRule="auto"/>
              <w:ind w:firstLine="0"/>
              <w:jc w:val="both"/>
              <w:rPr>
                <w:rFonts w:eastAsiaTheme="minorEastAsia"/>
                <w:bCs/>
                <w:i/>
                <w:iCs/>
                <w:lang w:eastAsia="zh-CN"/>
              </w:rPr>
            </w:pPr>
            <w:r>
              <w:rPr>
                <w:rFonts w:hint="eastAsia" w:eastAsiaTheme="minorEastAsia"/>
                <w:bCs/>
                <w:i/>
                <w:iCs/>
                <w:lang w:eastAsia="zh-CN"/>
              </w:rPr>
              <w:t>G</w:t>
            </w:r>
            <w:r>
              <w:rPr>
                <w:rFonts w:eastAsiaTheme="minorEastAsia"/>
                <w:bCs/>
                <w:i/>
                <w:iCs/>
                <w:lang w:eastAsia="zh-CN"/>
              </w:rPr>
              <w:t>APDH</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FA83D5">
            <w:pPr>
              <w:pStyle w:val="7"/>
              <w:snapToGrid w:val="0"/>
              <w:spacing w:line="360" w:lineRule="auto"/>
              <w:ind w:firstLine="0"/>
              <w:jc w:val="both"/>
              <w:rPr>
                <w:bCs/>
              </w:rPr>
            </w:pPr>
            <w:r>
              <w:rPr>
                <w:bCs/>
              </w:rPr>
              <w:t>Reverse</w:t>
            </w:r>
          </w:p>
        </w:tc>
        <w:tc>
          <w:tcPr>
            <w:tcW w:w="445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108" w:type="dxa"/>
              <w:bottom w:w="0" w:type="dxa"/>
              <w:right w:w="108" w:type="dxa"/>
            </w:tcMar>
            <w:vAlign w:val="center"/>
          </w:tcPr>
          <w:p w14:paraId="41503770">
            <w:pPr>
              <w:pStyle w:val="7"/>
              <w:snapToGrid w:val="0"/>
              <w:spacing w:line="360" w:lineRule="auto"/>
              <w:ind w:firstLine="0"/>
              <w:jc w:val="both"/>
              <w:rPr>
                <w:bCs/>
              </w:rPr>
            </w:pPr>
            <w:r>
              <w:rPr>
                <w:bCs/>
              </w:rPr>
              <w:t>CACTGTTGAAGTCGCAG</w:t>
            </w:r>
          </w:p>
        </w:tc>
      </w:tr>
    </w:tbl>
    <w:p w14:paraId="1973C69A">
      <w:pPr>
        <w:widowControl/>
        <w:spacing w:line="360" w:lineRule="auto"/>
        <w:rPr>
          <w:rFonts w:ascii="Times New Roman" w:hAnsi="Times New Roman"/>
          <w:b/>
          <w:bCs/>
          <w:sz w:val="24"/>
        </w:rPr>
      </w:pPr>
    </w:p>
    <w:p w14:paraId="6D468D42">
      <w:pPr>
        <w:widowControl/>
        <w:spacing w:line="360" w:lineRule="auto"/>
        <w:rPr>
          <w:rFonts w:ascii="Times New Roman" w:hAnsi="Times New Roman"/>
          <w:b/>
          <w:bCs/>
          <w:sz w:val="24"/>
        </w:rPr>
      </w:pPr>
      <w:r>
        <w:rPr>
          <w:rFonts w:ascii="Times New Roman" w:hAnsi="Times New Roman"/>
          <w:b/>
          <w:bCs/>
          <w:sz w:val="24"/>
        </w:rPr>
        <w:t>Table S2. International Cartilage Repair Society (ICRS) macroscopic evaluation guidelines.</w:t>
      </w:r>
    </w:p>
    <w:tbl>
      <w:tblPr>
        <w:tblStyle w:val="4"/>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4385"/>
        <w:gridCol w:w="958"/>
      </w:tblGrid>
      <w:tr w14:paraId="6D4D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7501" w:type="dxa"/>
            <w:gridSpan w:val="2"/>
            <w:vAlign w:val="center"/>
          </w:tcPr>
          <w:p w14:paraId="62C31F7F">
            <w:pPr>
              <w:jc w:val="center"/>
              <w:rPr>
                <w:rFonts w:ascii="Times New Roman" w:hAnsi="Times New Roman"/>
                <w:color w:val="000000"/>
                <w:kern w:val="0"/>
                <w:sz w:val="24"/>
              </w:rPr>
            </w:pPr>
            <w:r>
              <w:rPr>
                <w:rFonts w:ascii="Times New Roman" w:hAnsi="Times New Roman"/>
                <w:color w:val="000000"/>
                <w:kern w:val="0"/>
                <w:sz w:val="24"/>
              </w:rPr>
              <w:t>ICRS Cartilage Repair Assessment</w:t>
            </w:r>
          </w:p>
        </w:tc>
        <w:tc>
          <w:tcPr>
            <w:tcW w:w="958" w:type="dxa"/>
            <w:vAlign w:val="center"/>
          </w:tcPr>
          <w:p w14:paraId="063D1FF4">
            <w:pPr>
              <w:jc w:val="center"/>
              <w:rPr>
                <w:rFonts w:ascii="Times New Roman" w:hAnsi="Times New Roman"/>
                <w:color w:val="000000"/>
                <w:kern w:val="0"/>
                <w:sz w:val="24"/>
              </w:rPr>
            </w:pPr>
            <w:r>
              <w:rPr>
                <w:rFonts w:ascii="Times New Roman" w:hAnsi="Times New Roman"/>
                <w:color w:val="000000"/>
                <w:kern w:val="0"/>
                <w:sz w:val="24"/>
              </w:rPr>
              <w:t>Points</w:t>
            </w:r>
          </w:p>
        </w:tc>
      </w:tr>
      <w:tr w14:paraId="47F3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restart"/>
            <w:vAlign w:val="center"/>
          </w:tcPr>
          <w:p w14:paraId="63110B04">
            <w:pPr>
              <w:jc w:val="center"/>
              <w:rPr>
                <w:sz w:val="24"/>
              </w:rPr>
            </w:pPr>
            <w:r>
              <w:rPr>
                <w:rFonts w:ascii="Times New Roman" w:hAnsi="Times New Roman"/>
                <w:color w:val="000000"/>
                <w:kern w:val="0"/>
                <w:sz w:val="24"/>
              </w:rPr>
              <w:t>Degree of defect repair</w:t>
            </w:r>
          </w:p>
        </w:tc>
        <w:tc>
          <w:tcPr>
            <w:tcW w:w="4385" w:type="dxa"/>
            <w:vAlign w:val="center"/>
          </w:tcPr>
          <w:p w14:paraId="2D079448">
            <w:pPr>
              <w:spacing w:line="240" w:lineRule="atLeast"/>
              <w:jc w:val="center"/>
              <w:rPr>
                <w:sz w:val="24"/>
              </w:rPr>
            </w:pPr>
            <w:r>
              <w:rPr>
                <w:rFonts w:ascii="Times New Roman" w:hAnsi="Times New Roman"/>
                <w:color w:val="000000"/>
                <w:kern w:val="0"/>
                <w:sz w:val="24"/>
              </w:rPr>
              <w:t>At level with surrounding cartilage</w:t>
            </w:r>
          </w:p>
        </w:tc>
        <w:tc>
          <w:tcPr>
            <w:tcW w:w="958" w:type="dxa"/>
            <w:vAlign w:val="center"/>
          </w:tcPr>
          <w:p w14:paraId="31A3FC4B">
            <w:pPr>
              <w:spacing w:line="240" w:lineRule="atLeast"/>
              <w:jc w:val="center"/>
              <w:rPr>
                <w:rFonts w:ascii="Times New Roman" w:hAnsi="Times New Roman"/>
                <w:color w:val="000000"/>
                <w:kern w:val="0"/>
                <w:sz w:val="24"/>
              </w:rPr>
            </w:pPr>
            <w:r>
              <w:rPr>
                <w:rFonts w:hint="eastAsia" w:ascii="Times New Roman" w:hAnsi="Times New Roman"/>
                <w:color w:val="000000"/>
                <w:kern w:val="0"/>
                <w:sz w:val="24"/>
              </w:rPr>
              <w:t>4</w:t>
            </w:r>
          </w:p>
        </w:tc>
      </w:tr>
      <w:tr w14:paraId="664D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continue"/>
            <w:vAlign w:val="center"/>
          </w:tcPr>
          <w:p w14:paraId="3E831F6C">
            <w:pPr>
              <w:jc w:val="center"/>
              <w:rPr>
                <w:sz w:val="24"/>
              </w:rPr>
            </w:pPr>
          </w:p>
        </w:tc>
        <w:tc>
          <w:tcPr>
            <w:tcW w:w="4385" w:type="dxa"/>
            <w:vAlign w:val="center"/>
          </w:tcPr>
          <w:p w14:paraId="71259793">
            <w:pPr>
              <w:spacing w:line="240" w:lineRule="atLeast"/>
              <w:jc w:val="center"/>
              <w:rPr>
                <w:sz w:val="24"/>
              </w:rPr>
            </w:pPr>
            <w:r>
              <w:rPr>
                <w:rFonts w:ascii="Times New Roman" w:hAnsi="Times New Roman"/>
                <w:color w:val="000000"/>
                <w:kern w:val="0"/>
                <w:sz w:val="24"/>
              </w:rPr>
              <w:t>75% repair of defect depth</w:t>
            </w:r>
          </w:p>
        </w:tc>
        <w:tc>
          <w:tcPr>
            <w:tcW w:w="958" w:type="dxa"/>
            <w:vAlign w:val="center"/>
          </w:tcPr>
          <w:p w14:paraId="564B85E2">
            <w:pPr>
              <w:spacing w:line="240" w:lineRule="atLeast"/>
              <w:jc w:val="center"/>
              <w:rPr>
                <w:rFonts w:ascii="Times New Roman" w:hAnsi="Times New Roman"/>
                <w:color w:val="000000"/>
                <w:kern w:val="0"/>
                <w:sz w:val="24"/>
              </w:rPr>
            </w:pPr>
            <w:r>
              <w:rPr>
                <w:rFonts w:hint="eastAsia" w:ascii="Times New Roman" w:hAnsi="Times New Roman"/>
                <w:color w:val="000000"/>
                <w:kern w:val="0"/>
                <w:sz w:val="24"/>
              </w:rPr>
              <w:t>3</w:t>
            </w:r>
          </w:p>
        </w:tc>
      </w:tr>
      <w:tr w14:paraId="1A49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continue"/>
            <w:vAlign w:val="center"/>
          </w:tcPr>
          <w:p w14:paraId="494B0872">
            <w:pPr>
              <w:jc w:val="center"/>
              <w:rPr>
                <w:sz w:val="24"/>
              </w:rPr>
            </w:pPr>
          </w:p>
        </w:tc>
        <w:tc>
          <w:tcPr>
            <w:tcW w:w="4385" w:type="dxa"/>
            <w:vAlign w:val="center"/>
          </w:tcPr>
          <w:p w14:paraId="60854C75">
            <w:pPr>
              <w:adjustRightInd w:val="0"/>
              <w:spacing w:line="240" w:lineRule="atLeast"/>
              <w:jc w:val="center"/>
              <w:rPr>
                <w:rFonts w:ascii="Times New Roman" w:hAnsi="Times New Roman"/>
                <w:color w:val="000000"/>
                <w:kern w:val="0"/>
                <w:sz w:val="24"/>
              </w:rPr>
            </w:pPr>
            <w:r>
              <w:rPr>
                <w:rFonts w:ascii="Times New Roman" w:hAnsi="Times New Roman"/>
                <w:color w:val="000000"/>
                <w:kern w:val="0"/>
                <w:sz w:val="24"/>
              </w:rPr>
              <w:t>50% repair of defect depth</w:t>
            </w:r>
          </w:p>
        </w:tc>
        <w:tc>
          <w:tcPr>
            <w:tcW w:w="958" w:type="dxa"/>
            <w:vAlign w:val="center"/>
          </w:tcPr>
          <w:p w14:paraId="637BE258">
            <w:pPr>
              <w:spacing w:line="240" w:lineRule="atLeast"/>
              <w:jc w:val="center"/>
              <w:rPr>
                <w:rFonts w:ascii="Times New Roman" w:hAnsi="Times New Roman"/>
                <w:color w:val="000000"/>
                <w:kern w:val="0"/>
                <w:sz w:val="24"/>
              </w:rPr>
            </w:pPr>
            <w:r>
              <w:rPr>
                <w:rFonts w:hint="eastAsia" w:ascii="Times New Roman" w:hAnsi="Times New Roman"/>
                <w:color w:val="000000"/>
                <w:kern w:val="0"/>
                <w:sz w:val="24"/>
              </w:rPr>
              <w:t>2</w:t>
            </w:r>
          </w:p>
        </w:tc>
      </w:tr>
      <w:tr w14:paraId="496E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continue"/>
            <w:vAlign w:val="center"/>
          </w:tcPr>
          <w:p w14:paraId="1522516E">
            <w:pPr>
              <w:jc w:val="center"/>
              <w:rPr>
                <w:sz w:val="24"/>
              </w:rPr>
            </w:pPr>
          </w:p>
        </w:tc>
        <w:tc>
          <w:tcPr>
            <w:tcW w:w="4385" w:type="dxa"/>
            <w:vAlign w:val="center"/>
          </w:tcPr>
          <w:p w14:paraId="0673DEA9">
            <w:pPr>
              <w:adjustRightInd w:val="0"/>
              <w:spacing w:line="240" w:lineRule="atLeast"/>
              <w:jc w:val="center"/>
              <w:rPr>
                <w:rFonts w:ascii="Times New Roman" w:hAnsi="Times New Roman"/>
                <w:color w:val="000000"/>
                <w:kern w:val="0"/>
                <w:sz w:val="24"/>
              </w:rPr>
            </w:pPr>
            <w:r>
              <w:rPr>
                <w:rFonts w:ascii="Times New Roman" w:hAnsi="Times New Roman"/>
                <w:color w:val="000000"/>
                <w:kern w:val="0"/>
                <w:sz w:val="24"/>
              </w:rPr>
              <w:t>25% repair of defect depth</w:t>
            </w:r>
          </w:p>
        </w:tc>
        <w:tc>
          <w:tcPr>
            <w:tcW w:w="958" w:type="dxa"/>
            <w:vAlign w:val="center"/>
          </w:tcPr>
          <w:p w14:paraId="7E8570B9">
            <w:pPr>
              <w:spacing w:line="240" w:lineRule="atLeast"/>
              <w:jc w:val="center"/>
              <w:rPr>
                <w:rFonts w:ascii="Times New Roman" w:hAnsi="Times New Roman"/>
                <w:color w:val="000000"/>
                <w:kern w:val="0"/>
                <w:sz w:val="24"/>
              </w:rPr>
            </w:pPr>
            <w:r>
              <w:rPr>
                <w:rFonts w:hint="eastAsia" w:ascii="Times New Roman" w:hAnsi="Times New Roman"/>
                <w:color w:val="000000"/>
                <w:kern w:val="0"/>
                <w:sz w:val="24"/>
              </w:rPr>
              <w:t>1</w:t>
            </w:r>
          </w:p>
        </w:tc>
      </w:tr>
      <w:tr w14:paraId="17EE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continue"/>
            <w:vAlign w:val="center"/>
          </w:tcPr>
          <w:p w14:paraId="3AB9F928">
            <w:pPr>
              <w:jc w:val="center"/>
              <w:rPr>
                <w:sz w:val="24"/>
              </w:rPr>
            </w:pPr>
          </w:p>
        </w:tc>
        <w:tc>
          <w:tcPr>
            <w:tcW w:w="4385" w:type="dxa"/>
            <w:vAlign w:val="center"/>
          </w:tcPr>
          <w:p w14:paraId="78AD07A6">
            <w:pPr>
              <w:adjustRightInd w:val="0"/>
              <w:spacing w:line="240" w:lineRule="atLeast"/>
              <w:jc w:val="center"/>
              <w:rPr>
                <w:rFonts w:ascii="Times New Roman" w:hAnsi="Times New Roman"/>
                <w:color w:val="000000"/>
                <w:kern w:val="0"/>
                <w:sz w:val="24"/>
              </w:rPr>
            </w:pPr>
            <w:r>
              <w:rPr>
                <w:rFonts w:ascii="Times New Roman" w:hAnsi="Times New Roman"/>
                <w:color w:val="000000"/>
                <w:kern w:val="0"/>
                <w:sz w:val="24"/>
              </w:rPr>
              <w:t>0% repair of defect depth</w:t>
            </w:r>
          </w:p>
        </w:tc>
        <w:tc>
          <w:tcPr>
            <w:tcW w:w="958" w:type="dxa"/>
            <w:vAlign w:val="center"/>
          </w:tcPr>
          <w:p w14:paraId="4D105AB7">
            <w:pPr>
              <w:spacing w:line="240" w:lineRule="atLeast"/>
              <w:jc w:val="center"/>
              <w:rPr>
                <w:rFonts w:ascii="Times New Roman" w:hAnsi="Times New Roman"/>
                <w:color w:val="000000"/>
                <w:kern w:val="0"/>
                <w:sz w:val="24"/>
              </w:rPr>
            </w:pPr>
            <w:r>
              <w:rPr>
                <w:rFonts w:hint="eastAsia" w:ascii="Times New Roman" w:hAnsi="Times New Roman"/>
                <w:color w:val="000000"/>
                <w:kern w:val="0"/>
                <w:sz w:val="24"/>
              </w:rPr>
              <w:t>0</w:t>
            </w:r>
          </w:p>
        </w:tc>
      </w:tr>
      <w:tr w14:paraId="313A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3116" w:type="dxa"/>
            <w:vMerge w:val="restart"/>
            <w:vAlign w:val="center"/>
          </w:tcPr>
          <w:p w14:paraId="1C761E8C">
            <w:pPr>
              <w:jc w:val="center"/>
              <w:rPr>
                <w:sz w:val="24"/>
              </w:rPr>
            </w:pPr>
            <w:r>
              <w:rPr>
                <w:rFonts w:ascii="Times New Roman" w:hAnsi="Times New Roman"/>
                <w:color w:val="000000"/>
                <w:kern w:val="0"/>
                <w:sz w:val="24"/>
              </w:rPr>
              <w:t>Integration to border zone</w:t>
            </w:r>
          </w:p>
        </w:tc>
        <w:tc>
          <w:tcPr>
            <w:tcW w:w="4385" w:type="dxa"/>
            <w:vAlign w:val="center"/>
          </w:tcPr>
          <w:p w14:paraId="0F67D356">
            <w:pPr>
              <w:adjustRightInd w:val="0"/>
              <w:spacing w:line="400" w:lineRule="exact"/>
              <w:jc w:val="center"/>
              <w:rPr>
                <w:sz w:val="24"/>
              </w:rPr>
            </w:pPr>
            <w:r>
              <w:rPr>
                <w:rFonts w:ascii="Times New Roman" w:hAnsi="Times New Roman"/>
                <w:color w:val="000000"/>
                <w:kern w:val="0"/>
                <w:sz w:val="24"/>
              </w:rPr>
              <w:t>Complete integration with surrounding cartilage</w:t>
            </w:r>
          </w:p>
        </w:tc>
        <w:tc>
          <w:tcPr>
            <w:tcW w:w="958" w:type="dxa"/>
            <w:vAlign w:val="center"/>
          </w:tcPr>
          <w:p w14:paraId="18069972">
            <w:pPr>
              <w:jc w:val="center"/>
              <w:rPr>
                <w:rFonts w:ascii="Times New Roman" w:hAnsi="Times New Roman"/>
                <w:color w:val="000000"/>
                <w:kern w:val="0"/>
                <w:sz w:val="24"/>
              </w:rPr>
            </w:pPr>
            <w:r>
              <w:rPr>
                <w:rFonts w:hint="eastAsia" w:ascii="Times New Roman" w:hAnsi="Times New Roman"/>
                <w:color w:val="000000"/>
                <w:kern w:val="0"/>
                <w:sz w:val="24"/>
              </w:rPr>
              <w:t>4</w:t>
            </w:r>
          </w:p>
        </w:tc>
      </w:tr>
      <w:tr w14:paraId="5C7B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continue"/>
            <w:vAlign w:val="center"/>
          </w:tcPr>
          <w:p w14:paraId="64B00A1F">
            <w:pPr>
              <w:jc w:val="center"/>
              <w:rPr>
                <w:sz w:val="24"/>
              </w:rPr>
            </w:pPr>
          </w:p>
        </w:tc>
        <w:tc>
          <w:tcPr>
            <w:tcW w:w="4385" w:type="dxa"/>
            <w:vAlign w:val="center"/>
          </w:tcPr>
          <w:p w14:paraId="47D68A0F">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Demarcating border &lt;1 mm</w:t>
            </w:r>
          </w:p>
        </w:tc>
        <w:tc>
          <w:tcPr>
            <w:tcW w:w="958" w:type="dxa"/>
            <w:vAlign w:val="center"/>
          </w:tcPr>
          <w:p w14:paraId="514FBD73">
            <w:pPr>
              <w:widowControl/>
              <w:jc w:val="center"/>
              <w:rPr>
                <w:rFonts w:ascii="Times New Roman" w:hAnsi="Times New Roman"/>
                <w:color w:val="000000"/>
                <w:kern w:val="0"/>
                <w:sz w:val="24"/>
              </w:rPr>
            </w:pPr>
            <w:r>
              <w:rPr>
                <w:rFonts w:hint="eastAsia" w:ascii="Times New Roman" w:hAnsi="Times New Roman"/>
                <w:color w:val="000000"/>
                <w:kern w:val="0"/>
                <w:sz w:val="24"/>
              </w:rPr>
              <w:t>3</w:t>
            </w:r>
          </w:p>
        </w:tc>
      </w:tr>
      <w:tr w14:paraId="300B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3116" w:type="dxa"/>
            <w:vMerge w:val="continue"/>
            <w:vAlign w:val="center"/>
          </w:tcPr>
          <w:p w14:paraId="557465D8">
            <w:pPr>
              <w:jc w:val="center"/>
              <w:rPr>
                <w:sz w:val="24"/>
              </w:rPr>
            </w:pPr>
          </w:p>
        </w:tc>
        <w:tc>
          <w:tcPr>
            <w:tcW w:w="4385" w:type="dxa"/>
            <w:vAlign w:val="center"/>
          </w:tcPr>
          <w:p w14:paraId="3BA94FC1">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3/4 of graft integrated, 1/4 with a notable border &gt;1 mm wide</w:t>
            </w:r>
          </w:p>
        </w:tc>
        <w:tc>
          <w:tcPr>
            <w:tcW w:w="958" w:type="dxa"/>
            <w:vAlign w:val="center"/>
          </w:tcPr>
          <w:p w14:paraId="0A141AA5">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4E60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3116" w:type="dxa"/>
            <w:vMerge w:val="continue"/>
            <w:vAlign w:val="center"/>
          </w:tcPr>
          <w:p w14:paraId="70F80BD6">
            <w:pPr>
              <w:jc w:val="center"/>
              <w:rPr>
                <w:sz w:val="24"/>
              </w:rPr>
            </w:pPr>
          </w:p>
        </w:tc>
        <w:tc>
          <w:tcPr>
            <w:tcW w:w="4385" w:type="dxa"/>
            <w:vAlign w:val="center"/>
          </w:tcPr>
          <w:p w14:paraId="6C23C586">
            <w:pPr>
              <w:widowControl/>
              <w:spacing w:line="400" w:lineRule="exact"/>
              <w:jc w:val="center"/>
              <w:rPr>
                <w:sz w:val="24"/>
              </w:rPr>
            </w:pPr>
            <w:r>
              <w:rPr>
                <w:rFonts w:ascii="Times New Roman" w:hAnsi="Times New Roman"/>
                <w:color w:val="000000"/>
                <w:kern w:val="0"/>
                <w:sz w:val="24"/>
              </w:rPr>
              <w:t>1/2 of graft integrated with surrounding cartilage, 1/2 with a notable border &gt;1 mm</w:t>
            </w:r>
          </w:p>
        </w:tc>
        <w:tc>
          <w:tcPr>
            <w:tcW w:w="958" w:type="dxa"/>
            <w:vAlign w:val="center"/>
          </w:tcPr>
          <w:p w14:paraId="7BD9B2E2">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19EB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3116" w:type="dxa"/>
            <w:vMerge w:val="continue"/>
            <w:vAlign w:val="center"/>
          </w:tcPr>
          <w:p w14:paraId="67E57E63">
            <w:pPr>
              <w:jc w:val="center"/>
              <w:rPr>
                <w:sz w:val="24"/>
              </w:rPr>
            </w:pPr>
          </w:p>
        </w:tc>
        <w:tc>
          <w:tcPr>
            <w:tcW w:w="4385" w:type="dxa"/>
            <w:vAlign w:val="center"/>
          </w:tcPr>
          <w:p w14:paraId="27A918D2">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From no contact to 1/4 of graft integrated with surrounding cartilage</w:t>
            </w:r>
          </w:p>
        </w:tc>
        <w:tc>
          <w:tcPr>
            <w:tcW w:w="958" w:type="dxa"/>
            <w:vAlign w:val="center"/>
          </w:tcPr>
          <w:p w14:paraId="28E587C7">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4D5C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restart"/>
            <w:vAlign w:val="center"/>
          </w:tcPr>
          <w:p w14:paraId="5800F6DD">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Macroscopic appearance</w:t>
            </w:r>
          </w:p>
        </w:tc>
        <w:tc>
          <w:tcPr>
            <w:tcW w:w="4385" w:type="dxa"/>
            <w:vAlign w:val="center"/>
          </w:tcPr>
          <w:p w14:paraId="661592BD">
            <w:pPr>
              <w:widowControl/>
              <w:jc w:val="center"/>
              <w:rPr>
                <w:sz w:val="24"/>
              </w:rPr>
            </w:pPr>
            <w:r>
              <w:rPr>
                <w:rFonts w:ascii="Times New Roman" w:hAnsi="Times New Roman"/>
                <w:color w:val="000000"/>
                <w:kern w:val="0"/>
                <w:sz w:val="24"/>
              </w:rPr>
              <w:t>Intact smooth surface</w:t>
            </w:r>
          </w:p>
        </w:tc>
        <w:tc>
          <w:tcPr>
            <w:tcW w:w="958" w:type="dxa"/>
            <w:vAlign w:val="center"/>
          </w:tcPr>
          <w:p w14:paraId="28E4D0E0">
            <w:pPr>
              <w:widowControl/>
              <w:jc w:val="center"/>
              <w:rPr>
                <w:rFonts w:ascii="Times New Roman" w:hAnsi="Times New Roman"/>
                <w:color w:val="000000"/>
                <w:kern w:val="0"/>
                <w:sz w:val="24"/>
              </w:rPr>
            </w:pPr>
            <w:r>
              <w:rPr>
                <w:rFonts w:hint="eastAsia" w:ascii="Times New Roman" w:hAnsi="Times New Roman"/>
                <w:color w:val="000000"/>
                <w:kern w:val="0"/>
                <w:sz w:val="24"/>
              </w:rPr>
              <w:t>4</w:t>
            </w:r>
          </w:p>
        </w:tc>
      </w:tr>
      <w:tr w14:paraId="794D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16" w:type="dxa"/>
            <w:vMerge w:val="continue"/>
            <w:vAlign w:val="center"/>
          </w:tcPr>
          <w:p w14:paraId="539702F8">
            <w:pPr>
              <w:jc w:val="center"/>
              <w:rPr>
                <w:sz w:val="24"/>
              </w:rPr>
            </w:pPr>
          </w:p>
        </w:tc>
        <w:tc>
          <w:tcPr>
            <w:tcW w:w="4385" w:type="dxa"/>
            <w:vAlign w:val="center"/>
          </w:tcPr>
          <w:p w14:paraId="1D61ABCA">
            <w:pPr>
              <w:widowControl/>
              <w:jc w:val="center"/>
              <w:rPr>
                <w:sz w:val="24"/>
              </w:rPr>
            </w:pPr>
            <w:r>
              <w:rPr>
                <w:rFonts w:ascii="Times New Roman" w:hAnsi="Times New Roman"/>
                <w:color w:val="000000"/>
                <w:kern w:val="0"/>
                <w:sz w:val="24"/>
              </w:rPr>
              <w:t>Fibrillated surface</w:t>
            </w:r>
          </w:p>
        </w:tc>
        <w:tc>
          <w:tcPr>
            <w:tcW w:w="958" w:type="dxa"/>
            <w:vAlign w:val="center"/>
          </w:tcPr>
          <w:p w14:paraId="219B152F">
            <w:pPr>
              <w:widowControl/>
              <w:jc w:val="center"/>
              <w:rPr>
                <w:rFonts w:ascii="Times New Roman" w:hAnsi="Times New Roman"/>
                <w:color w:val="000000"/>
                <w:kern w:val="0"/>
                <w:sz w:val="24"/>
              </w:rPr>
            </w:pPr>
            <w:r>
              <w:rPr>
                <w:rFonts w:hint="eastAsia" w:ascii="Times New Roman" w:hAnsi="Times New Roman"/>
                <w:color w:val="000000"/>
                <w:kern w:val="0"/>
                <w:sz w:val="24"/>
              </w:rPr>
              <w:t>3</w:t>
            </w:r>
          </w:p>
        </w:tc>
      </w:tr>
      <w:tr w14:paraId="66D1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continue"/>
            <w:vAlign w:val="center"/>
          </w:tcPr>
          <w:p w14:paraId="7E52F2E6">
            <w:pPr>
              <w:jc w:val="center"/>
              <w:rPr>
                <w:sz w:val="24"/>
              </w:rPr>
            </w:pPr>
          </w:p>
        </w:tc>
        <w:tc>
          <w:tcPr>
            <w:tcW w:w="4385" w:type="dxa"/>
            <w:vAlign w:val="center"/>
          </w:tcPr>
          <w:p w14:paraId="1191309B">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Small, scattered fissures or cracks</w:t>
            </w:r>
          </w:p>
        </w:tc>
        <w:tc>
          <w:tcPr>
            <w:tcW w:w="958" w:type="dxa"/>
            <w:vAlign w:val="center"/>
          </w:tcPr>
          <w:p w14:paraId="150230E1">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669D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continue"/>
            <w:vAlign w:val="center"/>
          </w:tcPr>
          <w:p w14:paraId="2A48B36F">
            <w:pPr>
              <w:jc w:val="center"/>
              <w:rPr>
                <w:sz w:val="24"/>
              </w:rPr>
            </w:pPr>
          </w:p>
        </w:tc>
        <w:tc>
          <w:tcPr>
            <w:tcW w:w="4385" w:type="dxa"/>
            <w:vAlign w:val="center"/>
          </w:tcPr>
          <w:p w14:paraId="05D1C3F6">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Several, small or few but large fissure</w:t>
            </w:r>
          </w:p>
        </w:tc>
        <w:tc>
          <w:tcPr>
            <w:tcW w:w="958" w:type="dxa"/>
            <w:vAlign w:val="center"/>
          </w:tcPr>
          <w:p w14:paraId="768AB0F2">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3E05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continue"/>
            <w:vAlign w:val="center"/>
          </w:tcPr>
          <w:p w14:paraId="60E6A7F2">
            <w:pPr>
              <w:jc w:val="center"/>
              <w:rPr>
                <w:sz w:val="24"/>
              </w:rPr>
            </w:pPr>
          </w:p>
        </w:tc>
        <w:tc>
          <w:tcPr>
            <w:tcW w:w="4385" w:type="dxa"/>
            <w:vAlign w:val="center"/>
          </w:tcPr>
          <w:p w14:paraId="6E821929">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Total degeneration of grafted area</w:t>
            </w:r>
          </w:p>
        </w:tc>
        <w:tc>
          <w:tcPr>
            <w:tcW w:w="958" w:type="dxa"/>
            <w:vAlign w:val="center"/>
          </w:tcPr>
          <w:p w14:paraId="728AFAFC">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2138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restart"/>
            <w:vAlign w:val="center"/>
          </w:tcPr>
          <w:p w14:paraId="16E08D0C">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Overall repair assessment</w:t>
            </w:r>
          </w:p>
        </w:tc>
        <w:tc>
          <w:tcPr>
            <w:tcW w:w="4385" w:type="dxa"/>
            <w:vAlign w:val="center"/>
          </w:tcPr>
          <w:p w14:paraId="665C99E9">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Grade I: normal</w:t>
            </w:r>
          </w:p>
        </w:tc>
        <w:tc>
          <w:tcPr>
            <w:tcW w:w="958" w:type="dxa"/>
            <w:vAlign w:val="center"/>
          </w:tcPr>
          <w:p w14:paraId="5D9791F6">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12</w:t>
            </w:r>
          </w:p>
        </w:tc>
      </w:tr>
      <w:tr w14:paraId="0B29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continue"/>
            <w:vAlign w:val="center"/>
          </w:tcPr>
          <w:p w14:paraId="2834160E">
            <w:pPr>
              <w:jc w:val="center"/>
              <w:rPr>
                <w:sz w:val="24"/>
              </w:rPr>
            </w:pPr>
          </w:p>
        </w:tc>
        <w:tc>
          <w:tcPr>
            <w:tcW w:w="4385" w:type="dxa"/>
            <w:vAlign w:val="center"/>
          </w:tcPr>
          <w:p w14:paraId="7E01BD18">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Grade II: nearly normal</w:t>
            </w:r>
          </w:p>
        </w:tc>
        <w:tc>
          <w:tcPr>
            <w:tcW w:w="958" w:type="dxa"/>
            <w:vAlign w:val="center"/>
          </w:tcPr>
          <w:p w14:paraId="36BA8781">
            <w:pPr>
              <w:widowControl/>
              <w:jc w:val="center"/>
              <w:rPr>
                <w:rFonts w:ascii="Times New Roman" w:hAnsi="Times New Roman"/>
                <w:color w:val="000000"/>
                <w:kern w:val="0"/>
                <w:sz w:val="24"/>
              </w:rPr>
            </w:pPr>
            <w:r>
              <w:rPr>
                <w:rFonts w:ascii="Times New Roman" w:hAnsi="Times New Roman"/>
                <w:color w:val="000000"/>
                <w:kern w:val="0"/>
                <w:sz w:val="24"/>
              </w:rPr>
              <w:t>11–8</w:t>
            </w:r>
          </w:p>
        </w:tc>
      </w:tr>
      <w:tr w14:paraId="374D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116" w:type="dxa"/>
            <w:vMerge w:val="continue"/>
            <w:vAlign w:val="center"/>
          </w:tcPr>
          <w:p w14:paraId="4A798BF2">
            <w:pPr>
              <w:jc w:val="center"/>
              <w:rPr>
                <w:sz w:val="24"/>
              </w:rPr>
            </w:pPr>
          </w:p>
        </w:tc>
        <w:tc>
          <w:tcPr>
            <w:tcW w:w="4385" w:type="dxa"/>
            <w:vAlign w:val="center"/>
          </w:tcPr>
          <w:p w14:paraId="1B9CCD20">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Grade III: abnormal</w:t>
            </w:r>
          </w:p>
        </w:tc>
        <w:tc>
          <w:tcPr>
            <w:tcW w:w="958" w:type="dxa"/>
            <w:vAlign w:val="center"/>
          </w:tcPr>
          <w:p w14:paraId="1515E818">
            <w:pPr>
              <w:widowControl/>
              <w:jc w:val="center"/>
              <w:rPr>
                <w:rFonts w:ascii="Times New Roman" w:hAnsi="Times New Roman"/>
                <w:color w:val="000000"/>
                <w:kern w:val="0"/>
                <w:sz w:val="24"/>
              </w:rPr>
            </w:pPr>
            <w:r>
              <w:rPr>
                <w:rFonts w:ascii="Times New Roman" w:hAnsi="Times New Roman"/>
                <w:color w:val="000000"/>
                <w:kern w:val="0"/>
                <w:sz w:val="24"/>
              </w:rPr>
              <w:t>7–4</w:t>
            </w:r>
          </w:p>
        </w:tc>
      </w:tr>
      <w:tr w14:paraId="26E4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16" w:type="dxa"/>
            <w:vMerge w:val="continue"/>
            <w:vAlign w:val="center"/>
          </w:tcPr>
          <w:p w14:paraId="3760C354">
            <w:pPr>
              <w:jc w:val="center"/>
              <w:rPr>
                <w:sz w:val="24"/>
              </w:rPr>
            </w:pPr>
          </w:p>
        </w:tc>
        <w:tc>
          <w:tcPr>
            <w:tcW w:w="4385" w:type="dxa"/>
            <w:vAlign w:val="center"/>
          </w:tcPr>
          <w:p w14:paraId="44027734">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Grade IV: severely abnormal</w:t>
            </w:r>
          </w:p>
        </w:tc>
        <w:tc>
          <w:tcPr>
            <w:tcW w:w="958" w:type="dxa"/>
            <w:vAlign w:val="center"/>
          </w:tcPr>
          <w:p w14:paraId="5628BBD1">
            <w:pPr>
              <w:widowControl/>
              <w:jc w:val="center"/>
              <w:rPr>
                <w:rFonts w:ascii="Times New Roman" w:hAnsi="Times New Roman"/>
                <w:color w:val="000000"/>
                <w:kern w:val="0"/>
                <w:sz w:val="24"/>
              </w:rPr>
            </w:pPr>
            <w:r>
              <w:rPr>
                <w:rFonts w:ascii="Times New Roman" w:hAnsi="Times New Roman"/>
                <w:color w:val="000000"/>
                <w:kern w:val="0"/>
                <w:sz w:val="24"/>
              </w:rPr>
              <w:t>3–1</w:t>
            </w:r>
          </w:p>
        </w:tc>
      </w:tr>
    </w:tbl>
    <w:p w14:paraId="3EAC6E44">
      <w:pPr>
        <w:spacing w:line="360" w:lineRule="auto"/>
        <w:rPr>
          <w:rFonts w:ascii="Times New Roman" w:hAnsi="Times New Roman"/>
          <w:b/>
          <w:bCs/>
          <w:sz w:val="24"/>
        </w:rPr>
      </w:pPr>
    </w:p>
    <w:p w14:paraId="4DCF21EB">
      <w:pPr>
        <w:spacing w:line="360" w:lineRule="auto"/>
        <w:rPr>
          <w:rFonts w:ascii="Times New Roman" w:hAnsi="Times New Roman"/>
          <w:b/>
          <w:bCs/>
          <w:sz w:val="24"/>
        </w:rPr>
      </w:pPr>
      <w:r>
        <w:rPr>
          <w:rFonts w:ascii="Times New Roman" w:hAnsi="Times New Roman"/>
          <w:b/>
          <w:bCs/>
          <w:sz w:val="24"/>
        </w:rPr>
        <w:t xml:space="preserve">Table S3. </w:t>
      </w:r>
      <w:bookmarkStart w:id="2" w:name="OLE_LINK2"/>
      <w:r>
        <w:rPr>
          <w:rFonts w:ascii="Times New Roman" w:hAnsi="Times New Roman"/>
          <w:b/>
          <w:bCs/>
          <w:sz w:val="24"/>
        </w:rPr>
        <w:t>Modified O’Driscoll score system.</w:t>
      </w:r>
    </w:p>
    <w:bookmarkEnd w:id="2"/>
    <w:tbl>
      <w:tblPr>
        <w:tblStyle w:val="4"/>
        <w:tblpPr w:leftFromText="180" w:rightFromText="180" w:vertAnchor="text" w:horzAnchor="page" w:tblpX="1892" w:tblpY="463"/>
        <w:tblOverlap w:val="never"/>
        <w:tblW w:w="8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5"/>
        <w:gridCol w:w="4114"/>
        <w:gridCol w:w="1070"/>
      </w:tblGrid>
      <w:tr w14:paraId="2AAE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Align w:val="center"/>
          </w:tcPr>
          <w:p w14:paraId="76D6E9A3">
            <w:pPr>
              <w:widowControl/>
              <w:jc w:val="center"/>
            </w:pPr>
            <w:r>
              <w:rPr>
                <w:rFonts w:ascii="Times New Roman" w:hAnsi="Times New Roman"/>
                <w:color w:val="000000"/>
                <w:kern w:val="0"/>
                <w:sz w:val="24"/>
              </w:rPr>
              <w:t>Characteristic</w:t>
            </w:r>
          </w:p>
        </w:tc>
        <w:tc>
          <w:tcPr>
            <w:tcW w:w="4114" w:type="dxa"/>
            <w:vAlign w:val="center"/>
          </w:tcPr>
          <w:p w14:paraId="76571697">
            <w:pPr>
              <w:widowControl/>
              <w:jc w:val="center"/>
            </w:pPr>
            <w:r>
              <w:rPr>
                <w:rFonts w:ascii="Times New Roman" w:hAnsi="Times New Roman"/>
                <w:color w:val="000000"/>
                <w:kern w:val="0"/>
                <w:sz w:val="24"/>
              </w:rPr>
              <w:t>Grading</w:t>
            </w:r>
          </w:p>
        </w:tc>
        <w:tc>
          <w:tcPr>
            <w:tcW w:w="1070" w:type="dxa"/>
            <w:vAlign w:val="center"/>
          </w:tcPr>
          <w:p w14:paraId="0B2B369E">
            <w:pPr>
              <w:widowControl/>
              <w:jc w:val="center"/>
            </w:pPr>
            <w:r>
              <w:rPr>
                <w:rFonts w:ascii="Times New Roman" w:hAnsi="Times New Roman"/>
                <w:color w:val="000000"/>
                <w:kern w:val="0"/>
                <w:sz w:val="24"/>
              </w:rPr>
              <w:t>Score</w:t>
            </w:r>
          </w:p>
        </w:tc>
      </w:tr>
      <w:tr w14:paraId="393C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4C835371">
            <w:pPr>
              <w:widowControl/>
              <w:jc w:val="center"/>
            </w:pPr>
            <w:r>
              <w:rPr>
                <w:rFonts w:ascii="Times New Roman" w:hAnsi="Times New Roman"/>
                <w:color w:val="000000"/>
                <w:kern w:val="0"/>
                <w:sz w:val="24"/>
              </w:rPr>
              <w:t>I. Hyaline cartilage</w:t>
            </w:r>
          </w:p>
        </w:tc>
        <w:tc>
          <w:tcPr>
            <w:tcW w:w="4114" w:type="dxa"/>
            <w:vAlign w:val="center"/>
          </w:tcPr>
          <w:p w14:paraId="11FBE585">
            <w:pPr>
              <w:widowControl/>
              <w:jc w:val="center"/>
              <w:rPr>
                <w:rFonts w:ascii="Times New Roman" w:hAnsi="Times New Roman"/>
                <w:color w:val="000000"/>
                <w:kern w:val="0"/>
                <w:sz w:val="24"/>
              </w:rPr>
            </w:pPr>
            <w:r>
              <w:rPr>
                <w:rFonts w:hint="eastAsia" w:ascii="Times New Roman" w:hAnsi="Times New Roman"/>
                <w:color w:val="000000"/>
                <w:kern w:val="0"/>
                <w:sz w:val="24"/>
              </w:rPr>
              <w:t>8</w:t>
            </w:r>
            <w:r>
              <w:rPr>
                <w:rFonts w:ascii="Times New Roman" w:hAnsi="Times New Roman"/>
                <w:color w:val="000000"/>
                <w:kern w:val="0"/>
                <w:sz w:val="24"/>
              </w:rPr>
              <w:t>0%-100%</w:t>
            </w:r>
          </w:p>
        </w:tc>
        <w:tc>
          <w:tcPr>
            <w:tcW w:w="1070" w:type="dxa"/>
            <w:vAlign w:val="center"/>
          </w:tcPr>
          <w:p w14:paraId="71ED59D3">
            <w:pPr>
              <w:widowControl/>
              <w:jc w:val="center"/>
              <w:rPr>
                <w:rFonts w:ascii="Times New Roman" w:hAnsi="Times New Roman"/>
                <w:color w:val="000000"/>
                <w:kern w:val="0"/>
                <w:sz w:val="24"/>
              </w:rPr>
            </w:pPr>
            <w:r>
              <w:rPr>
                <w:rFonts w:hint="eastAsia" w:ascii="Times New Roman" w:hAnsi="Times New Roman"/>
                <w:color w:val="000000"/>
                <w:kern w:val="0"/>
                <w:sz w:val="24"/>
              </w:rPr>
              <w:t>8</w:t>
            </w:r>
          </w:p>
        </w:tc>
      </w:tr>
      <w:tr w14:paraId="10B6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5609FDCE">
            <w:pPr>
              <w:widowControl/>
              <w:jc w:val="center"/>
            </w:pPr>
          </w:p>
        </w:tc>
        <w:tc>
          <w:tcPr>
            <w:tcW w:w="4114" w:type="dxa"/>
            <w:vAlign w:val="center"/>
          </w:tcPr>
          <w:p w14:paraId="3B1DEBF4">
            <w:pPr>
              <w:widowControl/>
              <w:jc w:val="center"/>
              <w:rPr>
                <w:rFonts w:ascii="Times New Roman" w:hAnsi="Times New Roman"/>
                <w:color w:val="000000"/>
                <w:kern w:val="0"/>
                <w:sz w:val="24"/>
              </w:rPr>
            </w:pPr>
            <w:r>
              <w:rPr>
                <w:rFonts w:hint="eastAsia" w:ascii="Times New Roman" w:hAnsi="Times New Roman"/>
                <w:color w:val="000000"/>
                <w:kern w:val="0"/>
                <w:sz w:val="24"/>
              </w:rPr>
              <w:t>6</w:t>
            </w:r>
            <w:r>
              <w:rPr>
                <w:rFonts w:ascii="Times New Roman" w:hAnsi="Times New Roman"/>
                <w:color w:val="000000"/>
                <w:kern w:val="0"/>
                <w:sz w:val="24"/>
              </w:rPr>
              <w:t>0%-80%</w:t>
            </w:r>
          </w:p>
        </w:tc>
        <w:tc>
          <w:tcPr>
            <w:tcW w:w="1070" w:type="dxa"/>
            <w:vAlign w:val="center"/>
          </w:tcPr>
          <w:p w14:paraId="71608AC6">
            <w:pPr>
              <w:widowControl/>
              <w:jc w:val="center"/>
              <w:rPr>
                <w:rFonts w:ascii="Times New Roman" w:hAnsi="Times New Roman"/>
                <w:color w:val="000000"/>
                <w:kern w:val="0"/>
                <w:sz w:val="24"/>
              </w:rPr>
            </w:pPr>
            <w:r>
              <w:rPr>
                <w:rFonts w:hint="eastAsia" w:ascii="Times New Roman" w:hAnsi="Times New Roman"/>
                <w:color w:val="000000"/>
                <w:kern w:val="0"/>
                <w:sz w:val="24"/>
              </w:rPr>
              <w:t>6</w:t>
            </w:r>
          </w:p>
        </w:tc>
      </w:tr>
      <w:tr w14:paraId="27C2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36783D57">
            <w:pPr>
              <w:widowControl/>
              <w:jc w:val="center"/>
            </w:pPr>
          </w:p>
        </w:tc>
        <w:tc>
          <w:tcPr>
            <w:tcW w:w="4114" w:type="dxa"/>
            <w:vAlign w:val="center"/>
          </w:tcPr>
          <w:p w14:paraId="5B44D676">
            <w:pPr>
              <w:widowControl/>
              <w:jc w:val="center"/>
              <w:rPr>
                <w:rFonts w:ascii="Times New Roman" w:hAnsi="Times New Roman"/>
                <w:color w:val="000000"/>
                <w:kern w:val="0"/>
                <w:sz w:val="24"/>
              </w:rPr>
            </w:pPr>
            <w:r>
              <w:rPr>
                <w:rFonts w:hint="eastAsia" w:ascii="Times New Roman" w:hAnsi="Times New Roman"/>
                <w:color w:val="000000"/>
                <w:kern w:val="0"/>
                <w:sz w:val="24"/>
              </w:rPr>
              <w:t>4</w:t>
            </w:r>
            <w:r>
              <w:rPr>
                <w:rFonts w:ascii="Times New Roman" w:hAnsi="Times New Roman"/>
                <w:color w:val="000000"/>
                <w:kern w:val="0"/>
                <w:sz w:val="24"/>
              </w:rPr>
              <w:t>0%-60%</w:t>
            </w:r>
          </w:p>
        </w:tc>
        <w:tc>
          <w:tcPr>
            <w:tcW w:w="1070" w:type="dxa"/>
            <w:vAlign w:val="center"/>
          </w:tcPr>
          <w:p w14:paraId="57B6B889">
            <w:pPr>
              <w:widowControl/>
              <w:jc w:val="center"/>
              <w:rPr>
                <w:rFonts w:ascii="Times New Roman" w:hAnsi="Times New Roman"/>
                <w:color w:val="000000"/>
                <w:kern w:val="0"/>
                <w:sz w:val="24"/>
              </w:rPr>
            </w:pPr>
            <w:r>
              <w:rPr>
                <w:rFonts w:hint="eastAsia" w:ascii="Times New Roman" w:hAnsi="Times New Roman"/>
                <w:color w:val="000000"/>
                <w:kern w:val="0"/>
                <w:sz w:val="24"/>
              </w:rPr>
              <w:t>4</w:t>
            </w:r>
          </w:p>
        </w:tc>
      </w:tr>
      <w:tr w14:paraId="68CC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44E434AB">
            <w:pPr>
              <w:widowControl/>
              <w:jc w:val="center"/>
            </w:pPr>
          </w:p>
        </w:tc>
        <w:tc>
          <w:tcPr>
            <w:tcW w:w="4114" w:type="dxa"/>
            <w:vAlign w:val="center"/>
          </w:tcPr>
          <w:p w14:paraId="1B1363EC">
            <w:pPr>
              <w:widowControl/>
              <w:jc w:val="center"/>
              <w:rPr>
                <w:rFonts w:ascii="Times New Roman" w:hAnsi="Times New Roman"/>
                <w:color w:val="000000"/>
                <w:kern w:val="0"/>
                <w:sz w:val="24"/>
              </w:rPr>
            </w:pPr>
            <w:r>
              <w:rPr>
                <w:rFonts w:hint="eastAsia" w:ascii="Times New Roman" w:hAnsi="Times New Roman"/>
                <w:color w:val="000000"/>
                <w:kern w:val="0"/>
                <w:sz w:val="24"/>
              </w:rPr>
              <w:t>2</w:t>
            </w:r>
            <w:r>
              <w:rPr>
                <w:rFonts w:ascii="Times New Roman" w:hAnsi="Times New Roman"/>
                <w:color w:val="000000"/>
                <w:kern w:val="0"/>
                <w:sz w:val="24"/>
              </w:rPr>
              <w:t>0%-40%</w:t>
            </w:r>
          </w:p>
        </w:tc>
        <w:tc>
          <w:tcPr>
            <w:tcW w:w="1070" w:type="dxa"/>
            <w:vAlign w:val="center"/>
          </w:tcPr>
          <w:p w14:paraId="357ADAF4">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3010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30E94FAA">
            <w:pPr>
              <w:widowControl/>
              <w:jc w:val="center"/>
            </w:pPr>
          </w:p>
        </w:tc>
        <w:tc>
          <w:tcPr>
            <w:tcW w:w="4114" w:type="dxa"/>
            <w:vAlign w:val="center"/>
          </w:tcPr>
          <w:p w14:paraId="4E1A7742">
            <w:pPr>
              <w:widowControl/>
              <w:jc w:val="center"/>
              <w:rPr>
                <w:rFonts w:ascii="Times New Roman" w:hAnsi="Times New Roman"/>
                <w:color w:val="000000"/>
                <w:kern w:val="0"/>
                <w:sz w:val="24"/>
              </w:rPr>
            </w:pPr>
            <w:r>
              <w:rPr>
                <w:rFonts w:hint="eastAsia" w:ascii="Times New Roman" w:hAnsi="Times New Roman"/>
                <w:color w:val="000000"/>
                <w:kern w:val="0"/>
                <w:sz w:val="24"/>
              </w:rPr>
              <w:t>0</w:t>
            </w:r>
            <w:r>
              <w:rPr>
                <w:rFonts w:ascii="Times New Roman" w:hAnsi="Times New Roman"/>
                <w:color w:val="000000"/>
                <w:kern w:val="0"/>
                <w:sz w:val="24"/>
              </w:rPr>
              <w:t>%-20%</w:t>
            </w:r>
          </w:p>
        </w:tc>
        <w:tc>
          <w:tcPr>
            <w:tcW w:w="1070" w:type="dxa"/>
            <w:vAlign w:val="center"/>
          </w:tcPr>
          <w:p w14:paraId="54BDDDFE">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49A6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3115" w:type="dxa"/>
            <w:vAlign w:val="center"/>
          </w:tcPr>
          <w:p w14:paraId="6406D64F">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I</w:t>
            </w:r>
            <w:r>
              <w:rPr>
                <w:rFonts w:ascii="Times New Roman" w:hAnsi="Times New Roman"/>
                <w:color w:val="000000"/>
                <w:kern w:val="0"/>
                <w:sz w:val="24"/>
              </w:rPr>
              <w:t>I. Structural</w:t>
            </w:r>
            <w:r>
              <w:rPr>
                <w:rFonts w:hint="eastAsia" w:ascii="Times New Roman" w:hAnsi="Times New Roman"/>
                <w:color w:val="000000"/>
                <w:kern w:val="0"/>
                <w:sz w:val="24"/>
              </w:rPr>
              <w:t xml:space="preserve"> </w:t>
            </w:r>
            <w:r>
              <w:rPr>
                <w:rFonts w:ascii="Times New Roman" w:hAnsi="Times New Roman"/>
                <w:color w:val="000000"/>
                <w:kern w:val="0"/>
                <w:sz w:val="24"/>
              </w:rPr>
              <w:t>characteristics</w:t>
            </w:r>
          </w:p>
        </w:tc>
        <w:tc>
          <w:tcPr>
            <w:tcW w:w="5184" w:type="dxa"/>
            <w:gridSpan w:val="2"/>
            <w:vAlign w:val="center"/>
          </w:tcPr>
          <w:p w14:paraId="1F2F5286">
            <w:pPr>
              <w:widowControl/>
              <w:jc w:val="center"/>
              <w:rPr>
                <w:rFonts w:ascii="Times New Roman" w:hAnsi="Times New Roman"/>
                <w:color w:val="000000"/>
                <w:kern w:val="0"/>
                <w:sz w:val="24"/>
              </w:rPr>
            </w:pPr>
          </w:p>
        </w:tc>
      </w:tr>
      <w:tr w14:paraId="1F8B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23E472A0">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A. Surface irregularity</w:t>
            </w:r>
          </w:p>
        </w:tc>
        <w:tc>
          <w:tcPr>
            <w:tcW w:w="4114" w:type="dxa"/>
            <w:vAlign w:val="center"/>
          </w:tcPr>
          <w:p w14:paraId="215AD70E">
            <w:pPr>
              <w:widowControl/>
              <w:jc w:val="center"/>
              <w:rPr>
                <w:rFonts w:ascii="Times New Roman" w:hAnsi="Times New Roman"/>
                <w:color w:val="000000"/>
                <w:kern w:val="0"/>
                <w:sz w:val="24"/>
              </w:rPr>
            </w:pPr>
            <w:r>
              <w:rPr>
                <w:rFonts w:hint="eastAsia" w:ascii="Times New Roman" w:hAnsi="Times New Roman"/>
                <w:color w:val="000000"/>
                <w:kern w:val="0"/>
                <w:sz w:val="24"/>
              </w:rPr>
              <w:t>S</w:t>
            </w:r>
            <w:r>
              <w:rPr>
                <w:rFonts w:ascii="Times New Roman" w:hAnsi="Times New Roman"/>
                <w:color w:val="000000"/>
                <w:kern w:val="0"/>
                <w:sz w:val="24"/>
              </w:rPr>
              <w:t>mooth and intact</w:t>
            </w:r>
          </w:p>
        </w:tc>
        <w:tc>
          <w:tcPr>
            <w:tcW w:w="1070" w:type="dxa"/>
            <w:vAlign w:val="center"/>
          </w:tcPr>
          <w:p w14:paraId="06C2AFF4">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2D8C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529D6D08">
            <w:pPr>
              <w:adjustRightInd w:val="0"/>
              <w:spacing w:line="400" w:lineRule="exact"/>
              <w:jc w:val="center"/>
              <w:rPr>
                <w:rFonts w:ascii="Times New Roman" w:hAnsi="Times New Roman"/>
                <w:color w:val="000000"/>
                <w:kern w:val="0"/>
                <w:sz w:val="24"/>
              </w:rPr>
            </w:pPr>
          </w:p>
        </w:tc>
        <w:tc>
          <w:tcPr>
            <w:tcW w:w="4114" w:type="dxa"/>
            <w:vAlign w:val="center"/>
          </w:tcPr>
          <w:p w14:paraId="27F6AD39">
            <w:pPr>
              <w:widowControl/>
              <w:jc w:val="center"/>
              <w:rPr>
                <w:rFonts w:ascii="Times New Roman" w:hAnsi="Times New Roman"/>
                <w:color w:val="000000"/>
                <w:kern w:val="0"/>
                <w:sz w:val="24"/>
              </w:rPr>
            </w:pPr>
            <w:r>
              <w:rPr>
                <w:rFonts w:ascii="Times New Roman" w:hAnsi="Times New Roman"/>
                <w:color w:val="000000"/>
                <w:kern w:val="0"/>
                <w:sz w:val="24"/>
              </w:rPr>
              <w:t>Fissures</w:t>
            </w:r>
          </w:p>
        </w:tc>
        <w:tc>
          <w:tcPr>
            <w:tcW w:w="1070" w:type="dxa"/>
            <w:vAlign w:val="center"/>
          </w:tcPr>
          <w:p w14:paraId="38C69D9F">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0586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77D6D8C2">
            <w:pPr>
              <w:adjustRightInd w:val="0"/>
              <w:spacing w:line="400" w:lineRule="exact"/>
              <w:jc w:val="center"/>
              <w:rPr>
                <w:rFonts w:ascii="Times New Roman" w:hAnsi="Times New Roman"/>
                <w:color w:val="000000"/>
                <w:kern w:val="0"/>
                <w:sz w:val="24"/>
              </w:rPr>
            </w:pPr>
          </w:p>
        </w:tc>
        <w:tc>
          <w:tcPr>
            <w:tcW w:w="4114" w:type="dxa"/>
            <w:vAlign w:val="center"/>
          </w:tcPr>
          <w:p w14:paraId="1AB8F77A">
            <w:pPr>
              <w:widowControl/>
              <w:jc w:val="center"/>
              <w:rPr>
                <w:rFonts w:ascii="Times New Roman" w:hAnsi="Times New Roman"/>
                <w:color w:val="000000"/>
                <w:kern w:val="0"/>
                <w:sz w:val="24"/>
              </w:rPr>
            </w:pPr>
            <w:r>
              <w:rPr>
                <w:rFonts w:hint="eastAsia" w:ascii="Times New Roman" w:hAnsi="Times New Roman"/>
                <w:color w:val="000000"/>
                <w:kern w:val="0"/>
                <w:sz w:val="24"/>
              </w:rPr>
              <w:t>S</w:t>
            </w:r>
            <w:r>
              <w:rPr>
                <w:rFonts w:ascii="Times New Roman" w:hAnsi="Times New Roman"/>
                <w:color w:val="000000"/>
                <w:kern w:val="0"/>
                <w:sz w:val="24"/>
              </w:rPr>
              <w:t>evere disruption, fibrillation</w:t>
            </w:r>
          </w:p>
        </w:tc>
        <w:tc>
          <w:tcPr>
            <w:tcW w:w="1070" w:type="dxa"/>
            <w:vAlign w:val="center"/>
          </w:tcPr>
          <w:p w14:paraId="559BE051">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56D8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2D9718F0">
            <w:pPr>
              <w:adjustRightInd w:val="0"/>
              <w:spacing w:line="400" w:lineRule="exact"/>
              <w:jc w:val="center"/>
              <w:rPr>
                <w:rFonts w:ascii="Times New Roman" w:hAnsi="Times New Roman"/>
                <w:color w:val="000000"/>
                <w:kern w:val="0"/>
                <w:sz w:val="24"/>
              </w:rPr>
            </w:pPr>
            <w:r>
              <w:rPr>
                <w:rFonts w:ascii="Times New Roman" w:hAnsi="Times New Roman"/>
                <w:color w:val="000000"/>
                <w:kern w:val="0"/>
                <w:sz w:val="24"/>
              </w:rPr>
              <w:t>B. Structural integrity</w:t>
            </w:r>
          </w:p>
        </w:tc>
        <w:tc>
          <w:tcPr>
            <w:tcW w:w="4114" w:type="dxa"/>
            <w:vAlign w:val="center"/>
          </w:tcPr>
          <w:p w14:paraId="7A0BECED">
            <w:pPr>
              <w:widowControl/>
              <w:jc w:val="center"/>
              <w:rPr>
                <w:rFonts w:ascii="Times New Roman" w:hAnsi="Times New Roman"/>
                <w:color w:val="000000"/>
                <w:kern w:val="0"/>
                <w:sz w:val="24"/>
              </w:rPr>
            </w:pPr>
            <w:r>
              <w:rPr>
                <w:rFonts w:hint="eastAsia" w:ascii="Times New Roman" w:hAnsi="Times New Roman"/>
                <w:color w:val="000000"/>
                <w:kern w:val="0"/>
                <w:sz w:val="24"/>
              </w:rPr>
              <w:t>N</w:t>
            </w:r>
            <w:r>
              <w:rPr>
                <w:rFonts w:ascii="Times New Roman" w:hAnsi="Times New Roman"/>
                <w:color w:val="000000"/>
                <w:kern w:val="0"/>
                <w:sz w:val="24"/>
              </w:rPr>
              <w:t>ormal</w:t>
            </w:r>
          </w:p>
        </w:tc>
        <w:tc>
          <w:tcPr>
            <w:tcW w:w="1070" w:type="dxa"/>
            <w:vAlign w:val="center"/>
          </w:tcPr>
          <w:p w14:paraId="7E0A6A11">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220E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79028FF1">
            <w:pPr>
              <w:adjustRightInd w:val="0"/>
              <w:spacing w:line="400" w:lineRule="exact"/>
              <w:jc w:val="center"/>
              <w:rPr>
                <w:rFonts w:ascii="Times New Roman" w:hAnsi="Times New Roman"/>
                <w:color w:val="000000"/>
                <w:kern w:val="0"/>
                <w:sz w:val="24"/>
              </w:rPr>
            </w:pPr>
          </w:p>
        </w:tc>
        <w:tc>
          <w:tcPr>
            <w:tcW w:w="4114" w:type="dxa"/>
            <w:vAlign w:val="center"/>
          </w:tcPr>
          <w:p w14:paraId="28C036D0">
            <w:pPr>
              <w:widowControl/>
              <w:jc w:val="center"/>
              <w:rPr>
                <w:rFonts w:ascii="Times New Roman" w:hAnsi="Times New Roman"/>
                <w:color w:val="000000"/>
                <w:kern w:val="0"/>
                <w:sz w:val="24"/>
              </w:rPr>
            </w:pPr>
            <w:r>
              <w:rPr>
                <w:rFonts w:hint="eastAsia" w:ascii="Times New Roman" w:hAnsi="Times New Roman"/>
                <w:color w:val="000000"/>
                <w:kern w:val="0"/>
                <w:sz w:val="24"/>
              </w:rPr>
              <w:t>S</w:t>
            </w:r>
            <w:r>
              <w:rPr>
                <w:rFonts w:ascii="Times New Roman" w:hAnsi="Times New Roman"/>
                <w:color w:val="000000"/>
                <w:kern w:val="0"/>
                <w:sz w:val="24"/>
              </w:rPr>
              <w:t>light disruption, including cysts</w:t>
            </w:r>
          </w:p>
        </w:tc>
        <w:tc>
          <w:tcPr>
            <w:tcW w:w="1070" w:type="dxa"/>
            <w:vAlign w:val="center"/>
          </w:tcPr>
          <w:p w14:paraId="4ED3EFC5">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5037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10AD4351">
            <w:pPr>
              <w:adjustRightInd w:val="0"/>
              <w:spacing w:line="400" w:lineRule="exact"/>
              <w:jc w:val="center"/>
              <w:rPr>
                <w:rFonts w:ascii="Times New Roman" w:hAnsi="Times New Roman"/>
                <w:color w:val="000000"/>
                <w:kern w:val="0"/>
                <w:sz w:val="24"/>
              </w:rPr>
            </w:pPr>
          </w:p>
        </w:tc>
        <w:tc>
          <w:tcPr>
            <w:tcW w:w="4114" w:type="dxa"/>
            <w:vAlign w:val="center"/>
          </w:tcPr>
          <w:p w14:paraId="55C959D4">
            <w:pPr>
              <w:widowControl/>
              <w:jc w:val="center"/>
              <w:rPr>
                <w:rFonts w:ascii="Times New Roman" w:hAnsi="Times New Roman"/>
                <w:color w:val="000000"/>
                <w:kern w:val="0"/>
                <w:sz w:val="24"/>
              </w:rPr>
            </w:pPr>
            <w:r>
              <w:rPr>
                <w:rFonts w:hint="eastAsia" w:ascii="Times New Roman" w:hAnsi="Times New Roman"/>
                <w:color w:val="000000"/>
                <w:kern w:val="0"/>
                <w:sz w:val="24"/>
              </w:rPr>
              <w:t>S</w:t>
            </w:r>
            <w:r>
              <w:rPr>
                <w:rFonts w:ascii="Times New Roman" w:hAnsi="Times New Roman"/>
                <w:color w:val="000000"/>
                <w:kern w:val="0"/>
                <w:sz w:val="24"/>
              </w:rPr>
              <w:t>evere lack of integration</w:t>
            </w:r>
          </w:p>
        </w:tc>
        <w:tc>
          <w:tcPr>
            <w:tcW w:w="1070" w:type="dxa"/>
            <w:vAlign w:val="center"/>
          </w:tcPr>
          <w:p w14:paraId="552E1363">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7FA6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2442FD9A">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C</w:t>
            </w:r>
            <w:r>
              <w:rPr>
                <w:rFonts w:ascii="Times New Roman" w:hAnsi="Times New Roman"/>
                <w:color w:val="000000"/>
                <w:kern w:val="0"/>
                <w:sz w:val="24"/>
              </w:rPr>
              <w:t>. Thickness</w:t>
            </w:r>
          </w:p>
        </w:tc>
        <w:tc>
          <w:tcPr>
            <w:tcW w:w="4114" w:type="dxa"/>
            <w:vAlign w:val="center"/>
          </w:tcPr>
          <w:p w14:paraId="6A3F4A81">
            <w:pPr>
              <w:widowControl/>
              <w:jc w:val="center"/>
              <w:rPr>
                <w:rFonts w:ascii="Times New Roman" w:hAnsi="Times New Roman"/>
                <w:color w:val="000000"/>
                <w:kern w:val="0"/>
                <w:sz w:val="24"/>
              </w:rPr>
            </w:pPr>
            <w:r>
              <w:rPr>
                <w:rFonts w:hint="eastAsia" w:ascii="Times New Roman" w:hAnsi="Times New Roman"/>
                <w:color w:val="000000"/>
                <w:kern w:val="0"/>
                <w:sz w:val="24"/>
              </w:rPr>
              <w:t>1</w:t>
            </w:r>
            <w:r>
              <w:rPr>
                <w:rFonts w:ascii="Times New Roman" w:hAnsi="Times New Roman"/>
                <w:color w:val="000000"/>
                <w:kern w:val="0"/>
                <w:sz w:val="24"/>
              </w:rPr>
              <w:t>00% of normal adjacent cartilage</w:t>
            </w:r>
          </w:p>
        </w:tc>
        <w:tc>
          <w:tcPr>
            <w:tcW w:w="1070" w:type="dxa"/>
            <w:vAlign w:val="center"/>
          </w:tcPr>
          <w:p w14:paraId="4F453B11">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7C4E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3DA0D836">
            <w:pPr>
              <w:adjustRightInd w:val="0"/>
              <w:spacing w:line="400" w:lineRule="exact"/>
              <w:jc w:val="center"/>
              <w:rPr>
                <w:rFonts w:ascii="Times New Roman" w:hAnsi="Times New Roman"/>
                <w:color w:val="000000"/>
                <w:kern w:val="0"/>
                <w:sz w:val="24"/>
              </w:rPr>
            </w:pPr>
          </w:p>
        </w:tc>
        <w:tc>
          <w:tcPr>
            <w:tcW w:w="4114" w:type="dxa"/>
            <w:vAlign w:val="center"/>
          </w:tcPr>
          <w:p w14:paraId="2A6138FE">
            <w:pPr>
              <w:widowControl/>
              <w:jc w:val="center"/>
              <w:rPr>
                <w:rFonts w:ascii="Times New Roman" w:hAnsi="Times New Roman"/>
                <w:color w:val="000000"/>
                <w:kern w:val="0"/>
                <w:sz w:val="24"/>
              </w:rPr>
            </w:pPr>
            <w:r>
              <w:rPr>
                <w:rFonts w:ascii="Times New Roman" w:hAnsi="Times New Roman"/>
                <w:color w:val="000000"/>
                <w:kern w:val="0"/>
                <w:sz w:val="24"/>
              </w:rPr>
              <w:t>50%-100% or thicker than</w:t>
            </w:r>
            <w:r>
              <w:rPr>
                <w:rFonts w:hint="eastAsia" w:ascii="Times New Roman" w:hAnsi="Times New Roman"/>
                <w:color w:val="000000"/>
                <w:kern w:val="0"/>
                <w:sz w:val="24"/>
              </w:rPr>
              <w:t xml:space="preserve"> </w:t>
            </w:r>
            <w:r>
              <w:rPr>
                <w:rFonts w:ascii="Times New Roman" w:hAnsi="Times New Roman"/>
                <w:color w:val="000000"/>
                <w:kern w:val="0"/>
                <w:sz w:val="24"/>
              </w:rPr>
              <w:t>normal</w:t>
            </w:r>
          </w:p>
        </w:tc>
        <w:tc>
          <w:tcPr>
            <w:tcW w:w="1070" w:type="dxa"/>
            <w:vAlign w:val="center"/>
          </w:tcPr>
          <w:p w14:paraId="382AAABB">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2975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28EB01D2">
            <w:pPr>
              <w:adjustRightInd w:val="0"/>
              <w:spacing w:line="400" w:lineRule="exact"/>
              <w:jc w:val="center"/>
              <w:rPr>
                <w:rFonts w:ascii="Times New Roman" w:hAnsi="Times New Roman"/>
                <w:color w:val="000000"/>
                <w:kern w:val="0"/>
                <w:sz w:val="24"/>
              </w:rPr>
            </w:pPr>
          </w:p>
        </w:tc>
        <w:tc>
          <w:tcPr>
            <w:tcW w:w="4114" w:type="dxa"/>
            <w:vAlign w:val="center"/>
          </w:tcPr>
          <w:p w14:paraId="1BD75594">
            <w:pPr>
              <w:widowControl/>
              <w:jc w:val="center"/>
              <w:rPr>
                <w:rFonts w:ascii="Times New Roman" w:hAnsi="Times New Roman"/>
                <w:color w:val="000000"/>
                <w:kern w:val="0"/>
                <w:sz w:val="24"/>
              </w:rPr>
            </w:pPr>
            <w:r>
              <w:rPr>
                <w:rFonts w:hint="eastAsia" w:ascii="Times New Roman" w:hAnsi="Times New Roman"/>
                <w:color w:val="000000"/>
                <w:kern w:val="0"/>
                <w:sz w:val="24"/>
              </w:rPr>
              <w:t>0</w:t>
            </w:r>
            <w:r>
              <w:rPr>
                <w:rFonts w:ascii="Times New Roman" w:hAnsi="Times New Roman"/>
                <w:color w:val="000000"/>
                <w:kern w:val="0"/>
                <w:sz w:val="24"/>
              </w:rPr>
              <w:t>%-50%</w:t>
            </w:r>
          </w:p>
        </w:tc>
        <w:tc>
          <w:tcPr>
            <w:tcW w:w="1070" w:type="dxa"/>
            <w:vAlign w:val="center"/>
          </w:tcPr>
          <w:p w14:paraId="190FE904">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0980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322C4A1F">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D</w:t>
            </w:r>
            <w:r>
              <w:rPr>
                <w:rFonts w:ascii="Times New Roman" w:hAnsi="Times New Roman"/>
                <w:color w:val="000000"/>
                <w:kern w:val="0"/>
                <w:sz w:val="24"/>
              </w:rPr>
              <w:t>. Bonding to adjacent cartilage</w:t>
            </w:r>
          </w:p>
        </w:tc>
        <w:tc>
          <w:tcPr>
            <w:tcW w:w="4114" w:type="dxa"/>
            <w:vAlign w:val="center"/>
          </w:tcPr>
          <w:p w14:paraId="7221A2AC">
            <w:pPr>
              <w:widowControl/>
              <w:jc w:val="center"/>
              <w:rPr>
                <w:rFonts w:ascii="Times New Roman" w:hAnsi="Times New Roman"/>
                <w:color w:val="000000"/>
                <w:kern w:val="0"/>
                <w:sz w:val="24"/>
              </w:rPr>
            </w:pPr>
            <w:r>
              <w:rPr>
                <w:rFonts w:ascii="Times New Roman" w:hAnsi="Times New Roman"/>
                <w:color w:val="000000"/>
                <w:kern w:val="0"/>
                <w:sz w:val="24"/>
              </w:rPr>
              <w:t>Bonded at both ends of graft</w:t>
            </w:r>
          </w:p>
        </w:tc>
        <w:tc>
          <w:tcPr>
            <w:tcW w:w="1070" w:type="dxa"/>
            <w:vAlign w:val="center"/>
          </w:tcPr>
          <w:p w14:paraId="79177731">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544A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7F3FD0AA">
            <w:pPr>
              <w:adjustRightInd w:val="0"/>
              <w:spacing w:line="400" w:lineRule="exact"/>
              <w:jc w:val="center"/>
              <w:rPr>
                <w:rFonts w:ascii="Times New Roman" w:hAnsi="Times New Roman"/>
                <w:color w:val="000000"/>
                <w:kern w:val="0"/>
                <w:sz w:val="24"/>
              </w:rPr>
            </w:pPr>
          </w:p>
        </w:tc>
        <w:tc>
          <w:tcPr>
            <w:tcW w:w="4114" w:type="dxa"/>
            <w:vAlign w:val="center"/>
          </w:tcPr>
          <w:p w14:paraId="64D8342A">
            <w:pPr>
              <w:widowControl/>
              <w:jc w:val="center"/>
              <w:rPr>
                <w:rFonts w:ascii="Times New Roman" w:hAnsi="Times New Roman"/>
                <w:color w:val="000000"/>
                <w:kern w:val="0"/>
                <w:sz w:val="24"/>
              </w:rPr>
            </w:pPr>
            <w:r>
              <w:rPr>
                <w:rFonts w:hint="eastAsia" w:ascii="Times New Roman" w:hAnsi="Times New Roman"/>
                <w:color w:val="000000"/>
                <w:kern w:val="0"/>
                <w:sz w:val="24"/>
              </w:rPr>
              <w:t>B</w:t>
            </w:r>
            <w:r>
              <w:rPr>
                <w:rFonts w:ascii="Times New Roman" w:hAnsi="Times New Roman"/>
                <w:color w:val="000000"/>
                <w:kern w:val="0"/>
                <w:sz w:val="24"/>
              </w:rPr>
              <w:t>onded at one end/partially both ends</w:t>
            </w:r>
          </w:p>
        </w:tc>
        <w:tc>
          <w:tcPr>
            <w:tcW w:w="1070" w:type="dxa"/>
            <w:vAlign w:val="center"/>
          </w:tcPr>
          <w:p w14:paraId="6B53AAE2">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0826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53B73C6A">
            <w:pPr>
              <w:adjustRightInd w:val="0"/>
              <w:spacing w:line="400" w:lineRule="exact"/>
              <w:jc w:val="center"/>
              <w:rPr>
                <w:rFonts w:ascii="Times New Roman" w:hAnsi="Times New Roman"/>
                <w:color w:val="000000"/>
                <w:kern w:val="0"/>
                <w:sz w:val="24"/>
              </w:rPr>
            </w:pPr>
          </w:p>
        </w:tc>
        <w:tc>
          <w:tcPr>
            <w:tcW w:w="4114" w:type="dxa"/>
            <w:vAlign w:val="center"/>
          </w:tcPr>
          <w:p w14:paraId="22081710">
            <w:pPr>
              <w:widowControl/>
              <w:jc w:val="center"/>
              <w:rPr>
                <w:rFonts w:ascii="Times New Roman" w:hAnsi="Times New Roman"/>
                <w:color w:val="000000"/>
                <w:kern w:val="0"/>
                <w:sz w:val="24"/>
              </w:rPr>
            </w:pPr>
            <w:r>
              <w:rPr>
                <w:rFonts w:hint="eastAsia" w:ascii="Times New Roman" w:hAnsi="Times New Roman"/>
                <w:color w:val="000000"/>
                <w:kern w:val="0"/>
                <w:sz w:val="24"/>
              </w:rPr>
              <w:t>N</w:t>
            </w:r>
            <w:r>
              <w:rPr>
                <w:rFonts w:ascii="Times New Roman" w:hAnsi="Times New Roman"/>
                <w:color w:val="000000"/>
                <w:kern w:val="0"/>
                <w:sz w:val="24"/>
              </w:rPr>
              <w:t>ot bonded</w:t>
            </w:r>
          </w:p>
        </w:tc>
        <w:tc>
          <w:tcPr>
            <w:tcW w:w="1070" w:type="dxa"/>
            <w:vAlign w:val="center"/>
          </w:tcPr>
          <w:p w14:paraId="4D1FD7B3">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4E9C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576A7EC1">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I</w:t>
            </w:r>
            <w:r>
              <w:rPr>
                <w:rFonts w:ascii="Times New Roman" w:hAnsi="Times New Roman"/>
                <w:color w:val="000000"/>
                <w:kern w:val="0"/>
                <w:sz w:val="24"/>
              </w:rPr>
              <w:t>II. Freedom from cellular changes of degeneration</w:t>
            </w:r>
          </w:p>
        </w:tc>
        <w:tc>
          <w:tcPr>
            <w:tcW w:w="4114" w:type="dxa"/>
            <w:vAlign w:val="center"/>
          </w:tcPr>
          <w:p w14:paraId="3124C715">
            <w:pPr>
              <w:widowControl/>
              <w:jc w:val="center"/>
              <w:rPr>
                <w:rFonts w:ascii="Times New Roman" w:hAnsi="Times New Roman"/>
                <w:color w:val="000000"/>
                <w:kern w:val="0"/>
                <w:sz w:val="24"/>
              </w:rPr>
            </w:pPr>
            <w:r>
              <w:rPr>
                <w:rFonts w:ascii="Times New Roman" w:hAnsi="Times New Roman"/>
                <w:color w:val="000000"/>
                <w:kern w:val="0"/>
                <w:sz w:val="24"/>
              </w:rPr>
              <w:t>Normal cellularity, no cluster</w:t>
            </w:r>
          </w:p>
        </w:tc>
        <w:tc>
          <w:tcPr>
            <w:tcW w:w="1070" w:type="dxa"/>
            <w:vAlign w:val="center"/>
          </w:tcPr>
          <w:p w14:paraId="1C9301EB">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54D9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3115" w:type="dxa"/>
            <w:vMerge w:val="continue"/>
            <w:vAlign w:val="center"/>
          </w:tcPr>
          <w:p w14:paraId="61FE1B23">
            <w:pPr>
              <w:adjustRightInd w:val="0"/>
              <w:spacing w:line="400" w:lineRule="exact"/>
              <w:jc w:val="center"/>
              <w:rPr>
                <w:rFonts w:ascii="Times New Roman" w:hAnsi="Times New Roman"/>
                <w:color w:val="000000"/>
                <w:kern w:val="0"/>
                <w:sz w:val="24"/>
              </w:rPr>
            </w:pPr>
          </w:p>
        </w:tc>
        <w:tc>
          <w:tcPr>
            <w:tcW w:w="4114" w:type="dxa"/>
            <w:vAlign w:val="center"/>
          </w:tcPr>
          <w:p w14:paraId="2637E6F0">
            <w:pPr>
              <w:widowControl/>
              <w:jc w:val="center"/>
              <w:rPr>
                <w:rFonts w:ascii="Times New Roman" w:hAnsi="Times New Roman"/>
                <w:color w:val="000000"/>
                <w:kern w:val="0"/>
                <w:sz w:val="24"/>
              </w:rPr>
            </w:pPr>
            <w:r>
              <w:rPr>
                <w:rFonts w:hint="eastAsia" w:ascii="Times New Roman" w:hAnsi="Times New Roman"/>
                <w:color w:val="000000"/>
                <w:kern w:val="0"/>
                <w:sz w:val="24"/>
              </w:rPr>
              <w:t>S</w:t>
            </w:r>
            <w:r>
              <w:rPr>
                <w:rFonts w:ascii="Times New Roman" w:hAnsi="Times New Roman"/>
                <w:color w:val="000000"/>
                <w:kern w:val="0"/>
                <w:sz w:val="24"/>
              </w:rPr>
              <w:t>light hypocellularity, &lt;25% chondrocyte clusters</w:t>
            </w:r>
          </w:p>
        </w:tc>
        <w:tc>
          <w:tcPr>
            <w:tcW w:w="1070" w:type="dxa"/>
            <w:vAlign w:val="center"/>
          </w:tcPr>
          <w:p w14:paraId="4CDC637A">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5D2C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115" w:type="dxa"/>
            <w:vMerge w:val="continue"/>
            <w:vAlign w:val="center"/>
          </w:tcPr>
          <w:p w14:paraId="73BB8B29">
            <w:pPr>
              <w:adjustRightInd w:val="0"/>
              <w:spacing w:line="400" w:lineRule="exact"/>
              <w:jc w:val="center"/>
              <w:rPr>
                <w:rFonts w:ascii="Times New Roman" w:hAnsi="Times New Roman"/>
                <w:color w:val="000000"/>
                <w:kern w:val="0"/>
                <w:sz w:val="24"/>
              </w:rPr>
            </w:pPr>
          </w:p>
        </w:tc>
        <w:tc>
          <w:tcPr>
            <w:tcW w:w="4114" w:type="dxa"/>
            <w:vAlign w:val="center"/>
          </w:tcPr>
          <w:p w14:paraId="236F3D2E">
            <w:pPr>
              <w:widowControl/>
              <w:jc w:val="center"/>
              <w:rPr>
                <w:rFonts w:ascii="Times New Roman" w:hAnsi="Times New Roman"/>
                <w:color w:val="000000"/>
                <w:kern w:val="0"/>
                <w:sz w:val="24"/>
              </w:rPr>
            </w:pPr>
            <w:r>
              <w:rPr>
                <w:rFonts w:hint="eastAsia" w:ascii="Times New Roman" w:hAnsi="Times New Roman"/>
                <w:color w:val="000000"/>
                <w:kern w:val="0"/>
                <w:sz w:val="24"/>
              </w:rPr>
              <w:t>M</w:t>
            </w:r>
            <w:r>
              <w:rPr>
                <w:rFonts w:ascii="Times New Roman" w:hAnsi="Times New Roman"/>
                <w:color w:val="000000"/>
                <w:kern w:val="0"/>
                <w:sz w:val="24"/>
              </w:rPr>
              <w:t xml:space="preserve">oderate hypocellularity, </w:t>
            </w:r>
            <w:r>
              <w:rPr>
                <w:rFonts w:hint="eastAsia" w:ascii="Times New Roman" w:hAnsi="Times New Roman"/>
                <w:color w:val="000000"/>
                <w:kern w:val="0"/>
                <w:sz w:val="24"/>
              </w:rPr>
              <w:t>&gt;</w:t>
            </w:r>
            <w:r>
              <w:rPr>
                <w:rFonts w:ascii="Times New Roman" w:hAnsi="Times New Roman"/>
                <w:color w:val="000000"/>
                <w:kern w:val="0"/>
                <w:sz w:val="24"/>
              </w:rPr>
              <w:t>25% clusters</w:t>
            </w:r>
          </w:p>
        </w:tc>
        <w:tc>
          <w:tcPr>
            <w:tcW w:w="1070" w:type="dxa"/>
            <w:vAlign w:val="center"/>
          </w:tcPr>
          <w:p w14:paraId="376B8F94">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179F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3115" w:type="dxa"/>
            <w:vMerge w:val="restart"/>
            <w:vAlign w:val="center"/>
          </w:tcPr>
          <w:p w14:paraId="690082F4">
            <w:pPr>
              <w:adjustRightInd w:val="0"/>
              <w:spacing w:line="400" w:lineRule="exact"/>
              <w:ind w:firstLine="600"/>
              <w:jc w:val="center"/>
              <w:rPr>
                <w:rFonts w:ascii="Times New Roman" w:hAnsi="Times New Roman"/>
                <w:color w:val="000000"/>
                <w:kern w:val="0"/>
                <w:sz w:val="24"/>
              </w:rPr>
            </w:pPr>
            <w:r>
              <w:rPr>
                <w:rFonts w:hint="eastAsia" w:ascii="Times New Roman" w:hAnsi="Times New Roman"/>
                <w:color w:val="000000"/>
                <w:kern w:val="0"/>
                <w:sz w:val="24"/>
              </w:rPr>
              <w:t>I</w:t>
            </w:r>
            <w:r>
              <w:rPr>
                <w:rFonts w:ascii="Times New Roman" w:hAnsi="Times New Roman"/>
                <w:color w:val="000000"/>
                <w:kern w:val="0"/>
                <w:sz w:val="24"/>
              </w:rPr>
              <w:t>V. Freedom from degenerate changes in adjacent cartilage</w:t>
            </w:r>
          </w:p>
        </w:tc>
        <w:tc>
          <w:tcPr>
            <w:tcW w:w="4114" w:type="dxa"/>
            <w:vAlign w:val="center"/>
          </w:tcPr>
          <w:p w14:paraId="373EF011">
            <w:pPr>
              <w:widowControl/>
              <w:jc w:val="center"/>
              <w:rPr>
                <w:rFonts w:ascii="Times New Roman" w:hAnsi="Times New Roman"/>
                <w:color w:val="000000"/>
                <w:kern w:val="0"/>
                <w:sz w:val="24"/>
              </w:rPr>
            </w:pPr>
            <w:r>
              <w:rPr>
                <w:rFonts w:ascii="Times New Roman" w:hAnsi="Times New Roman"/>
                <w:color w:val="000000"/>
                <w:kern w:val="0"/>
                <w:sz w:val="24"/>
              </w:rPr>
              <w:t>Normal cellularity, no clusters, normal staining</w:t>
            </w:r>
          </w:p>
        </w:tc>
        <w:tc>
          <w:tcPr>
            <w:tcW w:w="1070" w:type="dxa"/>
            <w:vAlign w:val="center"/>
          </w:tcPr>
          <w:p w14:paraId="76F24887">
            <w:pPr>
              <w:widowControl/>
              <w:jc w:val="center"/>
              <w:rPr>
                <w:rFonts w:ascii="Times New Roman" w:hAnsi="Times New Roman"/>
                <w:color w:val="000000"/>
                <w:kern w:val="0"/>
                <w:sz w:val="24"/>
              </w:rPr>
            </w:pPr>
            <w:r>
              <w:rPr>
                <w:rFonts w:hint="eastAsia" w:ascii="Times New Roman" w:hAnsi="Times New Roman"/>
                <w:color w:val="000000"/>
                <w:kern w:val="0"/>
                <w:sz w:val="24"/>
              </w:rPr>
              <w:t>3</w:t>
            </w:r>
          </w:p>
        </w:tc>
      </w:tr>
      <w:tr w14:paraId="495B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3115" w:type="dxa"/>
            <w:vMerge w:val="continue"/>
            <w:vAlign w:val="center"/>
          </w:tcPr>
          <w:p w14:paraId="3BCED48D">
            <w:pPr>
              <w:adjustRightInd w:val="0"/>
              <w:spacing w:line="400" w:lineRule="exact"/>
              <w:jc w:val="center"/>
              <w:rPr>
                <w:rFonts w:ascii="Times New Roman" w:hAnsi="Times New Roman"/>
                <w:color w:val="000000"/>
                <w:kern w:val="0"/>
                <w:sz w:val="24"/>
              </w:rPr>
            </w:pPr>
          </w:p>
        </w:tc>
        <w:tc>
          <w:tcPr>
            <w:tcW w:w="4114" w:type="dxa"/>
            <w:vAlign w:val="center"/>
          </w:tcPr>
          <w:p w14:paraId="79C4FB6C">
            <w:pPr>
              <w:widowControl/>
              <w:jc w:val="center"/>
              <w:rPr>
                <w:rFonts w:ascii="Times New Roman" w:hAnsi="Times New Roman"/>
                <w:color w:val="000000"/>
                <w:kern w:val="0"/>
                <w:sz w:val="24"/>
              </w:rPr>
            </w:pPr>
            <w:r>
              <w:rPr>
                <w:rFonts w:ascii="Times New Roman" w:hAnsi="Times New Roman"/>
                <w:color w:val="000000"/>
                <w:kern w:val="0"/>
                <w:sz w:val="24"/>
              </w:rPr>
              <w:t>Normal cellularity,</w:t>
            </w:r>
            <w:r>
              <w:rPr>
                <w:rFonts w:hint="eastAsia" w:ascii="Times New Roman" w:hAnsi="Times New Roman"/>
                <w:color w:val="000000"/>
                <w:kern w:val="0"/>
                <w:sz w:val="24"/>
              </w:rPr>
              <w:t xml:space="preserve"> </w:t>
            </w:r>
            <w:r>
              <w:rPr>
                <w:rFonts w:ascii="Times New Roman" w:hAnsi="Times New Roman"/>
                <w:color w:val="000000"/>
                <w:kern w:val="0"/>
                <w:sz w:val="24"/>
              </w:rPr>
              <w:t>mild clusters, moderate staining</w:t>
            </w:r>
          </w:p>
        </w:tc>
        <w:tc>
          <w:tcPr>
            <w:tcW w:w="1070" w:type="dxa"/>
            <w:vAlign w:val="center"/>
          </w:tcPr>
          <w:p w14:paraId="081D8099">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2124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115" w:type="dxa"/>
            <w:vMerge w:val="continue"/>
            <w:vAlign w:val="center"/>
          </w:tcPr>
          <w:p w14:paraId="6A92A63E">
            <w:pPr>
              <w:adjustRightInd w:val="0"/>
              <w:spacing w:line="400" w:lineRule="exact"/>
              <w:jc w:val="center"/>
              <w:rPr>
                <w:rFonts w:ascii="Times New Roman" w:hAnsi="Times New Roman"/>
                <w:color w:val="000000"/>
                <w:kern w:val="0"/>
                <w:sz w:val="24"/>
              </w:rPr>
            </w:pPr>
          </w:p>
        </w:tc>
        <w:tc>
          <w:tcPr>
            <w:tcW w:w="4114" w:type="dxa"/>
            <w:vAlign w:val="center"/>
          </w:tcPr>
          <w:p w14:paraId="29C223B0">
            <w:pPr>
              <w:widowControl/>
              <w:jc w:val="center"/>
              <w:rPr>
                <w:rFonts w:ascii="Times New Roman" w:hAnsi="Times New Roman"/>
                <w:color w:val="000000"/>
                <w:kern w:val="0"/>
                <w:sz w:val="24"/>
              </w:rPr>
            </w:pPr>
            <w:r>
              <w:rPr>
                <w:rFonts w:ascii="Times New Roman" w:hAnsi="Times New Roman"/>
                <w:color w:val="000000"/>
                <w:kern w:val="0"/>
                <w:sz w:val="24"/>
              </w:rPr>
              <w:t>Mild or moderate hypocellularity,</w:t>
            </w:r>
            <w:r>
              <w:rPr>
                <w:rFonts w:hint="eastAsia" w:ascii="Times New Roman" w:hAnsi="Times New Roman"/>
                <w:color w:val="000000"/>
                <w:kern w:val="0"/>
                <w:sz w:val="24"/>
              </w:rPr>
              <w:t xml:space="preserve"> </w:t>
            </w:r>
            <w:r>
              <w:rPr>
                <w:rFonts w:ascii="Times New Roman" w:hAnsi="Times New Roman"/>
                <w:color w:val="000000"/>
                <w:kern w:val="0"/>
                <w:sz w:val="24"/>
              </w:rPr>
              <w:t>slight staining</w:t>
            </w:r>
          </w:p>
        </w:tc>
        <w:tc>
          <w:tcPr>
            <w:tcW w:w="1070" w:type="dxa"/>
            <w:vAlign w:val="center"/>
          </w:tcPr>
          <w:p w14:paraId="28BC5482">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5544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6B64F25E">
            <w:pPr>
              <w:adjustRightInd w:val="0"/>
              <w:spacing w:line="400" w:lineRule="exact"/>
              <w:jc w:val="center"/>
              <w:rPr>
                <w:rFonts w:ascii="Times New Roman" w:hAnsi="Times New Roman"/>
                <w:color w:val="000000"/>
                <w:kern w:val="0"/>
                <w:sz w:val="24"/>
              </w:rPr>
            </w:pPr>
          </w:p>
        </w:tc>
        <w:tc>
          <w:tcPr>
            <w:tcW w:w="4114" w:type="dxa"/>
            <w:vAlign w:val="center"/>
          </w:tcPr>
          <w:p w14:paraId="1E21E68D">
            <w:pPr>
              <w:widowControl/>
              <w:jc w:val="center"/>
              <w:rPr>
                <w:rFonts w:ascii="Times New Roman" w:hAnsi="Times New Roman"/>
                <w:color w:val="000000"/>
                <w:kern w:val="0"/>
                <w:sz w:val="24"/>
              </w:rPr>
            </w:pPr>
            <w:r>
              <w:rPr>
                <w:rFonts w:ascii="Times New Roman" w:hAnsi="Times New Roman"/>
                <w:color w:val="000000"/>
                <w:kern w:val="0"/>
                <w:sz w:val="24"/>
              </w:rPr>
              <w:t>Severe hypocellularity,</w:t>
            </w:r>
            <w:r>
              <w:rPr>
                <w:rFonts w:hint="eastAsia" w:ascii="Times New Roman" w:hAnsi="Times New Roman"/>
                <w:color w:val="000000"/>
                <w:kern w:val="0"/>
                <w:sz w:val="24"/>
              </w:rPr>
              <w:t xml:space="preserve"> </w:t>
            </w:r>
            <w:r>
              <w:rPr>
                <w:rFonts w:ascii="Times New Roman" w:hAnsi="Times New Roman"/>
                <w:color w:val="000000"/>
                <w:kern w:val="0"/>
                <w:sz w:val="24"/>
              </w:rPr>
              <w:t>slight staining</w:t>
            </w:r>
          </w:p>
        </w:tc>
        <w:tc>
          <w:tcPr>
            <w:tcW w:w="1070" w:type="dxa"/>
            <w:vAlign w:val="center"/>
          </w:tcPr>
          <w:p w14:paraId="26FDFCD7">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09D4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5FB81943">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V</w:t>
            </w:r>
            <w:r>
              <w:rPr>
                <w:rFonts w:ascii="Times New Roman" w:hAnsi="Times New Roman"/>
                <w:color w:val="000000"/>
                <w:kern w:val="0"/>
                <w:sz w:val="24"/>
              </w:rPr>
              <w:t>. Reconstitution of subchondral bone</w:t>
            </w:r>
          </w:p>
        </w:tc>
        <w:tc>
          <w:tcPr>
            <w:tcW w:w="4114" w:type="dxa"/>
            <w:vAlign w:val="center"/>
          </w:tcPr>
          <w:p w14:paraId="33077107">
            <w:pPr>
              <w:widowControl/>
              <w:jc w:val="center"/>
              <w:rPr>
                <w:rFonts w:ascii="Times New Roman" w:hAnsi="Times New Roman"/>
                <w:color w:val="000000"/>
                <w:kern w:val="0"/>
                <w:sz w:val="24"/>
              </w:rPr>
            </w:pPr>
            <w:r>
              <w:rPr>
                <w:rFonts w:ascii="Times New Roman" w:hAnsi="Times New Roman"/>
                <w:color w:val="000000"/>
                <w:kern w:val="0"/>
                <w:sz w:val="24"/>
              </w:rPr>
              <w:t>Complete reconstitution</w:t>
            </w:r>
          </w:p>
        </w:tc>
        <w:tc>
          <w:tcPr>
            <w:tcW w:w="1070" w:type="dxa"/>
            <w:vAlign w:val="center"/>
          </w:tcPr>
          <w:p w14:paraId="4891FA24">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3248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2170962C">
            <w:pPr>
              <w:adjustRightInd w:val="0"/>
              <w:spacing w:line="400" w:lineRule="exact"/>
              <w:jc w:val="center"/>
              <w:rPr>
                <w:rFonts w:ascii="Times New Roman" w:hAnsi="Times New Roman"/>
                <w:color w:val="000000"/>
                <w:kern w:val="0"/>
                <w:sz w:val="24"/>
              </w:rPr>
            </w:pPr>
          </w:p>
        </w:tc>
        <w:tc>
          <w:tcPr>
            <w:tcW w:w="4114" w:type="dxa"/>
            <w:vAlign w:val="center"/>
          </w:tcPr>
          <w:p w14:paraId="67DFCDF1">
            <w:pPr>
              <w:widowControl/>
              <w:jc w:val="center"/>
              <w:rPr>
                <w:rFonts w:ascii="Times New Roman" w:hAnsi="Times New Roman"/>
                <w:color w:val="000000"/>
                <w:kern w:val="0"/>
                <w:sz w:val="24"/>
              </w:rPr>
            </w:pPr>
            <w:r>
              <w:rPr>
                <w:rFonts w:ascii="Times New Roman" w:hAnsi="Times New Roman"/>
                <w:color w:val="000000"/>
                <w:kern w:val="0"/>
                <w:sz w:val="24"/>
              </w:rPr>
              <w:t>&gt;50% reconstitution</w:t>
            </w:r>
          </w:p>
        </w:tc>
        <w:tc>
          <w:tcPr>
            <w:tcW w:w="1070" w:type="dxa"/>
            <w:vAlign w:val="center"/>
          </w:tcPr>
          <w:p w14:paraId="6FA0537D">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1DAD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115" w:type="dxa"/>
            <w:vMerge w:val="continue"/>
            <w:vAlign w:val="center"/>
          </w:tcPr>
          <w:p w14:paraId="4F7381A1">
            <w:pPr>
              <w:adjustRightInd w:val="0"/>
              <w:spacing w:line="400" w:lineRule="exact"/>
              <w:jc w:val="center"/>
              <w:rPr>
                <w:rFonts w:ascii="Times New Roman" w:hAnsi="Times New Roman"/>
                <w:color w:val="000000"/>
                <w:kern w:val="0"/>
                <w:sz w:val="24"/>
              </w:rPr>
            </w:pPr>
          </w:p>
        </w:tc>
        <w:tc>
          <w:tcPr>
            <w:tcW w:w="4114" w:type="dxa"/>
            <w:vAlign w:val="center"/>
          </w:tcPr>
          <w:p w14:paraId="35D9FB6C">
            <w:pPr>
              <w:widowControl/>
              <w:jc w:val="center"/>
              <w:rPr>
                <w:rFonts w:ascii="Times New Roman" w:hAnsi="Times New Roman"/>
                <w:color w:val="000000"/>
                <w:kern w:val="0"/>
                <w:sz w:val="24"/>
              </w:rPr>
            </w:pPr>
            <w:r>
              <w:rPr>
                <w:rFonts w:ascii="Times New Roman" w:hAnsi="Times New Roman" w:cs="Times New Roman"/>
                <w:color w:val="000000"/>
                <w:kern w:val="0"/>
                <w:sz w:val="24"/>
              </w:rPr>
              <w:t>≤</w:t>
            </w:r>
            <w:r>
              <w:rPr>
                <w:rFonts w:ascii="Times New Roman" w:hAnsi="Times New Roman"/>
                <w:color w:val="000000"/>
                <w:kern w:val="0"/>
                <w:sz w:val="24"/>
              </w:rPr>
              <w:t>50% reconstitution</w:t>
            </w:r>
          </w:p>
        </w:tc>
        <w:tc>
          <w:tcPr>
            <w:tcW w:w="1070" w:type="dxa"/>
            <w:vAlign w:val="center"/>
          </w:tcPr>
          <w:p w14:paraId="403D19F0">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2CBE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115" w:type="dxa"/>
            <w:vMerge w:val="restart"/>
            <w:vAlign w:val="center"/>
          </w:tcPr>
          <w:p w14:paraId="279056BB">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V</w:t>
            </w:r>
            <w:r>
              <w:rPr>
                <w:rFonts w:ascii="Times New Roman" w:hAnsi="Times New Roman"/>
                <w:color w:val="000000"/>
                <w:kern w:val="0"/>
                <w:sz w:val="24"/>
              </w:rPr>
              <w:t>I. Bonding of repair cartilage to de novo</w:t>
            </w:r>
            <w:r>
              <w:rPr>
                <w:rFonts w:ascii="Times New Roman" w:hAnsi="Times New Roman"/>
                <w:i/>
                <w:iCs/>
                <w:color w:val="000000"/>
                <w:kern w:val="0"/>
                <w:sz w:val="24"/>
              </w:rPr>
              <w:t xml:space="preserve"> </w:t>
            </w:r>
            <w:r>
              <w:rPr>
                <w:rFonts w:ascii="Times New Roman" w:hAnsi="Times New Roman"/>
                <w:color w:val="000000"/>
                <w:kern w:val="0"/>
                <w:sz w:val="24"/>
              </w:rPr>
              <w:t>subchondral bone</w:t>
            </w:r>
          </w:p>
        </w:tc>
        <w:tc>
          <w:tcPr>
            <w:tcW w:w="4114" w:type="dxa"/>
            <w:vAlign w:val="center"/>
          </w:tcPr>
          <w:p w14:paraId="1B55B099">
            <w:pPr>
              <w:widowControl/>
              <w:jc w:val="center"/>
              <w:rPr>
                <w:rFonts w:ascii="Times New Roman" w:hAnsi="Times New Roman"/>
                <w:color w:val="000000"/>
                <w:kern w:val="0"/>
                <w:sz w:val="24"/>
              </w:rPr>
            </w:pPr>
            <w:r>
              <w:rPr>
                <w:rFonts w:hint="eastAsia" w:ascii="Times New Roman" w:hAnsi="Times New Roman"/>
                <w:color w:val="000000"/>
                <w:kern w:val="0"/>
                <w:sz w:val="24"/>
              </w:rPr>
              <w:t>C</w:t>
            </w:r>
            <w:r>
              <w:rPr>
                <w:rFonts w:ascii="Times New Roman" w:hAnsi="Times New Roman"/>
                <w:color w:val="000000"/>
                <w:kern w:val="0"/>
                <w:sz w:val="24"/>
              </w:rPr>
              <w:t>omplete and uninterrupted</w:t>
            </w:r>
          </w:p>
        </w:tc>
        <w:tc>
          <w:tcPr>
            <w:tcW w:w="1070" w:type="dxa"/>
            <w:vAlign w:val="center"/>
          </w:tcPr>
          <w:p w14:paraId="1C0F0026">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1E21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3055AE44">
            <w:pPr>
              <w:adjustRightInd w:val="0"/>
              <w:spacing w:line="400" w:lineRule="exact"/>
              <w:jc w:val="center"/>
              <w:rPr>
                <w:rFonts w:ascii="Times New Roman" w:hAnsi="Times New Roman"/>
                <w:color w:val="000000"/>
                <w:kern w:val="0"/>
                <w:sz w:val="24"/>
              </w:rPr>
            </w:pPr>
          </w:p>
        </w:tc>
        <w:tc>
          <w:tcPr>
            <w:tcW w:w="4114" w:type="dxa"/>
            <w:vAlign w:val="center"/>
          </w:tcPr>
          <w:p w14:paraId="1A059813">
            <w:pPr>
              <w:widowControl/>
              <w:jc w:val="center"/>
              <w:rPr>
                <w:rFonts w:ascii="Times New Roman" w:hAnsi="Times New Roman"/>
                <w:color w:val="000000"/>
                <w:kern w:val="0"/>
                <w:sz w:val="24"/>
              </w:rPr>
            </w:pPr>
            <w:r>
              <w:rPr>
                <w:rFonts w:hint="eastAsia" w:ascii="Times New Roman" w:hAnsi="Times New Roman"/>
                <w:color w:val="000000"/>
                <w:kern w:val="0"/>
                <w:sz w:val="24"/>
              </w:rPr>
              <w:t>&lt;</w:t>
            </w:r>
            <w:r>
              <w:rPr>
                <w:rFonts w:ascii="Times New Roman" w:hAnsi="Times New Roman"/>
                <w:color w:val="000000"/>
                <w:kern w:val="0"/>
                <w:sz w:val="24"/>
              </w:rPr>
              <w:t xml:space="preserve">100% but &gt;50% </w:t>
            </w:r>
            <w:r>
              <w:rPr>
                <w:rFonts w:hint="eastAsia" w:ascii="Times New Roman" w:hAnsi="Times New Roman"/>
                <w:color w:val="000000"/>
                <w:kern w:val="0"/>
                <w:sz w:val="24"/>
              </w:rPr>
              <w:t>reconst</w:t>
            </w:r>
            <w:r>
              <w:rPr>
                <w:rFonts w:ascii="Times New Roman" w:hAnsi="Times New Roman"/>
                <w:color w:val="000000"/>
                <w:kern w:val="0"/>
                <w:sz w:val="24"/>
              </w:rPr>
              <w:t>itution</w:t>
            </w:r>
          </w:p>
        </w:tc>
        <w:tc>
          <w:tcPr>
            <w:tcW w:w="1070" w:type="dxa"/>
            <w:vAlign w:val="center"/>
          </w:tcPr>
          <w:p w14:paraId="31DFB9B1">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1695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3115" w:type="dxa"/>
            <w:vMerge w:val="continue"/>
            <w:vAlign w:val="center"/>
          </w:tcPr>
          <w:p w14:paraId="2168D659">
            <w:pPr>
              <w:adjustRightInd w:val="0"/>
              <w:spacing w:line="400" w:lineRule="exact"/>
              <w:jc w:val="center"/>
              <w:rPr>
                <w:rFonts w:ascii="Times New Roman" w:hAnsi="Times New Roman"/>
                <w:color w:val="000000"/>
                <w:kern w:val="0"/>
                <w:sz w:val="24"/>
              </w:rPr>
            </w:pPr>
          </w:p>
        </w:tc>
        <w:tc>
          <w:tcPr>
            <w:tcW w:w="4114" w:type="dxa"/>
            <w:vAlign w:val="center"/>
          </w:tcPr>
          <w:p w14:paraId="5F7B0ECC">
            <w:pPr>
              <w:widowControl/>
              <w:jc w:val="center"/>
              <w:rPr>
                <w:rFonts w:ascii="Times New Roman" w:hAnsi="Times New Roman"/>
                <w:color w:val="000000"/>
                <w:kern w:val="0"/>
                <w:sz w:val="24"/>
              </w:rPr>
            </w:pPr>
            <w:r>
              <w:rPr>
                <w:rFonts w:hint="eastAsia" w:ascii="Times New Roman" w:hAnsi="Times New Roman"/>
                <w:color w:val="000000"/>
                <w:kern w:val="0"/>
                <w:sz w:val="24"/>
              </w:rPr>
              <w:t>&lt;</w:t>
            </w:r>
            <w:r>
              <w:rPr>
                <w:rFonts w:ascii="Times New Roman" w:hAnsi="Times New Roman"/>
                <w:color w:val="000000"/>
                <w:kern w:val="0"/>
                <w:sz w:val="24"/>
              </w:rPr>
              <w:t xml:space="preserve">50% </w:t>
            </w:r>
            <w:r>
              <w:rPr>
                <w:rFonts w:hint="eastAsia" w:ascii="Times New Roman" w:hAnsi="Times New Roman"/>
                <w:color w:val="000000"/>
                <w:kern w:val="0"/>
                <w:sz w:val="24"/>
              </w:rPr>
              <w:t>complete</w:t>
            </w:r>
          </w:p>
        </w:tc>
        <w:tc>
          <w:tcPr>
            <w:tcW w:w="1070" w:type="dxa"/>
            <w:vAlign w:val="center"/>
          </w:tcPr>
          <w:p w14:paraId="7C3D64B4">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2BAD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restart"/>
            <w:vAlign w:val="center"/>
          </w:tcPr>
          <w:p w14:paraId="0D642808">
            <w:pPr>
              <w:adjustRightInd w:val="0"/>
              <w:spacing w:line="400" w:lineRule="exact"/>
              <w:jc w:val="center"/>
              <w:rPr>
                <w:rFonts w:ascii="Times New Roman" w:hAnsi="Times New Roman"/>
                <w:color w:val="000000"/>
                <w:kern w:val="0"/>
                <w:sz w:val="24"/>
              </w:rPr>
            </w:pPr>
            <w:r>
              <w:rPr>
                <w:rFonts w:hint="eastAsia" w:ascii="Times New Roman" w:hAnsi="Times New Roman"/>
                <w:color w:val="000000"/>
                <w:kern w:val="0"/>
                <w:sz w:val="24"/>
              </w:rPr>
              <w:t>V</w:t>
            </w:r>
            <w:r>
              <w:rPr>
                <w:rFonts w:ascii="Times New Roman" w:hAnsi="Times New Roman"/>
                <w:color w:val="000000"/>
                <w:kern w:val="0"/>
                <w:sz w:val="24"/>
              </w:rPr>
              <w:t>II. Safranin O staining</w:t>
            </w:r>
          </w:p>
        </w:tc>
        <w:tc>
          <w:tcPr>
            <w:tcW w:w="4114" w:type="dxa"/>
            <w:vAlign w:val="center"/>
          </w:tcPr>
          <w:p w14:paraId="76288FCC">
            <w:pPr>
              <w:widowControl/>
              <w:jc w:val="center"/>
              <w:rPr>
                <w:rFonts w:ascii="Times New Roman" w:hAnsi="Times New Roman"/>
                <w:color w:val="000000"/>
                <w:kern w:val="0"/>
                <w:sz w:val="24"/>
              </w:rPr>
            </w:pPr>
            <w:r>
              <w:rPr>
                <w:rFonts w:hint="eastAsia" w:ascii="Times New Roman" w:hAnsi="Times New Roman"/>
                <w:color w:val="000000"/>
                <w:kern w:val="0"/>
                <w:sz w:val="24"/>
              </w:rPr>
              <w:t>&gt;</w:t>
            </w:r>
            <w:r>
              <w:rPr>
                <w:rFonts w:ascii="Times New Roman" w:hAnsi="Times New Roman"/>
                <w:color w:val="000000"/>
                <w:kern w:val="0"/>
                <w:sz w:val="24"/>
              </w:rPr>
              <w:t>80% homogenous positive stain</w:t>
            </w:r>
          </w:p>
        </w:tc>
        <w:tc>
          <w:tcPr>
            <w:tcW w:w="1070" w:type="dxa"/>
            <w:vAlign w:val="center"/>
          </w:tcPr>
          <w:p w14:paraId="47CE6C13">
            <w:pPr>
              <w:widowControl/>
              <w:jc w:val="center"/>
              <w:rPr>
                <w:rFonts w:ascii="Times New Roman" w:hAnsi="Times New Roman"/>
                <w:color w:val="000000"/>
                <w:kern w:val="0"/>
                <w:sz w:val="24"/>
              </w:rPr>
            </w:pPr>
            <w:r>
              <w:rPr>
                <w:rFonts w:hint="eastAsia" w:ascii="Times New Roman" w:hAnsi="Times New Roman"/>
                <w:color w:val="000000"/>
                <w:kern w:val="0"/>
                <w:sz w:val="24"/>
              </w:rPr>
              <w:t>2</w:t>
            </w:r>
          </w:p>
        </w:tc>
      </w:tr>
      <w:tr w14:paraId="3C18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00682718">
            <w:pPr>
              <w:adjustRightInd w:val="0"/>
              <w:spacing w:line="400" w:lineRule="exact"/>
              <w:jc w:val="center"/>
              <w:rPr>
                <w:rFonts w:ascii="Times New Roman" w:hAnsi="Times New Roman"/>
                <w:color w:val="000000"/>
                <w:kern w:val="0"/>
                <w:sz w:val="24"/>
              </w:rPr>
            </w:pPr>
          </w:p>
        </w:tc>
        <w:tc>
          <w:tcPr>
            <w:tcW w:w="4114" w:type="dxa"/>
            <w:vAlign w:val="center"/>
          </w:tcPr>
          <w:p w14:paraId="132A70DC">
            <w:pPr>
              <w:widowControl/>
              <w:jc w:val="center"/>
              <w:rPr>
                <w:rFonts w:ascii="Times New Roman" w:hAnsi="Times New Roman"/>
                <w:color w:val="000000"/>
                <w:kern w:val="0"/>
                <w:sz w:val="24"/>
              </w:rPr>
            </w:pPr>
            <w:r>
              <w:rPr>
                <w:rFonts w:ascii="Times New Roman" w:hAnsi="Times New Roman"/>
                <w:color w:val="000000"/>
                <w:kern w:val="0"/>
                <w:sz w:val="24"/>
              </w:rPr>
              <w:t>40%-80% homogenous positive stain</w:t>
            </w:r>
          </w:p>
        </w:tc>
        <w:tc>
          <w:tcPr>
            <w:tcW w:w="1070" w:type="dxa"/>
            <w:vAlign w:val="center"/>
          </w:tcPr>
          <w:p w14:paraId="324C4A78">
            <w:pPr>
              <w:widowControl/>
              <w:jc w:val="center"/>
              <w:rPr>
                <w:rFonts w:ascii="Times New Roman" w:hAnsi="Times New Roman"/>
                <w:color w:val="000000"/>
                <w:kern w:val="0"/>
                <w:sz w:val="24"/>
              </w:rPr>
            </w:pPr>
            <w:r>
              <w:rPr>
                <w:rFonts w:hint="eastAsia" w:ascii="Times New Roman" w:hAnsi="Times New Roman"/>
                <w:color w:val="000000"/>
                <w:kern w:val="0"/>
                <w:sz w:val="24"/>
              </w:rPr>
              <w:t>1</w:t>
            </w:r>
          </w:p>
        </w:tc>
      </w:tr>
      <w:tr w14:paraId="1A5B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115" w:type="dxa"/>
            <w:vMerge w:val="continue"/>
            <w:vAlign w:val="center"/>
          </w:tcPr>
          <w:p w14:paraId="3BC432F8">
            <w:pPr>
              <w:adjustRightInd w:val="0"/>
              <w:spacing w:line="400" w:lineRule="exact"/>
              <w:jc w:val="center"/>
              <w:rPr>
                <w:rFonts w:ascii="Times New Roman" w:hAnsi="Times New Roman"/>
                <w:color w:val="000000"/>
                <w:kern w:val="0"/>
                <w:sz w:val="24"/>
              </w:rPr>
            </w:pPr>
          </w:p>
        </w:tc>
        <w:tc>
          <w:tcPr>
            <w:tcW w:w="4114" w:type="dxa"/>
            <w:vAlign w:val="center"/>
          </w:tcPr>
          <w:p w14:paraId="3B9FC5ED">
            <w:pPr>
              <w:widowControl/>
              <w:jc w:val="center"/>
              <w:rPr>
                <w:rFonts w:ascii="Times New Roman" w:hAnsi="Times New Roman"/>
                <w:color w:val="000000"/>
                <w:kern w:val="0"/>
                <w:sz w:val="24"/>
              </w:rPr>
            </w:pPr>
            <w:r>
              <w:rPr>
                <w:rFonts w:ascii="Times New Roman" w:hAnsi="Times New Roman"/>
                <w:color w:val="000000"/>
                <w:kern w:val="0"/>
                <w:sz w:val="24"/>
              </w:rPr>
              <w:t>&lt;40% homogenous positive stain</w:t>
            </w:r>
          </w:p>
        </w:tc>
        <w:tc>
          <w:tcPr>
            <w:tcW w:w="1070" w:type="dxa"/>
            <w:vAlign w:val="center"/>
          </w:tcPr>
          <w:p w14:paraId="0EDE941E">
            <w:pPr>
              <w:widowControl/>
              <w:jc w:val="center"/>
              <w:rPr>
                <w:rFonts w:ascii="Times New Roman" w:hAnsi="Times New Roman"/>
                <w:color w:val="000000"/>
                <w:kern w:val="0"/>
                <w:sz w:val="24"/>
              </w:rPr>
            </w:pPr>
            <w:r>
              <w:rPr>
                <w:rFonts w:hint="eastAsia" w:ascii="Times New Roman" w:hAnsi="Times New Roman"/>
                <w:color w:val="000000"/>
                <w:kern w:val="0"/>
                <w:sz w:val="24"/>
              </w:rPr>
              <w:t>0</w:t>
            </w:r>
          </w:p>
        </w:tc>
      </w:tr>
      <w:tr w14:paraId="7E57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7229" w:type="dxa"/>
            <w:gridSpan w:val="2"/>
          </w:tcPr>
          <w:p w14:paraId="00ADD7D8">
            <w:pPr>
              <w:widowControl/>
              <w:jc w:val="left"/>
              <w:rPr>
                <w:rFonts w:ascii="Times New Roman" w:hAnsi="Times New Roman"/>
                <w:color w:val="000000"/>
                <w:kern w:val="0"/>
                <w:sz w:val="24"/>
              </w:rPr>
            </w:pPr>
            <w:r>
              <w:rPr>
                <w:rFonts w:hint="eastAsia" w:ascii="Times New Roman" w:hAnsi="Times New Roman"/>
                <w:color w:val="000000"/>
                <w:kern w:val="0"/>
                <w:sz w:val="24"/>
              </w:rPr>
              <w:t>T</w:t>
            </w:r>
            <w:r>
              <w:rPr>
                <w:rFonts w:ascii="Times New Roman" w:hAnsi="Times New Roman"/>
                <w:color w:val="000000"/>
                <w:kern w:val="0"/>
                <w:sz w:val="24"/>
              </w:rPr>
              <w:t>otal score</w:t>
            </w:r>
          </w:p>
        </w:tc>
        <w:tc>
          <w:tcPr>
            <w:tcW w:w="1070" w:type="dxa"/>
          </w:tcPr>
          <w:p w14:paraId="299DC1BF">
            <w:pPr>
              <w:widowControl/>
              <w:jc w:val="left"/>
              <w:rPr>
                <w:rFonts w:ascii="Times New Roman" w:hAnsi="Times New Roman"/>
                <w:color w:val="000000"/>
                <w:kern w:val="0"/>
                <w:sz w:val="24"/>
              </w:rPr>
            </w:pPr>
            <w:r>
              <w:rPr>
                <w:rFonts w:hint="eastAsia" w:ascii="Times New Roman" w:hAnsi="Times New Roman"/>
                <w:color w:val="000000"/>
                <w:kern w:val="0"/>
                <w:sz w:val="24"/>
              </w:rPr>
              <w:t>M</w:t>
            </w:r>
            <w:r>
              <w:rPr>
                <w:rFonts w:ascii="Times New Roman" w:hAnsi="Times New Roman"/>
                <w:color w:val="000000"/>
                <w:kern w:val="0"/>
                <w:sz w:val="24"/>
              </w:rPr>
              <w:t>ax. 27</w:t>
            </w:r>
          </w:p>
        </w:tc>
      </w:tr>
    </w:tbl>
    <w:p w14:paraId="1692EC85">
      <w:pPr>
        <w:spacing w:line="360" w:lineRule="auto"/>
        <w:rPr>
          <w:rFonts w:hint="default" w:ascii="Times New Roman" w:hAnsi="Times New Roman" w:cs="Times New Roman"/>
          <w:b w:val="0"/>
          <w:bCs w:val="0"/>
          <w:sz w:val="24"/>
          <w:szCs w:val="32"/>
          <w:lang w:val="en-US" w:eastAsia="zh-CN"/>
        </w:rPr>
      </w:pPr>
    </w:p>
    <w:p w14:paraId="50BD2B6C">
      <w:pPr>
        <w:spacing w:line="360" w:lineRule="auto"/>
        <w:rPr>
          <w:rFonts w:hint="default" w:ascii="Times New Roman" w:hAnsi="Times New Roman" w:cs="Times New Roman"/>
          <w:b w:val="0"/>
          <w:bCs w:val="0"/>
          <w:sz w:val="24"/>
          <w:szCs w:val="32"/>
          <w:lang w:val="en-US" w:eastAsia="zh-CN"/>
        </w:rPr>
      </w:pPr>
    </w:p>
    <w:p w14:paraId="6375EF3A">
      <w:pPr>
        <w:spacing w:line="360" w:lineRule="auto"/>
        <w:ind w:firstLine="480" w:firstLineChars="200"/>
        <w:rPr>
          <w:rFonts w:hint="default" w:ascii="Times New Roman" w:hAnsi="Times New Roman" w:cs="Times New Roman"/>
          <w:b w:val="0"/>
          <w:bCs w:val="0"/>
          <w:sz w:val="24"/>
          <w:szCs w:val="32"/>
          <w:lang w:val="en-US" w:eastAsia="zh-CN"/>
        </w:rPr>
      </w:pPr>
    </w:p>
    <w:p w14:paraId="42E774BA">
      <w:pPr>
        <w:spacing w:line="360" w:lineRule="auto"/>
        <w:ind w:firstLine="480" w:firstLineChars="200"/>
        <w:rPr>
          <w:rFonts w:hint="default" w:ascii="Times New Roman" w:hAnsi="Times New Roman" w:cs="Times New Roman"/>
          <w:b w:val="0"/>
          <w:bCs w:val="0"/>
          <w:sz w:val="24"/>
          <w:szCs w:val="32"/>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2471C"/>
    <w:multiLevelType w:val="singleLevel"/>
    <w:tmpl w:val="80F2471C"/>
    <w:lvl w:ilvl="0" w:tentative="0">
      <w:start w:val="3"/>
      <w:numFmt w:val="decimal"/>
      <w:suff w:val="space"/>
      <w:lvlText w:val="%1."/>
      <w:lvlJc w:val="left"/>
    </w:lvl>
  </w:abstractNum>
  <w:abstractNum w:abstractNumId="1">
    <w:nsid w:val="D97B9B55"/>
    <w:multiLevelType w:val="singleLevel"/>
    <w:tmpl w:val="D97B9B55"/>
    <w:lvl w:ilvl="0" w:tentative="0">
      <w:start w:val="4"/>
      <w:numFmt w:val="decimal"/>
      <w:suff w:val="space"/>
      <w:lvlText w:val="%1."/>
      <w:lvlJc w:val="left"/>
    </w:lvl>
  </w:abstractNum>
  <w:abstractNum w:abstractNumId="2">
    <w:nsid w:val="58793589"/>
    <w:multiLevelType w:val="singleLevel"/>
    <w:tmpl w:val="58793589"/>
    <w:lvl w:ilvl="0" w:tentative="0">
      <w:start w:val="1"/>
      <w:numFmt w:val="decimal"/>
      <w:suff w:val="space"/>
      <w:lvlText w:val="(%1)"/>
      <w:lvlJc w:val="left"/>
      <w:rPr>
        <w:rFonts w:hint="default"/>
        <w:b w:val="0"/>
        <w:bCs w:val="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9B252775-C356-48CD-8E39-8CFA7F9EFB7F}"/>
    <w:docVar w:name="KY_MEDREF_VERSION" w:val="3"/>
  </w:docVars>
  <w:rsids>
    <w:rsidRoot w:val="00000000"/>
    <w:rsid w:val="01F31E41"/>
    <w:rsid w:val="02801098"/>
    <w:rsid w:val="057D4CA3"/>
    <w:rsid w:val="093D264A"/>
    <w:rsid w:val="0A5E5043"/>
    <w:rsid w:val="13B349C3"/>
    <w:rsid w:val="160550C9"/>
    <w:rsid w:val="1CC45CDD"/>
    <w:rsid w:val="277D0F63"/>
    <w:rsid w:val="2B2075C2"/>
    <w:rsid w:val="2C6941AB"/>
    <w:rsid w:val="323F7FA2"/>
    <w:rsid w:val="32965688"/>
    <w:rsid w:val="37172BF1"/>
    <w:rsid w:val="37756F13"/>
    <w:rsid w:val="38394DC2"/>
    <w:rsid w:val="39E36DCF"/>
    <w:rsid w:val="3AB469A8"/>
    <w:rsid w:val="48796B48"/>
    <w:rsid w:val="494420AF"/>
    <w:rsid w:val="49F92273"/>
    <w:rsid w:val="4C1C493F"/>
    <w:rsid w:val="4D4E3028"/>
    <w:rsid w:val="54876997"/>
    <w:rsid w:val="5765363E"/>
    <w:rsid w:val="5CD14156"/>
    <w:rsid w:val="6B520BC7"/>
    <w:rsid w:val="6CBF1C8E"/>
    <w:rsid w:val="6D7B747F"/>
    <w:rsid w:val="70390D6C"/>
    <w:rsid w:val="737A1DC7"/>
    <w:rsid w:val="749454FE"/>
    <w:rsid w:val="77903967"/>
    <w:rsid w:val="7D32101D"/>
    <w:rsid w:val="7FEF7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3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paragraph" w:customStyle="1" w:styleId="7">
    <w:name w:val="Paragraph"/>
    <w:basedOn w:val="1"/>
    <w:autoRedefine/>
    <w:qFormat/>
    <w:uiPriority w:val="0"/>
    <w:pPr>
      <w:widowControl/>
      <w:spacing w:before="120"/>
      <w:ind w:firstLine="720"/>
      <w:jc w:val="left"/>
    </w:pPr>
    <w:rPr>
      <w:rFonts w:ascii="Times New Roman" w:hAnsi="Times New Roman" w:eastAsia="Times New Roman"/>
      <w:kern w:val="0"/>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3379</Words>
  <Characters>20061</Characters>
  <Lines>0</Lines>
  <Paragraphs>0</Paragraphs>
  <TotalTime>0</TotalTime>
  <ScaleCrop>false</ScaleCrop>
  <LinksUpToDate>false</LinksUpToDate>
  <CharactersWithSpaces>23205</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2025-09-25T03:18:00Z</dcterms:created>
  <dc:creator>wujiang</dc:creator>
  <cp:lastModifiedBy>yx</cp:lastModifiedBy>
  <dcterms:modified xsi:type="dcterms:W3CDTF">2026-08-24T06:20:15Z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eyJoZGlkIjoiNTMzNzczMjg3OWJiNDMwMGU0YTViOGE1Yjg1ZGQ0MWQiLCJ1c2VySWQiOiIyOTIzNzE0MzIifQ==</vt:lpwstr>
  </property>
  <property fmtid="{D5CDD505-2E9C-101B-9397-08002B2CF9AE}" pid="4" name="ICV">
    <vt:lpwstr>5A9611B253CD4DA2B44E29F841864812_13</vt:lpwstr>
  </property>
</Properties>
</file>