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F546" w14:textId="77777777" w:rsidR="009777E9" w:rsidRPr="00AA7CBE" w:rsidRDefault="00487C4E">
      <w:pPr>
        <w:spacing w:line="360" w:lineRule="auto"/>
        <w:rPr>
          <w:rFonts w:eastAsiaTheme="minorEastAsia"/>
          <w:b/>
          <w:iCs/>
          <w:sz w:val="32"/>
          <w:szCs w:val="32"/>
          <w:lang w:eastAsia="zh-CN"/>
        </w:rPr>
      </w:pPr>
      <w:r w:rsidRPr="00AA7CBE">
        <w:rPr>
          <w:b/>
          <w:iCs/>
          <w:sz w:val="32"/>
          <w:szCs w:val="32"/>
        </w:rPr>
        <w:t>Additional Information</w:t>
      </w:r>
    </w:p>
    <w:p w14:paraId="665DF547" w14:textId="77777777" w:rsidR="009777E9" w:rsidRPr="00AA7CBE" w:rsidRDefault="00487C4E">
      <w:pPr>
        <w:pStyle w:val="AuthorsFull"/>
        <w:spacing w:line="360" w:lineRule="auto"/>
        <w:jc w:val="both"/>
        <w:rPr>
          <w:b/>
          <w:i w:val="0"/>
          <w:iCs/>
          <w:sz w:val="28"/>
          <w:szCs w:val="28"/>
        </w:rPr>
      </w:pPr>
      <w:r w:rsidRPr="00AA7CBE">
        <w:rPr>
          <w:b/>
          <w:i w:val="0"/>
          <w:sz w:val="28"/>
        </w:rPr>
        <w:t>Synchronized CD73 Blockade and STING Activation via an Ultrahigh-Payload Antibody–Polymer Conjugate for Breast Cancer Immunotherapy</w:t>
      </w:r>
    </w:p>
    <w:p w14:paraId="665DF549" w14:textId="349172EE" w:rsidR="009777E9" w:rsidRDefault="00487C4E">
      <w:pPr>
        <w:adjustRightInd w:val="0"/>
        <w:spacing w:line="360" w:lineRule="auto"/>
        <w:rPr>
          <w:rFonts w:eastAsia="宋体"/>
          <w:bCs/>
          <w:vertAlign w:val="superscript"/>
          <w:lang w:eastAsia="zh-CN"/>
        </w:rPr>
      </w:pPr>
      <w:r w:rsidRPr="00AA7CBE">
        <w:t>Naimeng Liu</w:t>
      </w:r>
      <w:r w:rsidRPr="00AA7CBE">
        <w:rPr>
          <w:rFonts w:eastAsia="宋体"/>
          <w:bCs/>
          <w:vertAlign w:val="superscript"/>
        </w:rPr>
        <w:t>1†</w:t>
      </w:r>
      <w:r w:rsidRPr="00AA7CBE">
        <w:rPr>
          <w:rFonts w:eastAsia="宋体"/>
          <w:bCs/>
        </w:rPr>
        <w:t xml:space="preserve">, </w:t>
      </w:r>
      <w:r w:rsidRPr="00AA7CBE">
        <w:rPr>
          <w:rFonts w:hint="eastAsia"/>
        </w:rPr>
        <w:t>Xiangyu Wang</w:t>
      </w:r>
      <w:r w:rsidRPr="00AA7CBE">
        <w:rPr>
          <w:rFonts w:eastAsia="宋体" w:hint="eastAsia"/>
          <w:bCs/>
          <w:vertAlign w:val="superscript"/>
          <w:lang w:eastAsia="zh-CN"/>
        </w:rPr>
        <w:t>1</w:t>
      </w:r>
      <w:r w:rsidRPr="00AA7CBE">
        <w:rPr>
          <w:rFonts w:eastAsia="宋体"/>
          <w:bCs/>
          <w:vertAlign w:val="superscript"/>
        </w:rPr>
        <w:t>†</w:t>
      </w:r>
      <w:r w:rsidRPr="00AA7CBE">
        <w:rPr>
          <w:rFonts w:eastAsia="宋体"/>
          <w:bCs/>
        </w:rPr>
        <w:t xml:space="preserve">, </w:t>
      </w:r>
      <w:r w:rsidRPr="00AA7CBE">
        <w:rPr>
          <w:rFonts w:hint="eastAsia"/>
        </w:rPr>
        <w:t>Wenxiang Zhang</w:t>
      </w:r>
      <w:r w:rsidRPr="00AA7CBE">
        <w:rPr>
          <w:rFonts w:eastAsia="宋体"/>
          <w:bCs/>
          <w:vertAlign w:val="superscript"/>
        </w:rPr>
        <w:t>1†</w:t>
      </w:r>
      <w:r w:rsidRPr="00AA7CBE">
        <w:rPr>
          <w:rFonts w:eastAsia="宋体" w:hint="eastAsia"/>
          <w:bCs/>
          <w:lang w:eastAsia="zh-CN"/>
        </w:rPr>
        <w:t xml:space="preserve">, </w:t>
      </w:r>
      <w:r w:rsidRPr="00AA7CBE">
        <w:rPr>
          <w:rFonts w:eastAsia="宋体" w:hint="eastAsia"/>
          <w:bCs/>
          <w:lang w:val="en-US" w:eastAsia="zh-CN"/>
        </w:rPr>
        <w:t>Juan Wu</w:t>
      </w:r>
      <w:r w:rsidRPr="00AA7CBE">
        <w:rPr>
          <w:rFonts w:eastAsia="宋体"/>
          <w:bCs/>
          <w:vertAlign w:val="superscript"/>
        </w:rPr>
        <w:t>1†</w:t>
      </w:r>
      <w:r w:rsidRPr="00AA7CBE">
        <w:rPr>
          <w:rFonts w:eastAsia="宋体" w:hint="eastAsia"/>
          <w:bCs/>
          <w:lang w:val="en-US" w:eastAsia="zh-CN"/>
        </w:rPr>
        <w:t>, Kan Yonemori</w:t>
      </w:r>
      <w:r w:rsidRPr="00AA7CBE">
        <w:rPr>
          <w:rFonts w:eastAsia="宋体" w:hint="eastAsia"/>
          <w:bCs/>
          <w:vertAlign w:val="superscript"/>
          <w:lang w:eastAsia="zh-CN"/>
        </w:rPr>
        <w:t>2</w:t>
      </w:r>
      <w:r w:rsidRPr="00AA7CBE">
        <w:rPr>
          <w:rFonts w:eastAsia="宋体" w:hint="eastAsia"/>
          <w:bCs/>
          <w:lang w:val="en-US" w:eastAsia="zh-CN"/>
        </w:rPr>
        <w:t>, Baranova Madina Petrovna</w:t>
      </w:r>
      <w:r w:rsidRPr="00AA7CBE">
        <w:rPr>
          <w:rFonts w:eastAsia="宋体" w:hint="eastAsia"/>
          <w:bCs/>
          <w:vertAlign w:val="superscript"/>
          <w:lang w:eastAsia="zh-CN"/>
        </w:rPr>
        <w:t>3</w:t>
      </w:r>
      <w:r w:rsidRPr="00AA7CBE">
        <w:rPr>
          <w:rFonts w:eastAsia="宋体" w:hint="eastAsia"/>
          <w:bCs/>
          <w:lang w:val="en-US" w:eastAsia="zh-CN"/>
        </w:rPr>
        <w:t>, Li Chen</w:t>
      </w:r>
      <w:r w:rsidRPr="00AA7CBE">
        <w:rPr>
          <w:rFonts w:eastAsia="宋体" w:hint="eastAsia"/>
          <w:bCs/>
          <w:vertAlign w:val="superscript"/>
          <w:lang w:eastAsia="zh-CN"/>
        </w:rPr>
        <w:t>1</w:t>
      </w:r>
      <w:r w:rsidRPr="00AA7CBE">
        <w:rPr>
          <w:rFonts w:eastAsia="宋体" w:hint="eastAsia"/>
          <w:bCs/>
          <w:lang w:val="en-US" w:eastAsia="zh-CN"/>
        </w:rPr>
        <w:t>, Guofeng Ji</w:t>
      </w:r>
      <w:r w:rsidRPr="00AA7CBE">
        <w:rPr>
          <w:rFonts w:eastAsia="宋体" w:hint="eastAsia"/>
          <w:bCs/>
          <w:vertAlign w:val="superscript"/>
          <w:lang w:eastAsia="zh-CN"/>
        </w:rPr>
        <w:t>4</w:t>
      </w:r>
      <w:r w:rsidRPr="00AA7CBE">
        <w:rPr>
          <w:rFonts w:eastAsia="宋体" w:hint="eastAsia"/>
          <w:bCs/>
          <w:lang w:val="en-US" w:eastAsia="zh-CN"/>
        </w:rPr>
        <w:t xml:space="preserve">, </w:t>
      </w:r>
      <w:proofErr w:type="spellStart"/>
      <w:r w:rsidRPr="00AA7CBE">
        <w:rPr>
          <w:rFonts w:eastAsia="宋体" w:hint="eastAsia"/>
          <w:bCs/>
          <w:lang w:val="en-US" w:eastAsia="zh-CN"/>
        </w:rPr>
        <w:t>Zhongzhao</w:t>
      </w:r>
      <w:proofErr w:type="spellEnd"/>
      <w:r w:rsidRPr="00AA7CBE">
        <w:rPr>
          <w:rFonts w:eastAsia="宋体" w:hint="eastAsia"/>
          <w:bCs/>
          <w:lang w:val="en-US" w:eastAsia="zh-CN"/>
        </w:rPr>
        <w:t xml:space="preserve"> Wang</w:t>
      </w:r>
      <w:r w:rsidRPr="00AA7CBE">
        <w:rPr>
          <w:rFonts w:eastAsia="宋体"/>
          <w:bCs/>
          <w:vertAlign w:val="superscript"/>
        </w:rPr>
        <w:t>1</w:t>
      </w:r>
      <w:bookmarkStart w:id="0" w:name="OLE_LINK8"/>
      <w:r w:rsidRPr="00AA7CBE">
        <w:rPr>
          <w:rFonts w:eastAsia="宋体"/>
          <w:bCs/>
          <w:vertAlign w:val="superscript"/>
        </w:rPr>
        <w:t>*</w:t>
      </w:r>
      <w:bookmarkEnd w:id="0"/>
      <w:r w:rsidRPr="00AA7CBE">
        <w:rPr>
          <w:rFonts w:eastAsia="宋体"/>
          <w:bCs/>
          <w:lang w:val="en-US" w:eastAsia="zh-CN"/>
        </w:rPr>
        <w:t xml:space="preserve">, </w:t>
      </w:r>
      <w:r w:rsidRPr="00AA7CBE">
        <w:rPr>
          <w:rFonts w:eastAsia="宋体" w:hint="eastAsia"/>
          <w:bCs/>
          <w:lang w:val="en-US" w:eastAsia="zh-CN"/>
        </w:rPr>
        <w:t>Xiangyi Kong</w:t>
      </w:r>
      <w:r w:rsidRPr="00AA7CBE">
        <w:rPr>
          <w:rFonts w:eastAsia="宋体"/>
          <w:bCs/>
          <w:vertAlign w:val="superscript"/>
        </w:rPr>
        <w:t>1*</w:t>
      </w:r>
      <w:r w:rsidRPr="00AA7CBE">
        <w:rPr>
          <w:rFonts w:eastAsia="宋体"/>
          <w:bCs/>
          <w:lang w:val="en-US" w:eastAsia="zh-CN"/>
        </w:rPr>
        <w:t>, Jing Wang</w:t>
      </w:r>
      <w:r w:rsidRPr="00AA7CBE">
        <w:rPr>
          <w:rFonts w:eastAsia="宋体"/>
          <w:bCs/>
          <w:vertAlign w:val="superscript"/>
        </w:rPr>
        <w:t>1*</w:t>
      </w:r>
    </w:p>
    <w:p w14:paraId="6076E224" w14:textId="77777777" w:rsidR="00E92CBB" w:rsidRPr="00E92CBB" w:rsidRDefault="00E92CBB">
      <w:pPr>
        <w:adjustRightInd w:val="0"/>
        <w:spacing w:line="360" w:lineRule="auto"/>
        <w:rPr>
          <w:rFonts w:eastAsia="宋体"/>
          <w:bCs/>
          <w:vertAlign w:val="superscript"/>
          <w:lang w:eastAsia="zh-CN"/>
        </w:rPr>
      </w:pPr>
    </w:p>
    <w:p w14:paraId="665DF54A" w14:textId="77777777" w:rsidR="009777E9" w:rsidRPr="00AA7CBE" w:rsidRDefault="00487C4E">
      <w:pPr>
        <w:spacing w:line="360" w:lineRule="auto"/>
        <w:rPr>
          <w:rFonts w:eastAsia="宋体"/>
          <w:sz w:val="22"/>
          <w:szCs w:val="22"/>
          <w:vertAlign w:val="superscript"/>
        </w:rPr>
      </w:pPr>
      <w:r w:rsidRPr="00AA7CBE">
        <w:rPr>
          <w:rFonts w:eastAsia="宋体"/>
          <w:b/>
          <w:bCs/>
          <w:sz w:val="22"/>
          <w:szCs w:val="22"/>
          <w:vertAlign w:val="superscript"/>
        </w:rPr>
        <w:t>1</w:t>
      </w:r>
      <w:r w:rsidRPr="00AA7CBE">
        <w:rPr>
          <w:sz w:val="22"/>
          <w:szCs w:val="22"/>
        </w:rPr>
        <w:t>Department of Breast Surgical Oncology, National Cancer Center/National Clinical Research Center for Cancer/Cancer Hospital, Chinese Academy of Medical Sciences and Peking Union Medical College, Beijing 100021, China</w:t>
      </w:r>
      <w:r w:rsidRPr="00AA7CBE">
        <w:rPr>
          <w:rFonts w:hint="eastAsia"/>
          <w:sz w:val="22"/>
          <w:szCs w:val="22"/>
        </w:rPr>
        <w:t>.</w:t>
      </w:r>
    </w:p>
    <w:p w14:paraId="665DF54B" w14:textId="77777777" w:rsidR="009777E9" w:rsidRPr="00AA7CBE" w:rsidRDefault="00487C4E">
      <w:pPr>
        <w:spacing w:line="360" w:lineRule="auto"/>
        <w:rPr>
          <w:rFonts w:eastAsia="宋体"/>
          <w:sz w:val="22"/>
          <w:szCs w:val="22"/>
        </w:rPr>
      </w:pPr>
      <w:r w:rsidRPr="00AA7CBE">
        <w:rPr>
          <w:rFonts w:eastAsia="宋体"/>
          <w:b/>
          <w:bCs/>
          <w:sz w:val="22"/>
          <w:szCs w:val="22"/>
          <w:vertAlign w:val="superscript"/>
        </w:rPr>
        <w:t>2</w:t>
      </w:r>
      <w:r w:rsidRPr="00AA7CBE">
        <w:rPr>
          <w:rFonts w:eastAsia="宋体"/>
          <w:sz w:val="22"/>
          <w:szCs w:val="22"/>
        </w:rPr>
        <w:t>Department of Medical Oncology, National Cancer Center Hospital (NCCH); Department of Experimental Therapeutics, NCCH; Rare Cancer Center, National Cancer Center, Tsukiji 5-1-1, Chuo-ku, Tokyo, Japan</w:t>
      </w:r>
    </w:p>
    <w:p w14:paraId="665DF54C" w14:textId="77777777" w:rsidR="009777E9" w:rsidRPr="00AA7CBE" w:rsidRDefault="00487C4E">
      <w:pPr>
        <w:spacing w:line="360" w:lineRule="auto"/>
        <w:rPr>
          <w:rFonts w:eastAsia="宋体"/>
          <w:sz w:val="22"/>
          <w:szCs w:val="22"/>
        </w:rPr>
      </w:pPr>
      <w:r w:rsidRPr="00AA7CBE">
        <w:rPr>
          <w:rFonts w:eastAsia="宋体"/>
          <w:b/>
          <w:bCs/>
          <w:sz w:val="22"/>
          <w:szCs w:val="22"/>
          <w:vertAlign w:val="superscript"/>
          <w:lang w:eastAsia="zh-CN"/>
        </w:rPr>
        <w:t>3</w:t>
      </w:r>
      <w:r w:rsidRPr="00AA7CBE">
        <w:rPr>
          <w:rFonts w:eastAsia="宋体"/>
          <w:sz w:val="22"/>
          <w:szCs w:val="22"/>
        </w:rPr>
        <w:t xml:space="preserve">Department of Skin and Breast Tumor, University Clinical Hospital No. 4 affiliated with the First Moscow State Medical University named after I.M. Sechenov, Moscow, Russia Federation. </w:t>
      </w:r>
    </w:p>
    <w:p w14:paraId="665DF54D" w14:textId="77777777" w:rsidR="009777E9" w:rsidRPr="00AA7CBE" w:rsidRDefault="00487C4E">
      <w:pPr>
        <w:spacing w:line="360" w:lineRule="auto"/>
        <w:rPr>
          <w:rFonts w:eastAsia="宋体"/>
          <w:sz w:val="22"/>
          <w:szCs w:val="22"/>
        </w:rPr>
      </w:pPr>
      <w:r w:rsidRPr="00AA7CBE">
        <w:rPr>
          <w:rFonts w:eastAsia="宋体" w:hint="eastAsia"/>
          <w:b/>
          <w:bCs/>
          <w:sz w:val="22"/>
          <w:szCs w:val="22"/>
          <w:vertAlign w:val="superscript"/>
          <w:lang w:eastAsia="zh-CN"/>
        </w:rPr>
        <w:t>4</w:t>
      </w:r>
      <w:r w:rsidRPr="00AA7CBE">
        <w:rPr>
          <w:rFonts w:eastAsia="宋体"/>
          <w:sz w:val="22"/>
          <w:szCs w:val="22"/>
        </w:rPr>
        <w:t>Department of General Surgery, Xuanwu Hospital, Capital Medical University, Beijing 100053, China</w:t>
      </w:r>
    </w:p>
    <w:p w14:paraId="665DF54E" w14:textId="77777777" w:rsidR="009777E9" w:rsidRPr="00AA7CBE" w:rsidRDefault="009777E9">
      <w:pPr>
        <w:spacing w:line="360" w:lineRule="auto"/>
      </w:pPr>
    </w:p>
    <w:p w14:paraId="665DF54F" w14:textId="77777777" w:rsidR="009777E9" w:rsidRPr="00AA7CBE" w:rsidRDefault="00487C4E">
      <w:pPr>
        <w:spacing w:line="360" w:lineRule="auto"/>
      </w:pPr>
      <w:r w:rsidRPr="00AA7CBE">
        <w:t>†These authors contributed equally to this article.</w:t>
      </w:r>
    </w:p>
    <w:p w14:paraId="665DF550" w14:textId="77777777" w:rsidR="009777E9" w:rsidRPr="00AA7CBE" w:rsidRDefault="00487C4E">
      <w:pPr>
        <w:spacing w:line="360" w:lineRule="auto"/>
        <w:rPr>
          <w:rFonts w:eastAsiaTheme="minorEastAsia"/>
          <w:lang w:eastAsia="zh-CN"/>
        </w:rPr>
      </w:pPr>
      <w:bookmarkStart w:id="1" w:name="_heading=h.30j0zll"/>
      <w:bookmarkEnd w:id="1"/>
      <w:r w:rsidRPr="00AA7CBE">
        <w:rPr>
          <w:vertAlign w:val="superscript"/>
        </w:rPr>
        <w:t>*</w:t>
      </w:r>
      <w:r w:rsidRPr="00AA7CBE">
        <w:t>Corresponding authors</w:t>
      </w:r>
      <w:r w:rsidRPr="00AA7CBE">
        <w:rPr>
          <w:rFonts w:eastAsiaTheme="minorEastAsia" w:hint="eastAsia"/>
          <w:lang w:eastAsia="zh-CN"/>
        </w:rPr>
        <w:t>:</w:t>
      </w:r>
    </w:p>
    <w:p w14:paraId="665DF551" w14:textId="77777777" w:rsidR="009777E9" w:rsidRPr="00AA7CBE" w:rsidRDefault="00487C4E">
      <w:pPr>
        <w:spacing w:line="360" w:lineRule="auto"/>
      </w:pPr>
      <w:r w:rsidRPr="00AA7CBE">
        <w:rPr>
          <w:b/>
          <w:bCs/>
        </w:rPr>
        <w:t>Jing Wang</w:t>
      </w:r>
      <w:r w:rsidRPr="00AA7CBE">
        <w:t xml:space="preserve">, Department of Breast Surgical Oncology, National Cancer Center/National Clinical Research Center for Cancer/Cancer Hospital, Chinese Academy of Medical Sciences and Peking Union Medical College, Beijing, 100021, China (E-mail: </w:t>
      </w:r>
      <w:hyperlink r:id="rId7" w:history="1">
        <w:r w:rsidRPr="00AA7CBE">
          <w:t>wangjing@cicams.ac.cn</w:t>
        </w:r>
      </w:hyperlink>
      <w:r w:rsidRPr="00AA7CBE">
        <w:t xml:space="preserve">) </w:t>
      </w:r>
    </w:p>
    <w:p w14:paraId="665DF552" w14:textId="77777777" w:rsidR="009777E9" w:rsidRPr="00AA7CBE" w:rsidRDefault="00487C4E">
      <w:pPr>
        <w:spacing w:line="360" w:lineRule="auto"/>
        <w:rPr>
          <w:rFonts w:eastAsiaTheme="minorEastAsia"/>
          <w:lang w:eastAsia="zh-CN"/>
        </w:rPr>
      </w:pPr>
      <w:r w:rsidRPr="00AA7CBE">
        <w:rPr>
          <w:rFonts w:eastAsiaTheme="minorEastAsia" w:hint="eastAsia"/>
          <w:b/>
          <w:bCs/>
          <w:lang w:eastAsia="zh-CN"/>
        </w:rPr>
        <w:t>Xiangyi Kong</w:t>
      </w:r>
      <w:r w:rsidRPr="00AA7CBE">
        <w:t xml:space="preserve">, Department of Breast Surgical Oncology, National Cancer Center/National Clinical Research Center for Cancer/Cancer Hospital, Chinese Academy of Medical Sciences and Peking Union Medical College, Beijing, 100021, China (E-mail: </w:t>
      </w:r>
      <w:hyperlink r:id="rId8" w:history="1">
        <w:r w:rsidRPr="00AA7CBE">
          <w:rPr>
            <w:rStyle w:val="af3"/>
            <w:color w:val="auto"/>
          </w:rPr>
          <w:t>kongxiangyikxy@gma</w:t>
        </w:r>
        <w:r w:rsidRPr="00AA7CBE">
          <w:rPr>
            <w:rStyle w:val="af3"/>
            <w:rFonts w:eastAsiaTheme="minorEastAsia" w:hint="eastAsia"/>
            <w:color w:val="auto"/>
            <w:lang w:eastAsia="zh-CN"/>
          </w:rPr>
          <w:t>i</w:t>
        </w:r>
        <w:r w:rsidRPr="00AA7CBE">
          <w:rPr>
            <w:rStyle w:val="af3"/>
            <w:color w:val="auto"/>
          </w:rPr>
          <w:t>l.com</w:t>
        </w:r>
      </w:hyperlink>
      <w:r w:rsidRPr="00AA7CBE">
        <w:rPr>
          <w:rFonts w:eastAsiaTheme="minorEastAsia" w:hint="eastAsia"/>
          <w:lang w:eastAsia="zh-CN"/>
        </w:rPr>
        <w:t>)</w:t>
      </w:r>
    </w:p>
    <w:p w14:paraId="665DF553" w14:textId="77777777" w:rsidR="009777E9" w:rsidRPr="00AA7CBE" w:rsidRDefault="00487C4E">
      <w:pPr>
        <w:spacing w:line="360" w:lineRule="auto"/>
      </w:pPr>
      <w:r w:rsidRPr="00AA7CBE">
        <w:rPr>
          <w:rFonts w:eastAsiaTheme="minorEastAsia" w:hint="eastAsia"/>
          <w:b/>
          <w:bCs/>
          <w:lang w:eastAsia="zh-CN"/>
        </w:rPr>
        <w:t>Zhongzhao</w:t>
      </w:r>
      <w:r w:rsidRPr="00AA7CBE">
        <w:rPr>
          <w:b/>
          <w:bCs/>
        </w:rPr>
        <w:t xml:space="preserve"> Wang</w:t>
      </w:r>
      <w:r w:rsidRPr="00AA7CBE">
        <w:t xml:space="preserve">, Department of Breast Surgical Oncology, National Cancer Center/National Clinical Research Center for Cancer/Cancer Hospital, Chinese Academy of Medical Sciences and Peking Union Medical College, Beijing, 100021, China (E-mail: wangzhongzhao206@sina.com) </w:t>
      </w:r>
    </w:p>
    <w:p w14:paraId="665DF554" w14:textId="77777777" w:rsidR="009777E9" w:rsidRPr="00AA7CBE" w:rsidRDefault="009777E9">
      <w:pPr>
        <w:spacing w:line="360" w:lineRule="auto"/>
        <w:rPr>
          <w:rFonts w:eastAsiaTheme="minorEastAsia"/>
          <w:bCs/>
          <w:lang w:eastAsia="zh-CN"/>
        </w:rPr>
      </w:pPr>
    </w:p>
    <w:p w14:paraId="665DF555" w14:textId="77777777" w:rsidR="009777E9" w:rsidRPr="00AA7CBE" w:rsidRDefault="00487C4E">
      <w:pPr>
        <w:pStyle w:val="Addresses"/>
        <w:spacing w:line="360" w:lineRule="auto"/>
        <w:rPr>
          <w:rFonts w:eastAsiaTheme="minorEastAsia"/>
          <w:lang w:eastAsia="zh-CN"/>
        </w:rPr>
      </w:pPr>
      <w:r w:rsidRPr="00AA7CBE">
        <w:rPr>
          <w:b/>
        </w:rPr>
        <w:t>Keywords:</w:t>
      </w:r>
      <w:r w:rsidRPr="00AA7CBE">
        <w:t xml:space="preserve"> CD73, Breast cancer, STING agonist, Antibody–polymer conjugate, Cancer immunotherapy</w:t>
      </w:r>
    </w:p>
    <w:p w14:paraId="665DF556" w14:textId="096CAD03" w:rsidR="009777E9" w:rsidRPr="00AA7CBE" w:rsidRDefault="00AA1E68" w:rsidP="00AA1E68">
      <w:pPr>
        <w:jc w:val="center"/>
        <w:rPr>
          <w:szCs w:val="28"/>
        </w:rPr>
      </w:pPr>
      <w:r w:rsidRPr="00AA7CBE">
        <w:rPr>
          <w:noProof/>
        </w:rPr>
        <w:lastRenderedPageBreak/>
        <w:drawing>
          <wp:inline distT="0" distB="0" distL="0" distR="0" wp14:anchorId="56604162" wp14:editId="6102CF73">
            <wp:extent cx="5414737" cy="2216150"/>
            <wp:effectExtent l="0" t="0" r="0" b="0"/>
            <wp:docPr id="10520886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120" cy="222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57" w14:textId="77777777" w:rsidR="009777E9" w:rsidRPr="00AA7CBE" w:rsidRDefault="00487C4E">
      <w:pPr>
        <w:spacing w:afterLines="100" w:after="240" w:line="360" w:lineRule="auto"/>
        <w:jc w:val="both"/>
        <w:rPr>
          <w:rFonts w:eastAsia="等线"/>
          <w:szCs w:val="28"/>
        </w:rPr>
      </w:pPr>
      <w:bookmarkStart w:id="2" w:name="OLE_LINK2"/>
      <w:r w:rsidRPr="00AA7CBE">
        <w:rPr>
          <w:b/>
          <w:bCs/>
          <w:szCs w:val="28"/>
        </w:rPr>
        <w:t>Fig</w:t>
      </w:r>
      <w:r w:rsidRPr="00AA7CBE">
        <w:rPr>
          <w:rFonts w:eastAsia="等线"/>
          <w:b/>
          <w:bCs/>
          <w:szCs w:val="28"/>
        </w:rPr>
        <w:t>.</w:t>
      </w:r>
      <w:r w:rsidRPr="00AA7CBE">
        <w:rPr>
          <w:b/>
          <w:bCs/>
          <w:szCs w:val="28"/>
        </w:rPr>
        <w:t xml:space="preserve"> S1</w:t>
      </w:r>
      <w:r w:rsidRPr="00AA7CBE">
        <w:rPr>
          <w:rFonts w:eastAsia="宋体" w:hint="eastAsia"/>
          <w:b/>
          <w:bCs/>
          <w:szCs w:val="28"/>
        </w:rPr>
        <w:t xml:space="preserve"> </w:t>
      </w:r>
      <w:r w:rsidRPr="00AA7CBE">
        <w:rPr>
          <w:rFonts w:eastAsia="宋体"/>
          <w:szCs w:val="28"/>
        </w:rPr>
        <w:t>STING activation induces CD73 upregulation</w:t>
      </w:r>
      <w:r w:rsidRPr="00AA7CBE">
        <w:rPr>
          <w:rFonts w:hint="eastAsia"/>
        </w:rPr>
        <w:t xml:space="preserve"> </w:t>
      </w:r>
      <w:r w:rsidRPr="00AA7CBE">
        <w:rPr>
          <w:rFonts w:eastAsia="宋体"/>
          <w:i/>
          <w:iCs/>
          <w:szCs w:val="28"/>
        </w:rPr>
        <w:t>in vivo</w:t>
      </w:r>
      <w:r w:rsidRPr="00AA7CBE">
        <w:rPr>
          <w:rFonts w:eastAsia="宋体"/>
          <w:szCs w:val="28"/>
        </w:rPr>
        <w:t>.</w:t>
      </w:r>
      <w:r w:rsidRPr="00AA7CBE">
        <w:rPr>
          <w:rFonts w:eastAsia="等线"/>
          <w:szCs w:val="28"/>
        </w:rPr>
        <w:t xml:space="preserve"> A)</w:t>
      </w:r>
      <w:r w:rsidRPr="00AA7CBE">
        <w:rPr>
          <w:rFonts w:eastAsia="等线" w:hint="eastAsia"/>
          <w:szCs w:val="28"/>
        </w:rPr>
        <w:t xml:space="preserve"> </w:t>
      </w:r>
      <w:r w:rsidRPr="00AA7CBE">
        <w:rPr>
          <w:szCs w:val="28"/>
        </w:rPr>
        <w:t xml:space="preserve">Typical flow cytometry plots illustrating the proportion of </w:t>
      </w:r>
      <w:r w:rsidRPr="00AA7CBE">
        <w:rPr>
          <w:rFonts w:hint="eastAsia"/>
          <w:szCs w:val="28"/>
        </w:rPr>
        <w:t>CD73</w:t>
      </w:r>
      <w:r w:rsidRPr="00AA7CBE">
        <w:rPr>
          <w:szCs w:val="28"/>
          <w:vertAlign w:val="superscript"/>
        </w:rPr>
        <w:t>+</w:t>
      </w:r>
      <w:r w:rsidRPr="00AA7CBE">
        <w:t xml:space="preserve"> cells in tumor tissues</w:t>
      </w:r>
      <w:r w:rsidRPr="00AA7CBE">
        <w:rPr>
          <w:szCs w:val="28"/>
        </w:rPr>
        <w:t>.</w:t>
      </w:r>
      <w:r w:rsidRPr="00AA7CBE">
        <w:rPr>
          <w:rFonts w:eastAsia="等线"/>
          <w:szCs w:val="28"/>
        </w:rPr>
        <w:t xml:space="preserve"> </w:t>
      </w:r>
      <w:r w:rsidRPr="00AA7CBE">
        <w:rPr>
          <w:rFonts w:eastAsia="等线" w:hint="eastAsia"/>
          <w:szCs w:val="28"/>
        </w:rPr>
        <w:t>B</w:t>
      </w:r>
      <w:r w:rsidRPr="00AA7CBE">
        <w:rPr>
          <w:rFonts w:eastAsia="等线"/>
          <w:szCs w:val="28"/>
        </w:rPr>
        <w:t>)</w:t>
      </w:r>
      <w:r w:rsidRPr="00AA7CBE">
        <w:rPr>
          <w:rFonts w:hint="eastAsia"/>
        </w:rPr>
        <w:t xml:space="preserve"> </w:t>
      </w:r>
      <w:r w:rsidRPr="00AA7CBE">
        <w:rPr>
          <w:rFonts w:eastAsia="等线"/>
          <w:szCs w:val="28"/>
        </w:rPr>
        <w:t xml:space="preserve">Statistical results of percentages </w:t>
      </w:r>
      <w:r w:rsidRPr="00AA7CBE">
        <w:rPr>
          <w:rFonts w:eastAsia="等线" w:hint="eastAsia"/>
          <w:szCs w:val="28"/>
        </w:rPr>
        <w:t xml:space="preserve">for </w:t>
      </w:r>
      <w:r w:rsidRPr="00AA7CBE">
        <w:rPr>
          <w:rFonts w:hint="eastAsia"/>
          <w:szCs w:val="28"/>
        </w:rPr>
        <w:t>CD73</w:t>
      </w:r>
      <w:r w:rsidRPr="00AA7CBE">
        <w:rPr>
          <w:szCs w:val="28"/>
          <w:vertAlign w:val="superscript"/>
        </w:rPr>
        <w:t>+</w:t>
      </w:r>
      <w:r w:rsidRPr="00AA7CBE">
        <w:rPr>
          <w:szCs w:val="28"/>
        </w:rPr>
        <w:t xml:space="preserve"> </w:t>
      </w:r>
      <w:r w:rsidRPr="00AA7CBE">
        <w:t>cells in tumor tissues</w:t>
      </w:r>
      <w:r w:rsidRPr="00AA7CBE">
        <w:rPr>
          <w:rFonts w:eastAsia="等线"/>
          <w:szCs w:val="28"/>
        </w:rPr>
        <w:t>.</w:t>
      </w:r>
      <w:r w:rsidRPr="00AA7CBE">
        <w:rPr>
          <w:rFonts w:eastAsia="等线"/>
        </w:rPr>
        <w:t xml:space="preserve"> </w:t>
      </w:r>
      <w:r w:rsidRPr="00AA7CBE">
        <w:rPr>
          <w:rFonts w:eastAsia="等线"/>
          <w:szCs w:val="28"/>
        </w:rPr>
        <w:t xml:space="preserve">Data are presented as mean ± SD. </w:t>
      </w:r>
      <w:r w:rsidRPr="00AA7CBE">
        <w:rPr>
          <w:rFonts w:eastAsia="等线"/>
          <w:szCs w:val="28"/>
          <w:vertAlign w:val="superscript"/>
        </w:rPr>
        <w:t>*</w:t>
      </w:r>
      <w:r w:rsidRPr="00AA7CBE">
        <w:rPr>
          <w:rFonts w:eastAsia="等线"/>
          <w:i/>
          <w:iCs/>
          <w:szCs w:val="28"/>
        </w:rPr>
        <w:t xml:space="preserve">p &lt; </w:t>
      </w:r>
      <w:r w:rsidRPr="00AA7CBE">
        <w:rPr>
          <w:rFonts w:eastAsia="等线"/>
          <w:szCs w:val="28"/>
        </w:rPr>
        <w:t>0.05</w:t>
      </w:r>
      <w:r w:rsidRPr="00AA7CBE">
        <w:rPr>
          <w:rFonts w:eastAsia="等线" w:hint="eastAsia"/>
          <w:szCs w:val="28"/>
        </w:rPr>
        <w:t>.</w:t>
      </w:r>
    </w:p>
    <w:bookmarkEnd w:id="2"/>
    <w:p w14:paraId="665DF558" w14:textId="77777777" w:rsidR="009777E9" w:rsidRPr="00AA7CBE" w:rsidRDefault="00487C4E">
      <w:pPr>
        <w:spacing w:afterLines="100" w:after="240" w:line="360" w:lineRule="auto"/>
        <w:jc w:val="center"/>
        <w:rPr>
          <w:rFonts w:eastAsia="等线"/>
          <w:szCs w:val="28"/>
        </w:rPr>
      </w:pPr>
      <w:r w:rsidRPr="00AA7CBE">
        <w:rPr>
          <w:rFonts w:eastAsia="宋体"/>
          <w:b/>
          <w:bCs/>
          <w:noProof/>
          <w:lang w:eastAsia="zh-CN"/>
        </w:rPr>
        <w:drawing>
          <wp:inline distT="0" distB="0" distL="0" distR="0" wp14:anchorId="665DF595" wp14:editId="665DF596">
            <wp:extent cx="5760720" cy="3168015"/>
            <wp:effectExtent l="0" t="0" r="5080" b="6985"/>
            <wp:docPr id="11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59" w14:textId="77777777" w:rsidR="009777E9" w:rsidRPr="00AA7CBE" w:rsidRDefault="00487C4E">
      <w:pPr>
        <w:spacing w:line="360" w:lineRule="auto"/>
        <w:jc w:val="both"/>
        <w:rPr>
          <w:rFonts w:eastAsia="等线"/>
          <w:lang w:eastAsia="zh-CN"/>
        </w:rPr>
      </w:pPr>
      <w:r w:rsidRPr="00AA7CBE">
        <w:rPr>
          <w:b/>
        </w:rPr>
        <w:t xml:space="preserve">Fig. S2 </w:t>
      </w:r>
      <w:r w:rsidRPr="00AA7CBE">
        <w:rPr>
          <w:rFonts w:eastAsiaTheme="minorEastAsia" w:hint="eastAsia"/>
          <w:bCs/>
          <w:lang w:eastAsia="zh-CN"/>
        </w:rPr>
        <w:t>The</w:t>
      </w:r>
      <w:r w:rsidRPr="00AA7CBE">
        <w:rPr>
          <w:rFonts w:eastAsiaTheme="minorEastAsia"/>
          <w:bCs/>
          <w:lang w:eastAsia="zh-CN"/>
        </w:rPr>
        <w:t xml:space="preserve"> </w:t>
      </w:r>
      <w:r w:rsidRPr="00AA7CBE">
        <w:rPr>
          <w:rFonts w:eastAsiaTheme="minorEastAsia"/>
          <w:lang w:eastAsia="zh-CN"/>
        </w:rPr>
        <w:t>e</w:t>
      </w:r>
      <w:r w:rsidRPr="00AA7CBE">
        <w:t>xpression of MHC-II and CD80/CD86 on the surface of BMDCs after incubation for 4 h with conditioned medium from 4T1 cells treated with PBS (G1), αCD73 (G2), MSA-2 (G3), or αCD73 + MSA-2 (G4), as analyzed by flow cytometry (</w:t>
      </w:r>
      <w:r w:rsidRPr="00AA7CBE">
        <w:rPr>
          <w:i/>
        </w:rPr>
        <w:t>n</w:t>
      </w:r>
      <w:r w:rsidRPr="00AA7CBE">
        <w:t xml:space="preserve"> = 3). Data are presented as mean ± SD. </w:t>
      </w:r>
      <w:r w:rsidRPr="00AA7CBE">
        <w:rPr>
          <w:vertAlign w:val="superscript"/>
        </w:rPr>
        <w:t>***</w:t>
      </w:r>
      <w:r w:rsidRPr="00AA7CBE">
        <w:rPr>
          <w:i/>
        </w:rPr>
        <w:t>p</w:t>
      </w:r>
      <w:r w:rsidRPr="00AA7CBE">
        <w:t xml:space="preserve"> &lt; 0.001 and </w:t>
      </w:r>
      <w:r w:rsidRPr="00AA7CBE">
        <w:rPr>
          <w:vertAlign w:val="superscript"/>
        </w:rPr>
        <w:t>****</w:t>
      </w:r>
      <w:r w:rsidRPr="00AA7CBE">
        <w:rPr>
          <w:i/>
        </w:rPr>
        <w:t>p</w:t>
      </w:r>
      <w:r w:rsidRPr="00AA7CBE">
        <w:t xml:space="preserve"> &lt; 0.0001.</w:t>
      </w:r>
    </w:p>
    <w:p w14:paraId="665DF55A" w14:textId="77777777" w:rsidR="009777E9" w:rsidRPr="00AA7CBE" w:rsidRDefault="00487C4E">
      <w:pPr>
        <w:spacing w:line="360" w:lineRule="auto"/>
        <w:jc w:val="center"/>
        <w:rPr>
          <w:rFonts w:eastAsia="等线"/>
          <w:lang w:eastAsia="zh-CN"/>
        </w:rPr>
      </w:pPr>
      <w:r w:rsidRPr="00AA7CBE">
        <w:rPr>
          <w:noProof/>
        </w:rPr>
        <w:lastRenderedPageBreak/>
        <w:drawing>
          <wp:inline distT="0" distB="0" distL="0" distR="0" wp14:anchorId="665DF597" wp14:editId="665DF598">
            <wp:extent cx="5274310" cy="1666240"/>
            <wp:effectExtent l="0" t="0" r="8890" b="10160"/>
            <wp:docPr id="13" name="图片 16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6" descr="图表, 条形图&#10;&#10;描述已自动生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5B" w14:textId="77777777" w:rsidR="009777E9" w:rsidRPr="00AA7CBE" w:rsidRDefault="00487C4E">
      <w:pPr>
        <w:spacing w:line="360" w:lineRule="auto"/>
        <w:rPr>
          <w:lang w:eastAsia="zh-CN"/>
        </w:rPr>
      </w:pPr>
      <w:r w:rsidRPr="00AA7CBE">
        <w:rPr>
          <w:rFonts w:eastAsia="等线"/>
          <w:b/>
          <w:bCs/>
          <w:lang w:eastAsia="zh-CN"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rFonts w:eastAsia="等线"/>
          <w:b/>
          <w:bCs/>
          <w:lang w:eastAsia="zh-CN"/>
        </w:rPr>
        <w:t xml:space="preserve"> S3</w:t>
      </w:r>
      <w:r w:rsidRPr="00AA7CBE">
        <w:rPr>
          <w:rFonts w:eastAsia="等线"/>
          <w:lang w:eastAsia="zh-CN"/>
        </w:rPr>
        <w:t xml:space="preserve"> </w:t>
      </w:r>
      <w:r w:rsidRPr="00AA7CBE">
        <w:rPr>
          <w:rFonts w:eastAsia="等线" w:hint="eastAsia"/>
          <w:lang w:eastAsia="zh-CN"/>
        </w:rPr>
        <w:t>C</w:t>
      </w:r>
      <w:r w:rsidRPr="00AA7CBE">
        <w:rPr>
          <w:lang w:eastAsia="zh-CN"/>
        </w:rPr>
        <w:t xml:space="preserve">orresponding densitometric quantification of </w:t>
      </w:r>
      <w:r w:rsidRPr="00AA7CBE">
        <w:rPr>
          <w:rFonts w:eastAsia="等线" w:hint="eastAsia"/>
          <w:lang w:eastAsia="zh-CN"/>
        </w:rPr>
        <w:t>STING</w:t>
      </w:r>
      <w:r w:rsidRPr="00AA7CBE">
        <w:rPr>
          <w:lang w:eastAsia="zh-CN"/>
        </w:rPr>
        <w:t xml:space="preserve"> signaling proteins isolated from BMDCs.</w:t>
      </w:r>
    </w:p>
    <w:p w14:paraId="665DF55C" w14:textId="77777777" w:rsidR="009777E9" w:rsidRPr="00AA7CBE" w:rsidRDefault="00487C4E">
      <w:pPr>
        <w:spacing w:line="360" w:lineRule="auto"/>
        <w:jc w:val="center"/>
        <w:rPr>
          <w:rFonts w:eastAsia="等线"/>
          <w:lang w:eastAsia="zh-CN"/>
        </w:rPr>
      </w:pPr>
      <w:r w:rsidRPr="00AA7CBE">
        <w:rPr>
          <w:rFonts w:eastAsia="等线"/>
          <w:noProof/>
          <w:lang w:eastAsia="zh-CN"/>
        </w:rPr>
        <w:drawing>
          <wp:inline distT="0" distB="0" distL="114300" distR="114300" wp14:anchorId="665DF599" wp14:editId="665DF59A">
            <wp:extent cx="3942715" cy="2447925"/>
            <wp:effectExtent l="0" t="0" r="6985" b="3175"/>
            <wp:docPr id="1" name="图片 1" descr="表征   吉哥  2026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表征   吉哥  202602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5937" cy="245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5D" w14:textId="77777777" w:rsidR="009777E9" w:rsidRPr="00AA7CBE" w:rsidRDefault="00487C4E">
      <w:pPr>
        <w:spacing w:line="360" w:lineRule="auto"/>
        <w:jc w:val="center"/>
        <w:rPr>
          <w:rFonts w:eastAsia="等线"/>
          <w:lang w:eastAsia="zh-CN"/>
        </w:rPr>
      </w:pPr>
      <w:r w:rsidRPr="00AA7CBE">
        <w:rPr>
          <w:rFonts w:eastAsia="等线"/>
          <w:b/>
          <w:bCs/>
          <w:lang w:eastAsia="zh-CN"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rFonts w:eastAsia="等线"/>
          <w:b/>
          <w:bCs/>
          <w:lang w:eastAsia="zh-CN"/>
        </w:rPr>
        <w:t xml:space="preserve"> S4</w:t>
      </w:r>
      <w:r w:rsidRPr="00AA7CBE">
        <w:rPr>
          <w:rFonts w:eastAsia="等线"/>
          <w:lang w:eastAsia="zh-CN"/>
        </w:rPr>
        <w:t xml:space="preserve"> </w:t>
      </w:r>
      <w:r w:rsidRPr="00AA7CBE">
        <w:rPr>
          <w:rFonts w:eastAsia="等线"/>
          <w:vertAlign w:val="superscript"/>
          <w:lang w:eastAsia="zh-CN"/>
        </w:rPr>
        <w:t>1</w:t>
      </w:r>
      <w:r w:rsidRPr="00AA7CBE">
        <w:rPr>
          <w:rFonts w:eastAsia="等线"/>
          <w:lang w:eastAsia="zh-CN"/>
        </w:rPr>
        <w:t>H</w:t>
      </w:r>
      <w:r w:rsidRPr="00AA7CBE">
        <w:rPr>
          <w:rFonts w:eastAsia="等线" w:hint="eastAsia"/>
          <w:lang w:eastAsia="zh-CN"/>
        </w:rPr>
        <w:t xml:space="preserve"> </w:t>
      </w:r>
      <w:r w:rsidRPr="00AA7CBE">
        <w:rPr>
          <w:rFonts w:eastAsia="等线"/>
          <w:lang w:eastAsia="zh-CN"/>
        </w:rPr>
        <w:t>NMR spectrum of poly(</w:t>
      </w:r>
      <w:r w:rsidRPr="00AA7CBE">
        <w:rPr>
          <w:rFonts w:eastAsia="等线"/>
          <w:i/>
          <w:iCs/>
          <w:vertAlign w:val="subscript"/>
          <w:lang w:eastAsia="zh-CN"/>
        </w:rPr>
        <w:t>L</w:t>
      </w:r>
      <w:r w:rsidRPr="00AA7CBE">
        <w:rPr>
          <w:rFonts w:eastAsia="等线"/>
          <w:lang w:eastAsia="zh-CN"/>
        </w:rPr>
        <w:t>-glutamic acid) (PLG) in D</w:t>
      </w:r>
      <w:r w:rsidRPr="00AA7CBE">
        <w:rPr>
          <w:rFonts w:eastAsia="等线"/>
          <w:vertAlign w:val="subscript"/>
          <w:lang w:eastAsia="zh-CN"/>
        </w:rPr>
        <w:t>2</w:t>
      </w:r>
      <w:r w:rsidRPr="00AA7CBE">
        <w:rPr>
          <w:rFonts w:eastAsia="等线"/>
          <w:lang w:eastAsia="zh-CN"/>
        </w:rPr>
        <w:t>O.</w:t>
      </w:r>
    </w:p>
    <w:p w14:paraId="665DF55E" w14:textId="77777777" w:rsidR="009777E9" w:rsidRPr="00AA7CBE" w:rsidRDefault="009777E9">
      <w:pPr>
        <w:spacing w:line="360" w:lineRule="auto"/>
        <w:jc w:val="center"/>
        <w:rPr>
          <w:rFonts w:eastAsia="等线"/>
          <w:lang w:eastAsia="zh-CN"/>
        </w:rPr>
      </w:pPr>
    </w:p>
    <w:p w14:paraId="665DF55F" w14:textId="77777777" w:rsidR="009777E9" w:rsidRPr="00AA7CBE" w:rsidRDefault="00487C4E">
      <w:pPr>
        <w:spacing w:line="360" w:lineRule="auto"/>
        <w:jc w:val="center"/>
        <w:rPr>
          <w:rFonts w:eastAsia="宋体"/>
          <w:lang w:eastAsia="zh-CN"/>
        </w:rPr>
      </w:pPr>
      <w:r w:rsidRPr="00AA7CBE">
        <w:rPr>
          <w:noProof/>
        </w:rPr>
        <w:drawing>
          <wp:inline distT="0" distB="0" distL="0" distR="0" wp14:anchorId="665DF59B" wp14:editId="665DF59C">
            <wp:extent cx="2162175" cy="1358900"/>
            <wp:effectExtent l="0" t="0" r="0" b="0"/>
            <wp:docPr id="1006212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12481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7564" cy="1362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60" w14:textId="77777777" w:rsidR="009777E9" w:rsidRPr="00AA7CBE" w:rsidRDefault="00487C4E">
      <w:pPr>
        <w:spacing w:line="360" w:lineRule="auto"/>
        <w:jc w:val="both"/>
      </w:pPr>
      <w:r w:rsidRPr="00AA7CBE">
        <w:rPr>
          <w:b/>
        </w:rPr>
        <w:t xml:space="preserve">Fig. S5 </w:t>
      </w:r>
      <w:r w:rsidRPr="00AA7CBE">
        <w:t>Molecular weights of αCD73, NPLG-PTM2, and αCD73-NPLG-PTM2 determined by AF4-MALS. The marked increase in molecular weight after conjugation confirmed the successful conjugation of NPLG-PTM2 to the antibody.</w:t>
      </w:r>
    </w:p>
    <w:p w14:paraId="665DF561" w14:textId="2CD6F0DC" w:rsidR="009777E9" w:rsidRPr="00AA7CBE" w:rsidRDefault="00D65D9D">
      <w:pPr>
        <w:spacing w:line="360" w:lineRule="auto"/>
        <w:rPr>
          <w:rFonts w:eastAsia="等线"/>
          <w:lang w:eastAsia="zh-CN"/>
        </w:rPr>
      </w:pPr>
      <w:r>
        <w:rPr>
          <w:noProof/>
        </w:rPr>
        <w:lastRenderedPageBreak/>
        <w:drawing>
          <wp:inline distT="0" distB="0" distL="0" distR="0" wp14:anchorId="4CE2F5EC" wp14:editId="5504CEB4">
            <wp:extent cx="5760720" cy="3794163"/>
            <wp:effectExtent l="0" t="0" r="0" b="0"/>
            <wp:docPr id="202261193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62" w14:textId="77777777" w:rsidR="009777E9" w:rsidRPr="00AA7CBE" w:rsidRDefault="00487C4E">
      <w:pPr>
        <w:spacing w:line="360" w:lineRule="auto"/>
        <w:jc w:val="both"/>
      </w:pPr>
      <w:r w:rsidRPr="00AA7CBE">
        <w:rPr>
          <w:b/>
        </w:rPr>
        <w:t xml:space="preserve">Fig. S6 </w:t>
      </w:r>
      <w:r w:rsidRPr="00AA7CBE">
        <w:t>Orthogonal UV-Vis/BCA assessment of the average payload-to-antibody ratio. (A</w:t>
      </w:r>
      <w:r w:rsidRPr="00AA7CBE">
        <w:rPr>
          <w:rFonts w:eastAsiaTheme="minorEastAsia" w:hint="eastAsia"/>
          <w:lang w:eastAsia="zh-CN"/>
        </w:rPr>
        <w:t>-</w:t>
      </w:r>
      <w:r w:rsidRPr="00AA7CBE">
        <w:t>B) UV-Vis absorption spectra of MSA-2 and TK-MSA-2 at the indicated concentrations in PBS. Both compounds show a characteristic peak at 330 nm. (C) The αCD73 spectrum demonstrates negligible absorbance at 330 nm. (D</w:t>
      </w:r>
      <w:r w:rsidRPr="00AA7CBE">
        <w:rPr>
          <w:rFonts w:eastAsiaTheme="minorEastAsia" w:hint="eastAsia"/>
          <w:lang w:eastAsia="zh-CN"/>
        </w:rPr>
        <w:t>-</w:t>
      </w:r>
      <w:r w:rsidRPr="00AA7CBE">
        <w:t>E) Corresponding standard curves at 330 nm for MSA-2 and TK-MSA-2 (R</w:t>
      </w:r>
      <w:r w:rsidRPr="00AA7CBE">
        <w:rPr>
          <w:vertAlign w:val="superscript"/>
        </w:rPr>
        <w:t>2</w:t>
      </w:r>
      <w:r w:rsidRPr="00AA7CBE">
        <w:t xml:space="preserve"> &gt; 0.996). (F) The A280 standard curve of αCD73 is shown for spectral characterization; the αCD73 concentration used for payload-to-antibody ratio calculation was independently determined by the BCA protein assay.</w:t>
      </w:r>
    </w:p>
    <w:p w14:paraId="665DF563" w14:textId="77777777" w:rsidR="009777E9" w:rsidRPr="00AA7CBE" w:rsidRDefault="00487C4E">
      <w:pPr>
        <w:spacing w:line="360" w:lineRule="auto"/>
        <w:jc w:val="center"/>
        <w:rPr>
          <w:rFonts w:eastAsia="宋体"/>
          <w:lang w:eastAsia="zh-CN"/>
        </w:rPr>
      </w:pPr>
      <w:r w:rsidRPr="00AA7CBE">
        <w:rPr>
          <w:rFonts w:eastAsia="宋体"/>
          <w:noProof/>
          <w:lang w:eastAsia="zh-CN"/>
        </w:rPr>
        <w:drawing>
          <wp:inline distT="0" distB="0" distL="0" distR="0" wp14:anchorId="665DF59F" wp14:editId="665DF5A0">
            <wp:extent cx="5760720" cy="2274570"/>
            <wp:effectExtent l="0" t="0" r="0" b="0"/>
            <wp:docPr id="4" name="图片 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9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64" w14:textId="77777777" w:rsidR="009777E9" w:rsidRPr="00AA7CBE" w:rsidRDefault="00487C4E">
      <w:pPr>
        <w:spacing w:line="360" w:lineRule="auto"/>
        <w:jc w:val="both"/>
      </w:pPr>
      <w:bookmarkStart w:id="3" w:name="OLE_LINK24"/>
      <w:r w:rsidRPr="00AA7CBE">
        <w:rPr>
          <w:b/>
        </w:rPr>
        <w:t xml:space="preserve">Fig. S7 </w:t>
      </w:r>
      <w:r w:rsidRPr="00AA7CBE">
        <w:t>SPR analysis of the binding of free αCD73</w:t>
      </w:r>
      <w:r w:rsidRPr="00AA7CBE">
        <w:rPr>
          <w:rFonts w:eastAsia="宋体" w:hint="eastAsia"/>
          <w:lang w:val="en-US" w:eastAsia="zh-CN"/>
        </w:rPr>
        <w:t xml:space="preserve"> (A)</w:t>
      </w:r>
      <w:r w:rsidRPr="00AA7CBE">
        <w:t xml:space="preserve"> and αCD73-NPLG-PTM2</w:t>
      </w:r>
      <w:r w:rsidRPr="00AA7CBE">
        <w:rPr>
          <w:rFonts w:eastAsia="宋体" w:hint="eastAsia"/>
          <w:lang w:val="en-US" w:eastAsia="zh-CN"/>
        </w:rPr>
        <w:t xml:space="preserve"> (B)</w:t>
      </w:r>
      <w:r w:rsidRPr="00AA7CBE">
        <w:t xml:space="preserve"> to CD73. Both retained high-affinity binding with comparable equilibrium dissociation constants (K</w:t>
      </w:r>
      <w:r w:rsidRPr="00AA7CBE">
        <w:rPr>
          <w:rFonts w:hint="eastAsia"/>
        </w:rPr>
        <w:t>d</w:t>
      </w:r>
      <w:r w:rsidRPr="00AA7CBE">
        <w:t xml:space="preserve"> = 2.10 nM and 3.27 nM, respectively), indicating preserved antigen recognition after conjugation.</w:t>
      </w:r>
    </w:p>
    <w:bookmarkEnd w:id="3"/>
    <w:p w14:paraId="239E801E" w14:textId="0ADB024D" w:rsidR="005E665D" w:rsidRDefault="005E665D" w:rsidP="005E665D">
      <w:pPr>
        <w:spacing w:line="360" w:lineRule="auto"/>
        <w:jc w:val="center"/>
        <w:rPr>
          <w:rFonts w:eastAsia="宋体"/>
          <w:noProof/>
          <w:lang w:eastAsia="zh-CN"/>
        </w:rPr>
      </w:pPr>
      <w:r w:rsidRPr="00CC00D8">
        <w:rPr>
          <w:noProof/>
          <w:lang w:val="en-US"/>
        </w:rPr>
        <w:lastRenderedPageBreak/>
        <w:drawing>
          <wp:inline distT="0" distB="0" distL="0" distR="0" wp14:anchorId="0EF40B75" wp14:editId="436845EB">
            <wp:extent cx="5495892" cy="1770122"/>
            <wp:effectExtent l="0" t="0" r="0" b="1905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E32B4231-237F-6E0B-629B-D148293E85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E32B4231-237F-6E0B-629B-D148293E85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1639" cy="177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65" w14:textId="221B6937" w:rsidR="009777E9" w:rsidRPr="00AA7CBE" w:rsidRDefault="00487C4E">
      <w:pPr>
        <w:spacing w:line="360" w:lineRule="auto"/>
        <w:jc w:val="both"/>
      </w:pPr>
      <w:r w:rsidRPr="00AA7CBE">
        <w:rPr>
          <w:b/>
        </w:rPr>
        <w:t>Fig. S</w:t>
      </w:r>
      <w:r w:rsidRPr="00AA7CBE">
        <w:rPr>
          <w:rFonts w:eastAsiaTheme="minorEastAsia" w:hint="eastAsia"/>
          <w:b/>
          <w:lang w:eastAsia="zh-CN"/>
        </w:rPr>
        <w:t>8</w:t>
      </w:r>
      <w:r w:rsidRPr="00AA7CBE">
        <w:rPr>
          <w:b/>
        </w:rPr>
        <w:t xml:space="preserve"> </w:t>
      </w:r>
      <w:r w:rsidRPr="00AA7CBE">
        <w:t>ROS-responsive release of MSA-2 from NPLG-PTM2. (A) H</w:t>
      </w:r>
      <w:r w:rsidRPr="00AA7CBE">
        <w:rPr>
          <w:vertAlign w:val="subscript"/>
        </w:rPr>
        <w:t>2</w:t>
      </w:r>
      <w:r w:rsidRPr="00AA7CBE">
        <w:t>O</w:t>
      </w:r>
      <w:r w:rsidRPr="00AA7CBE">
        <w:rPr>
          <w:vertAlign w:val="subscript"/>
        </w:rPr>
        <w:t>2</w:t>
      </w:r>
      <w:r w:rsidRPr="00AA7CBE">
        <w:t xml:space="preserve"> concentration-dependent release (PBS, 50 μM, 0.1 mM, 1 mM, and 10 mM H</w:t>
      </w:r>
      <w:r w:rsidRPr="00870E83">
        <w:rPr>
          <w:vertAlign w:val="subscript"/>
        </w:rPr>
        <w:t>2</w:t>
      </w:r>
      <w:r w:rsidRPr="00AA7CBE">
        <w:t>O</w:t>
      </w:r>
      <w:r w:rsidRPr="00870E83">
        <w:rPr>
          <w:vertAlign w:val="subscript"/>
        </w:rPr>
        <w:t>2</w:t>
      </w:r>
      <w:r w:rsidR="00870E83" w:rsidRPr="00870E83">
        <w:rPr>
          <w:rFonts w:hint="eastAsia"/>
        </w:rPr>
        <w:t>)</w:t>
      </w:r>
      <w:r w:rsidRPr="00870E83">
        <w:rPr>
          <w:rFonts w:hint="eastAsia"/>
        </w:rPr>
        <w:t xml:space="preserve">. </w:t>
      </w:r>
      <w:r w:rsidRPr="00AA7CBE">
        <w:t xml:space="preserve">(B) </w:t>
      </w:r>
      <w:r w:rsidRPr="00AA7CBE">
        <w:rPr>
          <w:rFonts w:eastAsia="宋体" w:hint="eastAsia"/>
          <w:lang w:val="en-US" w:eastAsia="zh-CN"/>
        </w:rPr>
        <w:t>R</w:t>
      </w:r>
      <w:r w:rsidRPr="00AA7CBE">
        <w:t>elease under conditions mimicking systemic circulation (PBS and PBS + 10% FBS, pH 7.4) versus the tumor microenvironment (100 μM H</w:t>
      </w:r>
      <w:r w:rsidRPr="00AA7CBE">
        <w:rPr>
          <w:vertAlign w:val="subscript"/>
        </w:rPr>
        <w:t>2</w:t>
      </w:r>
      <w:r w:rsidRPr="00AA7CBE">
        <w:t>O</w:t>
      </w:r>
      <w:r w:rsidRPr="00AA7CBE">
        <w:rPr>
          <w:vertAlign w:val="subscript"/>
        </w:rPr>
        <w:t>2</w:t>
      </w:r>
      <w:r w:rsidRPr="00AA7CBE">
        <w:t xml:space="preserve"> at pH 6.5 and pH 5.5). Data are presented as mean ± SD (n = 3).</w:t>
      </w:r>
    </w:p>
    <w:p w14:paraId="665DF566" w14:textId="77777777" w:rsidR="009777E9" w:rsidRPr="00AA7CBE" w:rsidRDefault="00487C4E">
      <w:pPr>
        <w:spacing w:line="360" w:lineRule="auto"/>
        <w:jc w:val="center"/>
        <w:rPr>
          <w:rFonts w:eastAsia="宋体"/>
          <w:lang w:eastAsia="zh-CN"/>
        </w:rPr>
      </w:pPr>
      <w:r w:rsidRPr="00AA7CBE">
        <w:rPr>
          <w:rFonts w:eastAsia="宋体"/>
          <w:noProof/>
          <w:lang w:eastAsia="zh-CN"/>
        </w:rPr>
        <w:drawing>
          <wp:inline distT="0" distB="0" distL="0" distR="0" wp14:anchorId="665DF5A3" wp14:editId="665DF5A4">
            <wp:extent cx="3591560" cy="545846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2523" cy="547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DF567" w14:textId="5ECF1AB7" w:rsidR="009777E9" w:rsidRPr="00AA7CBE" w:rsidRDefault="00487C4E">
      <w:pPr>
        <w:spacing w:line="360" w:lineRule="auto"/>
        <w:jc w:val="both"/>
      </w:pPr>
      <w:r w:rsidRPr="00AA7CBE">
        <w:rPr>
          <w:b/>
        </w:rPr>
        <w:lastRenderedPageBreak/>
        <w:t>Fig.</w:t>
      </w:r>
      <w:r w:rsidR="005C7C7C" w:rsidRPr="00AA7CBE">
        <w:rPr>
          <w:rFonts w:eastAsiaTheme="minorEastAsia" w:hint="eastAsia"/>
          <w:b/>
          <w:lang w:eastAsia="zh-CN"/>
        </w:rPr>
        <w:t xml:space="preserve"> </w:t>
      </w:r>
      <w:r w:rsidRPr="00AA7CBE">
        <w:rPr>
          <w:b/>
        </w:rPr>
        <w:t xml:space="preserve">S9 </w:t>
      </w:r>
      <w:r w:rsidRPr="00AA7CBE">
        <w:t xml:space="preserve">Qualitative competitive blocking assay supporting CD73-dependent uptake. Representative confocal laser scanning microscopy images of E0771 cells treated with αCD73-NPLG-PTM2/Cy5 after pre-incubation with excess free αCD73. </w:t>
      </w:r>
    </w:p>
    <w:p w14:paraId="665DF568" w14:textId="77777777" w:rsidR="009777E9" w:rsidRPr="00AA7CBE" w:rsidRDefault="009777E9">
      <w:pPr>
        <w:spacing w:line="360" w:lineRule="auto"/>
        <w:jc w:val="both"/>
      </w:pPr>
    </w:p>
    <w:p w14:paraId="665DF569" w14:textId="693D4858" w:rsidR="009777E9" w:rsidRPr="00AA7CBE" w:rsidRDefault="00F95C5E">
      <w:pPr>
        <w:spacing w:line="360" w:lineRule="auto"/>
        <w:jc w:val="center"/>
        <w:rPr>
          <w:rFonts w:eastAsia="宋体"/>
          <w:lang w:eastAsia="zh-CN"/>
        </w:rPr>
      </w:pPr>
      <w:r w:rsidRPr="00AA7CBE">
        <w:rPr>
          <w:noProof/>
        </w:rPr>
        <w:drawing>
          <wp:inline distT="0" distB="0" distL="0" distR="0" wp14:anchorId="5EB159EF" wp14:editId="1DC144B8">
            <wp:extent cx="5760720" cy="2477770"/>
            <wp:effectExtent l="0" t="0" r="0" b="0"/>
            <wp:docPr id="8109790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6A" w14:textId="77777777" w:rsidR="009777E9" w:rsidRPr="00AA7CBE" w:rsidRDefault="00487C4E">
      <w:pPr>
        <w:spacing w:line="360" w:lineRule="auto"/>
        <w:jc w:val="both"/>
        <w:rPr>
          <w:rFonts w:eastAsiaTheme="minorEastAsia"/>
          <w:lang w:eastAsia="zh-CN"/>
        </w:rPr>
      </w:pPr>
      <w:r w:rsidRPr="00AA7CBE">
        <w:rPr>
          <w:b/>
        </w:rPr>
        <w:t xml:space="preserve">Fig. S10 </w:t>
      </w:r>
      <w:r w:rsidRPr="00AA7CBE">
        <w:rPr>
          <w:i/>
        </w:rPr>
        <w:t>In vivo</w:t>
      </w:r>
      <w:r w:rsidRPr="00AA7CBE">
        <w:t xml:space="preserve"> whole-body fluorescence imaging of 4T1 tumor-bearing mice after intravenous injection of IgG-NPLG-PTM2/Cy5 or αCD73-NPLG-PTM2/Cy5. (A) Representative whole-body fluorescence images at 2, 4, 12, and 24 h post-injection. (B) Quantification of tumor fluorescence intensity at the corresponding time points (</w:t>
      </w:r>
      <w:r w:rsidRPr="00AA7CBE">
        <w:rPr>
          <w:i/>
        </w:rPr>
        <w:t>n</w:t>
      </w:r>
      <w:r w:rsidRPr="00AA7CBE">
        <w:t xml:space="preserve"> = 3). Data are presented as mean ± SD. </w:t>
      </w:r>
      <w:r w:rsidRPr="00AA7CBE">
        <w:rPr>
          <w:vertAlign w:val="superscript"/>
        </w:rPr>
        <w:t>**</w:t>
      </w:r>
      <w:r w:rsidRPr="00AA7CBE">
        <w:rPr>
          <w:i/>
        </w:rPr>
        <w:t>p</w:t>
      </w:r>
      <w:r w:rsidRPr="00AA7CBE">
        <w:t xml:space="preserve"> &lt; 0.01, </w:t>
      </w:r>
      <w:r w:rsidRPr="00AA7CBE">
        <w:rPr>
          <w:vertAlign w:val="superscript"/>
        </w:rPr>
        <w:t>***</w:t>
      </w:r>
      <w:r w:rsidRPr="00AA7CBE">
        <w:rPr>
          <w:i/>
        </w:rPr>
        <w:t>p</w:t>
      </w:r>
      <w:r w:rsidRPr="00AA7CBE">
        <w:t xml:space="preserve"> &lt; 0.001, </w:t>
      </w:r>
      <w:r w:rsidRPr="00AA7CBE">
        <w:rPr>
          <w:vertAlign w:val="superscript"/>
        </w:rPr>
        <w:t>****</w:t>
      </w:r>
      <w:r w:rsidRPr="00AA7CBE">
        <w:rPr>
          <w:i/>
        </w:rPr>
        <w:t>p</w:t>
      </w:r>
      <w:r w:rsidRPr="00AA7CBE">
        <w:t xml:space="preserve"> &lt; 0.0001.</w:t>
      </w:r>
    </w:p>
    <w:p w14:paraId="665DF56B" w14:textId="77777777" w:rsidR="009777E9" w:rsidRPr="00AA7CBE" w:rsidRDefault="00487C4E">
      <w:pPr>
        <w:spacing w:line="360" w:lineRule="auto"/>
        <w:jc w:val="center"/>
      </w:pPr>
      <w:r w:rsidRPr="00AA7CBE">
        <w:rPr>
          <w:noProof/>
        </w:rPr>
        <w:drawing>
          <wp:inline distT="0" distB="0" distL="0" distR="0" wp14:anchorId="665DF5A7" wp14:editId="665DF5A8">
            <wp:extent cx="3428365" cy="2357120"/>
            <wp:effectExtent l="0" t="0" r="635" b="5080"/>
            <wp:docPr id="17020893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08930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36642" cy="236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6C" w14:textId="77777777" w:rsidR="009777E9" w:rsidRPr="00AA7CBE" w:rsidRDefault="00487C4E">
      <w:pPr>
        <w:spacing w:line="360" w:lineRule="auto"/>
        <w:jc w:val="both"/>
        <w:rPr>
          <w:rFonts w:eastAsia="等线"/>
          <w:bCs/>
          <w:lang w:val="en-US" w:eastAsia="zh-CN"/>
        </w:rPr>
      </w:pPr>
      <w:r w:rsidRPr="00AA7CBE">
        <w:rPr>
          <w:b/>
        </w:rPr>
        <w:t xml:space="preserve">Fig. S11 </w:t>
      </w:r>
      <w:r w:rsidRPr="00AA7CBE">
        <w:t>Body-weight changes of mice after the indicated treatments in the E0771 subcutaneous tumor model (</w:t>
      </w:r>
      <w:r w:rsidRPr="00AA7CBE">
        <w:rPr>
          <w:i/>
        </w:rPr>
        <w:t>n</w:t>
      </w:r>
      <w:r w:rsidRPr="00AA7CBE">
        <w:t xml:space="preserve"> = 5).</w:t>
      </w:r>
    </w:p>
    <w:p w14:paraId="665DF56D" w14:textId="77777777" w:rsidR="009777E9" w:rsidRPr="00AA7CBE" w:rsidRDefault="00487C4E">
      <w:pPr>
        <w:spacing w:line="360" w:lineRule="auto"/>
        <w:jc w:val="center"/>
        <w:rPr>
          <w:rFonts w:eastAsia="等线"/>
          <w:bCs/>
          <w:lang w:val="en-US" w:eastAsia="zh-CN"/>
        </w:rPr>
      </w:pPr>
      <w:r w:rsidRPr="00AA7CBE">
        <w:rPr>
          <w:rFonts w:eastAsia="等线"/>
          <w:bCs/>
          <w:noProof/>
          <w:lang w:val="en-US" w:eastAsia="zh-CN"/>
        </w:rPr>
        <w:lastRenderedPageBreak/>
        <w:drawing>
          <wp:inline distT="0" distB="0" distL="0" distR="0" wp14:anchorId="665DF5A9" wp14:editId="1E92B1DD">
            <wp:extent cx="4962525" cy="1966681"/>
            <wp:effectExtent l="0" t="0" r="0" b="0"/>
            <wp:docPr id="19655048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04818" name="图片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4741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5DF56E" w14:textId="77777777" w:rsidR="009777E9" w:rsidRPr="00AA7CBE" w:rsidRDefault="00487C4E" w:rsidP="00C857E0">
      <w:pPr>
        <w:spacing w:afterLines="100" w:after="240" w:line="360" w:lineRule="auto"/>
        <w:rPr>
          <w:bCs/>
          <w:lang w:val="en-US"/>
        </w:rPr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S12</w:t>
      </w:r>
      <w:r w:rsidRPr="00AA7CBE">
        <w:t xml:space="preserve"> The serum levels of alanine aminotransferase (ALT), aspartate aminotransferase (AST), and blood urea nitrogen (BUN) in different treatment groups and healthy group</w:t>
      </w:r>
      <w:r w:rsidRPr="00AA7CBE">
        <w:rPr>
          <w:rFonts w:hint="eastAsia"/>
          <w:bCs/>
          <w:lang w:val="en-US"/>
        </w:rPr>
        <w:t xml:space="preserve"> </w:t>
      </w:r>
      <w:r w:rsidRPr="00AA7CBE">
        <w:rPr>
          <w:bCs/>
          <w:lang w:val="en-US"/>
        </w:rPr>
        <w:t>(</w:t>
      </w:r>
      <w:r w:rsidRPr="00AA7CBE">
        <w:rPr>
          <w:bCs/>
          <w:i/>
          <w:iCs/>
          <w:lang w:val="en-US"/>
        </w:rPr>
        <w:t>n</w:t>
      </w:r>
      <w:r w:rsidRPr="00AA7CBE">
        <w:rPr>
          <w:bCs/>
          <w:lang w:val="en-US"/>
        </w:rPr>
        <w:t xml:space="preserve"> = 3).</w:t>
      </w:r>
    </w:p>
    <w:p w14:paraId="665DF56F" w14:textId="2E1A60A0" w:rsidR="009777E9" w:rsidRPr="00C857E0" w:rsidRDefault="000B4225" w:rsidP="00C857E0">
      <w:pPr>
        <w:spacing w:line="360" w:lineRule="auto"/>
        <w:rPr>
          <w:rFonts w:eastAsiaTheme="minorEastAsia"/>
          <w:bCs/>
          <w:lang w:val="en-US" w:eastAsia="zh-CN"/>
        </w:rPr>
      </w:pPr>
      <w:r>
        <w:rPr>
          <w:noProof/>
        </w:rPr>
        <w:drawing>
          <wp:inline distT="0" distB="0" distL="0" distR="0" wp14:anchorId="4631C98F" wp14:editId="69D0741F">
            <wp:extent cx="5760720" cy="3532505"/>
            <wp:effectExtent l="0" t="0" r="0" b="0"/>
            <wp:docPr id="156240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70" w14:textId="77777777" w:rsidR="009777E9" w:rsidRPr="00AA7CBE" w:rsidRDefault="00487C4E">
      <w:pPr>
        <w:spacing w:afterLines="100" w:after="240" w:line="360" w:lineRule="auto"/>
      </w:pPr>
      <w:r w:rsidRPr="00AA7CBE">
        <w:rPr>
          <w:b/>
        </w:rPr>
        <w:t xml:space="preserve">Fig. S13 </w:t>
      </w:r>
      <w:r w:rsidRPr="00AA7CBE">
        <w:t>Representative H&amp;E-stained sections of major organs from mice after the indicated treatments. Scale bar: 100 μm.</w:t>
      </w:r>
    </w:p>
    <w:p w14:paraId="665DF571" w14:textId="77777777" w:rsidR="009777E9" w:rsidRPr="00AA7CBE" w:rsidRDefault="00487C4E">
      <w:pPr>
        <w:spacing w:afterLines="100" w:after="240" w:line="360" w:lineRule="auto"/>
        <w:jc w:val="center"/>
        <w:rPr>
          <w:lang w:eastAsia="zh-CN"/>
        </w:rPr>
      </w:pPr>
      <w:r w:rsidRPr="00AA7CBE">
        <w:rPr>
          <w:noProof/>
        </w:rPr>
        <w:lastRenderedPageBreak/>
        <w:drawing>
          <wp:inline distT="0" distB="0" distL="0" distR="0" wp14:anchorId="665DF5AD" wp14:editId="665DF5AE">
            <wp:extent cx="3911600" cy="3646170"/>
            <wp:effectExtent l="0" t="0" r="0" b="11430"/>
            <wp:docPr id="20" name="图片 3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 descr="图表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364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72" w14:textId="77777777" w:rsidR="009777E9" w:rsidRPr="00AA7CBE" w:rsidRDefault="00487C4E">
      <w:pPr>
        <w:spacing w:line="360" w:lineRule="auto"/>
        <w:jc w:val="both"/>
        <w:rPr>
          <w:rFonts w:eastAsia="等线"/>
          <w:bCs/>
          <w:lang w:val="en-US" w:eastAsia="zh-CN"/>
        </w:rPr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S14</w:t>
      </w:r>
      <w:r w:rsidRPr="00AA7CBE">
        <w:t xml:space="preserve"> Gating strategy for MHC II</w:t>
      </w:r>
      <w:r w:rsidRPr="00AA7CBE">
        <w:rPr>
          <w:b/>
          <w:bCs/>
          <w:vertAlign w:val="superscript"/>
        </w:rPr>
        <w:t>+</w:t>
      </w:r>
      <w:r w:rsidRPr="00AA7CBE">
        <w:t xml:space="preserve"> and CD8</w:t>
      </w:r>
      <w:r w:rsidRPr="00AA7CBE">
        <w:rPr>
          <w:rFonts w:eastAsia="等线" w:hint="eastAsia"/>
          <w:lang w:eastAsia="zh-CN"/>
        </w:rPr>
        <w:t>0</w:t>
      </w:r>
      <w:r w:rsidRPr="00AA7CBE">
        <w:rPr>
          <w:b/>
          <w:bCs/>
          <w:vertAlign w:val="superscript"/>
        </w:rPr>
        <w:t>+</w:t>
      </w:r>
      <w:r w:rsidRPr="00AA7CBE">
        <w:t>CD86</w:t>
      </w:r>
      <w:r w:rsidRPr="00AA7CBE">
        <w:rPr>
          <w:b/>
          <w:bCs/>
          <w:vertAlign w:val="superscript"/>
        </w:rPr>
        <w:t>+</w:t>
      </w:r>
      <w:r w:rsidRPr="00AA7CBE">
        <w:t xml:space="preserve"> DC cells</w:t>
      </w:r>
      <w:r w:rsidRPr="00AA7CBE">
        <w:rPr>
          <w:rFonts w:eastAsia="等线"/>
          <w:bCs/>
          <w:lang w:val="en-US" w:eastAsia="zh-CN"/>
        </w:rPr>
        <w:t>.</w:t>
      </w:r>
    </w:p>
    <w:p w14:paraId="665DF573" w14:textId="77777777" w:rsidR="009777E9" w:rsidRPr="00AA7CBE" w:rsidRDefault="00487C4E">
      <w:pPr>
        <w:spacing w:line="360" w:lineRule="auto"/>
        <w:jc w:val="center"/>
        <w:rPr>
          <w:rFonts w:eastAsia="等线"/>
          <w:bCs/>
          <w:lang w:val="en-US" w:eastAsia="zh-CN"/>
        </w:rPr>
      </w:pPr>
      <w:r w:rsidRPr="00AA7CBE">
        <w:rPr>
          <w:noProof/>
        </w:rPr>
        <w:drawing>
          <wp:inline distT="0" distB="0" distL="0" distR="0" wp14:anchorId="665DF5AF" wp14:editId="665DF5B0">
            <wp:extent cx="3510280" cy="3335655"/>
            <wp:effectExtent l="0" t="0" r="7620" b="4445"/>
            <wp:docPr id="21" name="图片 59" descr="图形用户界面, 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9" descr="图形用户界面, 图表, 图示&#10;&#10;描述已自动生成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22869" cy="33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74" w14:textId="77777777" w:rsidR="009777E9" w:rsidRPr="00AA7CBE" w:rsidRDefault="00487C4E">
      <w:pPr>
        <w:spacing w:line="360" w:lineRule="auto"/>
        <w:jc w:val="both"/>
        <w:rPr>
          <w:rFonts w:eastAsia="等线"/>
          <w:bCs/>
          <w:lang w:val="en-US" w:eastAsia="zh-CN"/>
        </w:rPr>
      </w:pPr>
      <w:r w:rsidRPr="00AA7CBE">
        <w:rPr>
          <w:b/>
          <w:bCs/>
        </w:rPr>
        <w:t>Fi</w:t>
      </w:r>
      <w:r w:rsidRPr="00AA7CBE">
        <w:rPr>
          <w:rFonts w:eastAsia="等线" w:hint="eastAsia"/>
          <w:b/>
          <w:bCs/>
          <w:lang w:eastAsia="zh-CN"/>
        </w:rPr>
        <w:t>g.</w:t>
      </w:r>
      <w:r w:rsidRPr="00AA7CBE">
        <w:rPr>
          <w:b/>
          <w:bCs/>
        </w:rPr>
        <w:t xml:space="preserve"> S15</w:t>
      </w:r>
      <w:r w:rsidRPr="00AA7CBE">
        <w:t xml:space="preserve"> Gating strategy for CD4</w:t>
      </w:r>
      <w:r w:rsidRPr="00AA7CBE">
        <w:rPr>
          <w:b/>
          <w:bCs/>
          <w:vertAlign w:val="superscript"/>
        </w:rPr>
        <w:t>+</w:t>
      </w:r>
      <w:r w:rsidRPr="00AA7CBE">
        <w:t xml:space="preserve"> </w:t>
      </w:r>
      <w:r w:rsidRPr="00AA7CBE">
        <w:rPr>
          <w:rFonts w:eastAsia="等线"/>
          <w:lang w:eastAsia="zh-CN"/>
        </w:rPr>
        <w:t>and</w:t>
      </w:r>
      <w:r w:rsidRPr="00AA7CBE">
        <w:t xml:space="preserve"> CD8</w:t>
      </w:r>
      <w:r w:rsidRPr="00AA7CBE">
        <w:rPr>
          <w:b/>
          <w:bCs/>
          <w:vertAlign w:val="superscript"/>
        </w:rPr>
        <w:t>+</w:t>
      </w:r>
      <w:r w:rsidRPr="00AA7CBE">
        <w:t xml:space="preserve"> T cells</w:t>
      </w:r>
      <w:r w:rsidRPr="00AA7CBE">
        <w:rPr>
          <w:rFonts w:eastAsia="等线"/>
          <w:bCs/>
          <w:lang w:val="en-US" w:eastAsia="zh-CN"/>
        </w:rPr>
        <w:t>.</w:t>
      </w:r>
    </w:p>
    <w:p w14:paraId="665DF575" w14:textId="77777777" w:rsidR="009777E9" w:rsidRPr="00AA7CBE" w:rsidRDefault="00487C4E">
      <w:pPr>
        <w:spacing w:line="360" w:lineRule="auto"/>
        <w:jc w:val="center"/>
        <w:rPr>
          <w:rFonts w:eastAsia="等线"/>
          <w:bCs/>
          <w:lang w:val="en-US" w:eastAsia="zh-CN"/>
        </w:rPr>
      </w:pPr>
      <w:r w:rsidRPr="00AA7CBE">
        <w:rPr>
          <w:noProof/>
        </w:rPr>
        <w:lastRenderedPageBreak/>
        <w:drawing>
          <wp:inline distT="0" distB="0" distL="0" distR="0" wp14:anchorId="665DF5B1" wp14:editId="665DF5B2">
            <wp:extent cx="3937635" cy="3750945"/>
            <wp:effectExtent l="0" t="0" r="12065" b="8255"/>
            <wp:docPr id="23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图示&#10;&#10;描述已自动生成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43746" cy="375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76" w14:textId="77777777" w:rsidR="009777E9" w:rsidRPr="00AA7CBE" w:rsidRDefault="00487C4E">
      <w:pPr>
        <w:spacing w:line="360" w:lineRule="auto"/>
        <w:jc w:val="both"/>
        <w:rPr>
          <w:rFonts w:eastAsia="等线"/>
          <w:bCs/>
          <w:lang w:val="en-US" w:eastAsia="zh-CN"/>
        </w:rPr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S16</w:t>
      </w:r>
      <w:r w:rsidRPr="00AA7CBE">
        <w:t xml:space="preserve"> Gating strategy for central memory T (T</w:t>
      </w:r>
      <w:r w:rsidRPr="00AA7CBE">
        <w:rPr>
          <w:vertAlign w:val="subscript"/>
        </w:rPr>
        <w:t>CM</w:t>
      </w:r>
      <w:r w:rsidRPr="00AA7CBE">
        <w:t>) cells and effector memory T (T</w:t>
      </w:r>
      <w:r w:rsidRPr="00AA7CBE">
        <w:rPr>
          <w:vertAlign w:val="subscript"/>
        </w:rPr>
        <w:t>EM</w:t>
      </w:r>
      <w:r w:rsidRPr="00AA7CBE">
        <w:t>) cells in the spleen</w:t>
      </w:r>
      <w:r w:rsidRPr="00AA7CBE">
        <w:rPr>
          <w:rFonts w:eastAsia="等线"/>
          <w:bCs/>
          <w:lang w:val="en-US" w:eastAsia="zh-CN"/>
        </w:rPr>
        <w:t>.</w:t>
      </w:r>
    </w:p>
    <w:p w14:paraId="665DF577" w14:textId="77777777" w:rsidR="009777E9" w:rsidRPr="00AA7CBE" w:rsidRDefault="00487C4E">
      <w:pPr>
        <w:spacing w:line="360" w:lineRule="auto"/>
        <w:jc w:val="center"/>
        <w:rPr>
          <w:rFonts w:eastAsia="等线"/>
          <w:bCs/>
          <w:lang w:val="en-US" w:eastAsia="zh-CN"/>
        </w:rPr>
      </w:pPr>
      <w:r w:rsidRPr="00AA7CBE">
        <w:rPr>
          <w:noProof/>
        </w:rPr>
        <w:drawing>
          <wp:inline distT="0" distB="0" distL="0" distR="0" wp14:anchorId="665DF5B3" wp14:editId="665DF5B4">
            <wp:extent cx="3415665" cy="2026285"/>
            <wp:effectExtent l="0" t="0" r="0" b="0"/>
            <wp:docPr id="7282321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32127" name="图片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3047" cy="204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78" w14:textId="77777777" w:rsidR="009777E9" w:rsidRPr="00AA7CBE" w:rsidRDefault="00487C4E">
      <w:pPr>
        <w:spacing w:line="360" w:lineRule="auto"/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S17</w:t>
      </w:r>
      <w:r w:rsidRPr="00AA7CBE">
        <w:t xml:space="preserve"> The serum level of IL-</w:t>
      </w:r>
      <w:r w:rsidRPr="00AA7CBE">
        <w:rPr>
          <w:rFonts w:eastAsia="等线" w:hint="eastAsia"/>
          <w:lang w:eastAsia="zh-CN"/>
        </w:rPr>
        <w:t>12</w:t>
      </w:r>
      <w:r w:rsidRPr="00AA7CBE">
        <w:t xml:space="preserve"> and TNF-α cytokines after various treatments.</w:t>
      </w:r>
    </w:p>
    <w:p w14:paraId="665DF579" w14:textId="77777777" w:rsidR="009777E9" w:rsidRPr="00AA7CBE" w:rsidRDefault="00487C4E">
      <w:pPr>
        <w:spacing w:line="360" w:lineRule="auto"/>
        <w:jc w:val="center"/>
        <w:rPr>
          <w:lang w:eastAsia="zh-CN"/>
        </w:rPr>
      </w:pPr>
      <w:r w:rsidRPr="00AA7CBE">
        <w:rPr>
          <w:noProof/>
        </w:rPr>
        <w:lastRenderedPageBreak/>
        <w:drawing>
          <wp:inline distT="0" distB="0" distL="0" distR="0" wp14:anchorId="665DF5B5" wp14:editId="665DF5B6">
            <wp:extent cx="4434205" cy="2973705"/>
            <wp:effectExtent l="0" t="0" r="10795" b="10795"/>
            <wp:docPr id="25" name="图片 2" descr="图表, 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 descr="图表, 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39445" cy="297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7A" w14:textId="77777777" w:rsidR="009777E9" w:rsidRPr="00AA7CBE" w:rsidRDefault="00487C4E">
      <w:pPr>
        <w:spacing w:line="360" w:lineRule="auto"/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S18</w:t>
      </w:r>
      <w:r w:rsidRPr="00AA7CBE">
        <w:t xml:space="preserve"> Gating strategy for M1 and M2 macrophages.</w:t>
      </w:r>
    </w:p>
    <w:p w14:paraId="665DF57B" w14:textId="77777777" w:rsidR="009777E9" w:rsidRPr="00AA7CBE" w:rsidRDefault="009777E9">
      <w:pPr>
        <w:spacing w:line="360" w:lineRule="auto"/>
      </w:pPr>
    </w:p>
    <w:p w14:paraId="665DF57C" w14:textId="77777777" w:rsidR="009777E9" w:rsidRPr="00AA7CBE" w:rsidRDefault="00487C4E">
      <w:pPr>
        <w:spacing w:line="360" w:lineRule="auto"/>
        <w:jc w:val="center"/>
      </w:pPr>
      <w:r w:rsidRPr="00AA7CBE">
        <w:rPr>
          <w:noProof/>
        </w:rPr>
        <w:drawing>
          <wp:inline distT="0" distB="0" distL="0" distR="0" wp14:anchorId="665DF5B7" wp14:editId="665DF5B8">
            <wp:extent cx="4978400" cy="1583690"/>
            <wp:effectExtent l="0" t="0" r="0" b="3810"/>
            <wp:docPr id="26" name="图片 2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 descr="图表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87744" cy="158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7D" w14:textId="77777777" w:rsidR="009777E9" w:rsidRPr="00AA7CBE" w:rsidRDefault="00487C4E">
      <w:pPr>
        <w:spacing w:line="360" w:lineRule="auto"/>
        <w:rPr>
          <w:rFonts w:eastAsia="等线"/>
          <w:lang w:eastAsia="zh-CN"/>
        </w:rPr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S19</w:t>
      </w:r>
      <w:r w:rsidRPr="00AA7CBE">
        <w:t xml:space="preserve"> Gating strategy for </w:t>
      </w:r>
      <w:r w:rsidRPr="00AA7CBE">
        <w:rPr>
          <w:rFonts w:eastAsia="等线" w:hint="eastAsia"/>
          <w:lang w:eastAsia="zh-CN"/>
        </w:rPr>
        <w:t>Tregs.</w:t>
      </w:r>
    </w:p>
    <w:p w14:paraId="665DF57E" w14:textId="77777777" w:rsidR="009777E9" w:rsidRPr="00AA7CBE" w:rsidRDefault="009777E9">
      <w:pPr>
        <w:spacing w:line="360" w:lineRule="auto"/>
        <w:rPr>
          <w:rFonts w:eastAsia="等线"/>
          <w:lang w:eastAsia="zh-CN"/>
        </w:rPr>
      </w:pPr>
    </w:p>
    <w:p w14:paraId="665DF57F" w14:textId="77777777" w:rsidR="009777E9" w:rsidRPr="00AA7CBE" w:rsidRDefault="009777E9">
      <w:pPr>
        <w:spacing w:line="360" w:lineRule="auto"/>
        <w:rPr>
          <w:rFonts w:eastAsia="等线"/>
          <w:lang w:eastAsia="zh-CN"/>
        </w:rPr>
      </w:pPr>
    </w:p>
    <w:p w14:paraId="665DF580" w14:textId="77777777" w:rsidR="009777E9" w:rsidRPr="00AA7CBE" w:rsidRDefault="009777E9">
      <w:pPr>
        <w:spacing w:line="360" w:lineRule="auto"/>
        <w:rPr>
          <w:rFonts w:eastAsia="等线"/>
          <w:lang w:eastAsia="zh-CN"/>
        </w:rPr>
      </w:pPr>
    </w:p>
    <w:p w14:paraId="665DF581" w14:textId="77777777" w:rsidR="009777E9" w:rsidRPr="00AA7CBE" w:rsidRDefault="009777E9">
      <w:pPr>
        <w:spacing w:line="360" w:lineRule="auto"/>
        <w:rPr>
          <w:rFonts w:eastAsia="等线"/>
          <w:lang w:eastAsia="zh-CN"/>
        </w:rPr>
      </w:pPr>
    </w:p>
    <w:p w14:paraId="665DF582" w14:textId="77777777" w:rsidR="009777E9" w:rsidRPr="00AA7CBE" w:rsidRDefault="00487C4E">
      <w:pPr>
        <w:spacing w:line="360" w:lineRule="auto"/>
        <w:jc w:val="center"/>
        <w:rPr>
          <w:rFonts w:eastAsia="等线"/>
          <w:lang w:eastAsia="zh-CN"/>
        </w:rPr>
      </w:pPr>
      <w:r w:rsidRPr="00AA7CBE">
        <w:rPr>
          <w:rFonts w:eastAsia="等线"/>
          <w:noProof/>
          <w:lang w:eastAsia="zh-CN"/>
        </w:rPr>
        <w:lastRenderedPageBreak/>
        <w:drawing>
          <wp:inline distT="0" distB="0" distL="0" distR="0" wp14:anchorId="665DF5B9" wp14:editId="665DF5BA">
            <wp:extent cx="5067300" cy="2896235"/>
            <wp:effectExtent l="0" t="0" r="0" b="0"/>
            <wp:docPr id="27" name="图片 2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" descr="图表, 图示&#10;&#10;描述已自动生成"/>
                    <pic:cNvPicPr>
                      <a:picLocks noChangeAspect="1"/>
                    </pic:cNvPicPr>
                  </pic:nvPicPr>
                  <pic:blipFill>
                    <a:blip r:embed="rId28"/>
                    <a:srcRect t="816" b="1245"/>
                    <a:stretch>
                      <a:fillRect/>
                    </a:stretch>
                  </pic:blipFill>
                  <pic:spPr>
                    <a:xfrm>
                      <a:off x="0" y="0"/>
                      <a:ext cx="5072526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83" w14:textId="77777777" w:rsidR="009777E9" w:rsidRPr="00AA7CBE" w:rsidRDefault="00487C4E">
      <w:pPr>
        <w:spacing w:line="360" w:lineRule="auto"/>
        <w:jc w:val="both"/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S20</w:t>
      </w:r>
      <w:r w:rsidRPr="00AA7CBE">
        <w:t xml:space="preserve"> The representative ﬂow cytometric quantification of intratumoral infiltrating CD11c</w:t>
      </w:r>
      <w:r w:rsidRPr="00AA7CBE">
        <w:rPr>
          <w:b/>
          <w:vertAlign w:val="superscript"/>
        </w:rPr>
        <w:t>+</w:t>
      </w:r>
      <w:r w:rsidRPr="00AA7CBE">
        <w:t>MHC II</w:t>
      </w:r>
      <w:r w:rsidRPr="00AA7CBE">
        <w:rPr>
          <w:rFonts w:hint="eastAsia"/>
          <w:vertAlign w:val="superscript"/>
        </w:rPr>
        <w:t>+</w:t>
      </w:r>
      <w:r w:rsidRPr="00AA7CBE">
        <w:t xml:space="preserve"> DCs.</w:t>
      </w:r>
    </w:p>
    <w:p w14:paraId="665DF584" w14:textId="77777777" w:rsidR="009777E9" w:rsidRPr="00AA7CBE" w:rsidRDefault="009777E9">
      <w:pPr>
        <w:spacing w:line="360" w:lineRule="auto"/>
        <w:jc w:val="both"/>
      </w:pPr>
    </w:p>
    <w:p w14:paraId="665DF585" w14:textId="77777777" w:rsidR="009777E9" w:rsidRPr="00AA7CBE" w:rsidRDefault="009777E9">
      <w:pPr>
        <w:spacing w:line="360" w:lineRule="auto"/>
        <w:jc w:val="both"/>
      </w:pPr>
    </w:p>
    <w:p w14:paraId="665DF586" w14:textId="77777777" w:rsidR="009777E9" w:rsidRPr="00AA7CBE" w:rsidRDefault="00487C4E">
      <w:pPr>
        <w:spacing w:line="360" w:lineRule="auto"/>
        <w:jc w:val="center"/>
        <w:rPr>
          <w:lang w:eastAsia="zh-CN"/>
        </w:rPr>
      </w:pPr>
      <w:r w:rsidRPr="00AA7CBE">
        <w:rPr>
          <w:rFonts w:eastAsia="等线"/>
          <w:noProof/>
          <w:lang w:eastAsia="zh-CN"/>
        </w:rPr>
        <w:drawing>
          <wp:inline distT="0" distB="0" distL="0" distR="0" wp14:anchorId="665DF5BB" wp14:editId="665DF5BC">
            <wp:extent cx="5198110" cy="2978150"/>
            <wp:effectExtent l="0" t="0" r="0" b="0"/>
            <wp:docPr id="28" name="图片 2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29"/>
                    <a:srcRect t="565" b="1277"/>
                    <a:stretch>
                      <a:fillRect/>
                    </a:stretch>
                  </pic:blipFill>
                  <pic:spPr>
                    <a:xfrm>
                      <a:off x="0" y="0"/>
                      <a:ext cx="5202823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87" w14:textId="77777777" w:rsidR="009777E9" w:rsidRPr="00AA7CBE" w:rsidRDefault="00487C4E">
      <w:pPr>
        <w:spacing w:line="360" w:lineRule="auto"/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S21</w:t>
      </w:r>
      <w:r w:rsidRPr="00AA7CBE">
        <w:t xml:space="preserve"> The representative ﬂow cytometric quantification of intratumoral infiltrating CD11c</w:t>
      </w:r>
      <w:r w:rsidRPr="00AA7CBE">
        <w:rPr>
          <w:rFonts w:hint="eastAsia"/>
          <w:b/>
          <w:bCs/>
          <w:vertAlign w:val="superscript"/>
        </w:rPr>
        <w:t>+</w:t>
      </w:r>
      <w:r w:rsidRPr="00AA7CBE">
        <w:t>CD8</w:t>
      </w:r>
      <w:r w:rsidRPr="00AA7CBE">
        <w:rPr>
          <w:rFonts w:eastAsia="等线" w:hint="eastAsia"/>
          <w:lang w:eastAsia="zh-CN"/>
        </w:rPr>
        <w:t>0</w:t>
      </w:r>
      <w:r w:rsidRPr="00AA7CBE">
        <w:rPr>
          <w:rFonts w:hint="eastAsia"/>
          <w:b/>
          <w:bCs/>
          <w:vertAlign w:val="superscript"/>
        </w:rPr>
        <w:t>+</w:t>
      </w:r>
      <w:r w:rsidRPr="00AA7CBE">
        <w:rPr>
          <w:b/>
          <w:bCs/>
          <w:vertAlign w:val="superscript"/>
        </w:rPr>
        <w:t xml:space="preserve"> </w:t>
      </w:r>
      <w:r w:rsidRPr="00AA7CBE">
        <w:t>DCs.</w:t>
      </w:r>
    </w:p>
    <w:p w14:paraId="665DF588" w14:textId="77777777" w:rsidR="009777E9" w:rsidRPr="00AA7CBE" w:rsidRDefault="00487C4E">
      <w:pPr>
        <w:spacing w:line="360" w:lineRule="auto"/>
        <w:jc w:val="center"/>
        <w:rPr>
          <w:lang w:eastAsia="zh-CN"/>
        </w:rPr>
      </w:pPr>
      <w:r w:rsidRPr="00AA7CBE">
        <w:rPr>
          <w:noProof/>
        </w:rPr>
        <w:lastRenderedPageBreak/>
        <w:drawing>
          <wp:inline distT="0" distB="0" distL="0" distR="0" wp14:anchorId="665DF5BD" wp14:editId="665DF5BE">
            <wp:extent cx="5274310" cy="2988310"/>
            <wp:effectExtent l="0" t="0" r="0" b="0"/>
            <wp:docPr id="29" name="图片 4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 descr="图表&#10;&#10;描述已自动生成"/>
                    <pic:cNvPicPr>
                      <a:picLocks noChangeAspect="1"/>
                    </pic:cNvPicPr>
                  </pic:nvPicPr>
                  <pic:blipFill>
                    <a:blip r:embed="rId30"/>
                    <a:srcRect t="928" b="200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F589" w14:textId="77777777" w:rsidR="009777E9" w:rsidRPr="00AA7CBE" w:rsidRDefault="00487C4E">
      <w:pPr>
        <w:spacing w:line="360" w:lineRule="auto"/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S22</w:t>
      </w:r>
      <w:r w:rsidRPr="00AA7CBE">
        <w:t xml:space="preserve"> The representative ﬂow cytometric quantification of intratumoral infiltrating </w:t>
      </w:r>
      <w:r w:rsidRPr="00AA7CBE">
        <w:rPr>
          <w:rFonts w:hint="eastAsia"/>
        </w:rPr>
        <w:t>M</w:t>
      </w:r>
      <w:r w:rsidRPr="00AA7CBE">
        <w:rPr>
          <w:rFonts w:eastAsia="等线" w:hint="eastAsia"/>
          <w:lang w:eastAsia="zh-CN"/>
        </w:rPr>
        <w:t>2</w:t>
      </w:r>
      <w:r w:rsidRPr="00AA7CBE">
        <w:rPr>
          <w:rFonts w:hint="eastAsia"/>
        </w:rPr>
        <w:t xml:space="preserve"> macrophages</w:t>
      </w:r>
      <w:r w:rsidRPr="00AA7CBE">
        <w:t>.</w:t>
      </w:r>
    </w:p>
    <w:p w14:paraId="665DF58A" w14:textId="77777777" w:rsidR="009777E9" w:rsidRPr="00AA7CBE" w:rsidRDefault="00487C4E">
      <w:pPr>
        <w:adjustRightInd w:val="0"/>
        <w:snapToGrid w:val="0"/>
        <w:spacing w:line="360" w:lineRule="auto"/>
        <w:rPr>
          <w:lang w:eastAsia="zh-CN"/>
        </w:rPr>
      </w:pPr>
      <w:r w:rsidRPr="00AA7CBE">
        <w:rPr>
          <w:noProof/>
        </w:rPr>
        <w:drawing>
          <wp:inline distT="0" distB="0" distL="0" distR="0" wp14:anchorId="665DF5BF" wp14:editId="665DF5C0">
            <wp:extent cx="5368925" cy="2242185"/>
            <wp:effectExtent l="0" t="0" r="3175" b="5715"/>
            <wp:docPr id="100348844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88447" name="图片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910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8F" w14:textId="60D72750" w:rsidR="009777E9" w:rsidRPr="00AA7CBE" w:rsidRDefault="00487C4E">
      <w:pPr>
        <w:spacing w:line="360" w:lineRule="auto"/>
        <w:rPr>
          <w:rFonts w:eastAsiaTheme="minorEastAsia"/>
          <w:lang w:eastAsia="zh-CN"/>
        </w:rPr>
      </w:pPr>
      <w:r w:rsidRPr="00AA7CBE">
        <w:rPr>
          <w:b/>
          <w:bCs/>
        </w:rPr>
        <w:t>Fig</w:t>
      </w:r>
      <w:r w:rsidRPr="00AA7CBE">
        <w:rPr>
          <w:rFonts w:eastAsia="等线" w:hint="eastAsia"/>
          <w:b/>
          <w:bCs/>
          <w:lang w:eastAsia="zh-CN"/>
        </w:rPr>
        <w:t>.</w:t>
      </w:r>
      <w:r w:rsidRPr="00AA7CBE">
        <w:rPr>
          <w:b/>
          <w:bCs/>
        </w:rPr>
        <w:t xml:space="preserve"> S23</w:t>
      </w:r>
      <w:r w:rsidRPr="00AA7CBE">
        <w:t xml:space="preserve"> The serum level of IL-</w:t>
      </w:r>
      <w:r w:rsidRPr="00AA7CBE">
        <w:rPr>
          <w:rFonts w:eastAsia="等线" w:hint="eastAsia"/>
          <w:lang w:eastAsia="zh-CN"/>
        </w:rPr>
        <w:t>12, IL-6</w:t>
      </w:r>
      <w:r w:rsidRPr="00AA7CBE">
        <w:t xml:space="preserve"> and TNF-α cytokines after various treatments.</w:t>
      </w:r>
    </w:p>
    <w:p w14:paraId="665DF590" w14:textId="77777777" w:rsidR="009777E9" w:rsidRPr="00AA7CBE" w:rsidRDefault="00487C4E">
      <w:pPr>
        <w:spacing w:line="360" w:lineRule="auto"/>
        <w:jc w:val="center"/>
        <w:rPr>
          <w:lang w:eastAsia="zh-CN"/>
        </w:rPr>
      </w:pPr>
      <w:r w:rsidRPr="00AA7CBE">
        <w:rPr>
          <w:noProof/>
        </w:rPr>
        <w:drawing>
          <wp:inline distT="0" distB="0" distL="0" distR="0" wp14:anchorId="665DF5C1" wp14:editId="665DF5C2">
            <wp:extent cx="5760720" cy="1925955"/>
            <wp:effectExtent l="0" t="0" r="0" b="0"/>
            <wp:docPr id="3" name="图片 3" descr="图表, 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, 图示, 示意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DF592" w14:textId="480C91E5" w:rsidR="009777E9" w:rsidRPr="00AA7CBE" w:rsidRDefault="00487C4E" w:rsidP="00AA6728">
      <w:pPr>
        <w:spacing w:line="360" w:lineRule="auto"/>
        <w:jc w:val="both"/>
        <w:rPr>
          <w:rFonts w:eastAsiaTheme="minorEastAsia"/>
          <w:szCs w:val="28"/>
          <w:lang w:eastAsia="zh-CN"/>
        </w:rPr>
      </w:pPr>
      <w:r w:rsidRPr="00AA7CBE">
        <w:rPr>
          <w:b/>
        </w:rPr>
        <w:t xml:space="preserve">Fig. S24 </w:t>
      </w:r>
      <w:r w:rsidRPr="00AA7CBE">
        <w:rPr>
          <w:i/>
        </w:rPr>
        <w:t>In vivo</w:t>
      </w:r>
      <w:r w:rsidRPr="00AA7CBE">
        <w:t xml:space="preserve"> tumor re-challenge experiment. (A) Re-challenge tumor growth curves of naive and αCD73-NPLG-PTM2-treated mice (</w:t>
      </w:r>
      <w:r w:rsidRPr="00AA7CBE">
        <w:rPr>
          <w:i/>
        </w:rPr>
        <w:t>n</w:t>
      </w:r>
      <w:r w:rsidRPr="00AA7CBE">
        <w:t xml:space="preserve"> = 5). (B) Survival curves of mice after tumor re-challenge (</w:t>
      </w:r>
      <w:r w:rsidRPr="00AA7CBE">
        <w:rPr>
          <w:i/>
        </w:rPr>
        <w:t>n</w:t>
      </w:r>
      <w:r w:rsidRPr="00AA7CBE">
        <w:t xml:space="preserve"> = 5).</w:t>
      </w:r>
    </w:p>
    <w:sectPr w:rsidR="009777E9" w:rsidRPr="00AA7CBE">
      <w:headerReference w:type="default" r:id="rId33"/>
      <w:footerReference w:type="default" r:id="rId3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04BBA" w14:textId="77777777" w:rsidR="00D83D6A" w:rsidRDefault="00D83D6A">
      <w:r>
        <w:separator/>
      </w:r>
    </w:p>
  </w:endnote>
  <w:endnote w:type="continuationSeparator" w:id="0">
    <w:p w14:paraId="2D42C3E1" w14:textId="77777777" w:rsidR="00D83D6A" w:rsidRDefault="00D83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LF-Bold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F5C7" w14:textId="77777777" w:rsidR="009777E9" w:rsidRDefault="00487C4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t>5</w:t>
    </w:r>
    <w:r>
      <w:fldChar w:fldCharType="end"/>
    </w:r>
  </w:p>
  <w:p w14:paraId="665DF5C8" w14:textId="77777777" w:rsidR="009777E9" w:rsidRDefault="009777E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F10E" w14:textId="77777777" w:rsidR="00D83D6A" w:rsidRDefault="00D83D6A">
      <w:r>
        <w:separator/>
      </w:r>
    </w:p>
  </w:footnote>
  <w:footnote w:type="continuationSeparator" w:id="0">
    <w:p w14:paraId="2EFE1D8E" w14:textId="77777777" w:rsidR="00D83D6A" w:rsidRDefault="00D83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DF5C6" w14:textId="77777777" w:rsidR="009777E9" w:rsidRDefault="00487C4E">
    <w:pPr>
      <w:pStyle w:val="a9"/>
      <w:tabs>
        <w:tab w:val="left" w:pos="5003"/>
      </w:tabs>
      <w:jc w:val="right"/>
      <w:rPr>
        <w:lang w:val="en-US"/>
      </w:rPr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0"/>
    <w:rsid w:val="000003B3"/>
    <w:rsid w:val="000003BB"/>
    <w:rsid w:val="000026E3"/>
    <w:rsid w:val="0000374D"/>
    <w:rsid w:val="000038EA"/>
    <w:rsid w:val="00004A23"/>
    <w:rsid w:val="000066CF"/>
    <w:rsid w:val="00006A0A"/>
    <w:rsid w:val="0000703E"/>
    <w:rsid w:val="00007637"/>
    <w:rsid w:val="000112FC"/>
    <w:rsid w:val="000118B0"/>
    <w:rsid w:val="00011F40"/>
    <w:rsid w:val="00012A05"/>
    <w:rsid w:val="0001454A"/>
    <w:rsid w:val="0001683C"/>
    <w:rsid w:val="000172E7"/>
    <w:rsid w:val="000214A8"/>
    <w:rsid w:val="00023F64"/>
    <w:rsid w:val="00027FB5"/>
    <w:rsid w:val="000314D2"/>
    <w:rsid w:val="0003318F"/>
    <w:rsid w:val="0004094E"/>
    <w:rsid w:val="00040B7B"/>
    <w:rsid w:val="000437F7"/>
    <w:rsid w:val="00050985"/>
    <w:rsid w:val="00052DE4"/>
    <w:rsid w:val="0005501E"/>
    <w:rsid w:val="00055883"/>
    <w:rsid w:val="000565AC"/>
    <w:rsid w:val="0006044D"/>
    <w:rsid w:val="00062324"/>
    <w:rsid w:val="0006355D"/>
    <w:rsid w:val="00063C0E"/>
    <w:rsid w:val="00071D65"/>
    <w:rsid w:val="00072EA7"/>
    <w:rsid w:val="00073394"/>
    <w:rsid w:val="00076EAD"/>
    <w:rsid w:val="0008287E"/>
    <w:rsid w:val="00083031"/>
    <w:rsid w:val="000833F5"/>
    <w:rsid w:val="00084AF1"/>
    <w:rsid w:val="00085633"/>
    <w:rsid w:val="0008740B"/>
    <w:rsid w:val="000904D3"/>
    <w:rsid w:val="0009309C"/>
    <w:rsid w:val="00093F1B"/>
    <w:rsid w:val="000A05C7"/>
    <w:rsid w:val="000A1F4B"/>
    <w:rsid w:val="000A21A9"/>
    <w:rsid w:val="000A33A9"/>
    <w:rsid w:val="000A3E93"/>
    <w:rsid w:val="000A472C"/>
    <w:rsid w:val="000A5773"/>
    <w:rsid w:val="000B05A0"/>
    <w:rsid w:val="000B33EE"/>
    <w:rsid w:val="000B4225"/>
    <w:rsid w:val="000B4293"/>
    <w:rsid w:val="000B5AC6"/>
    <w:rsid w:val="000C259E"/>
    <w:rsid w:val="000C3E0C"/>
    <w:rsid w:val="000C61E5"/>
    <w:rsid w:val="000C6252"/>
    <w:rsid w:val="000C6F8A"/>
    <w:rsid w:val="000D2D4B"/>
    <w:rsid w:val="000D45F4"/>
    <w:rsid w:val="000D4A16"/>
    <w:rsid w:val="000D5AB4"/>
    <w:rsid w:val="000D66DB"/>
    <w:rsid w:val="000D7EBA"/>
    <w:rsid w:val="000E7A5B"/>
    <w:rsid w:val="000E7BBA"/>
    <w:rsid w:val="000F31F6"/>
    <w:rsid w:val="000F512F"/>
    <w:rsid w:val="001054D4"/>
    <w:rsid w:val="0010686C"/>
    <w:rsid w:val="00106F79"/>
    <w:rsid w:val="00107C5F"/>
    <w:rsid w:val="00107CCC"/>
    <w:rsid w:val="00110011"/>
    <w:rsid w:val="001105BD"/>
    <w:rsid w:val="00111276"/>
    <w:rsid w:val="00111606"/>
    <w:rsid w:val="00111861"/>
    <w:rsid w:val="00115C59"/>
    <w:rsid w:val="00116C82"/>
    <w:rsid w:val="00120E85"/>
    <w:rsid w:val="00123ADA"/>
    <w:rsid w:val="00125573"/>
    <w:rsid w:val="0012642A"/>
    <w:rsid w:val="00126D17"/>
    <w:rsid w:val="001305BF"/>
    <w:rsid w:val="00131988"/>
    <w:rsid w:val="00135945"/>
    <w:rsid w:val="00135C25"/>
    <w:rsid w:val="00136C14"/>
    <w:rsid w:val="001370B1"/>
    <w:rsid w:val="001377CA"/>
    <w:rsid w:val="00137AC4"/>
    <w:rsid w:val="00140B94"/>
    <w:rsid w:val="001442D9"/>
    <w:rsid w:val="001450FB"/>
    <w:rsid w:val="0014658A"/>
    <w:rsid w:val="00146C79"/>
    <w:rsid w:val="00147DB8"/>
    <w:rsid w:val="00151023"/>
    <w:rsid w:val="00151683"/>
    <w:rsid w:val="0015392F"/>
    <w:rsid w:val="0015563E"/>
    <w:rsid w:val="00155F66"/>
    <w:rsid w:val="00156DC5"/>
    <w:rsid w:val="00160DBA"/>
    <w:rsid w:val="0016390D"/>
    <w:rsid w:val="00163FF6"/>
    <w:rsid w:val="00164057"/>
    <w:rsid w:val="00165B37"/>
    <w:rsid w:val="00170369"/>
    <w:rsid w:val="00173757"/>
    <w:rsid w:val="00174176"/>
    <w:rsid w:val="00181A8E"/>
    <w:rsid w:val="00181B47"/>
    <w:rsid w:val="00181D92"/>
    <w:rsid w:val="001823B6"/>
    <w:rsid w:val="001848EB"/>
    <w:rsid w:val="00187DB9"/>
    <w:rsid w:val="0019077D"/>
    <w:rsid w:val="00190994"/>
    <w:rsid w:val="0019194D"/>
    <w:rsid w:val="00192326"/>
    <w:rsid w:val="001A266C"/>
    <w:rsid w:val="001A4240"/>
    <w:rsid w:val="001A47ED"/>
    <w:rsid w:val="001A6821"/>
    <w:rsid w:val="001A698A"/>
    <w:rsid w:val="001A734D"/>
    <w:rsid w:val="001B1F27"/>
    <w:rsid w:val="001B4224"/>
    <w:rsid w:val="001B71B0"/>
    <w:rsid w:val="001B7472"/>
    <w:rsid w:val="001C10AC"/>
    <w:rsid w:val="001C3FE1"/>
    <w:rsid w:val="001C55FB"/>
    <w:rsid w:val="001C7540"/>
    <w:rsid w:val="001C78A1"/>
    <w:rsid w:val="001C7E83"/>
    <w:rsid w:val="001D09C9"/>
    <w:rsid w:val="001D12BC"/>
    <w:rsid w:val="001D561D"/>
    <w:rsid w:val="001E18CC"/>
    <w:rsid w:val="001E3D2D"/>
    <w:rsid w:val="001E3D53"/>
    <w:rsid w:val="001E4605"/>
    <w:rsid w:val="001E5F4E"/>
    <w:rsid w:val="001E721C"/>
    <w:rsid w:val="001F1756"/>
    <w:rsid w:val="001F2378"/>
    <w:rsid w:val="001F2689"/>
    <w:rsid w:val="001F2AB7"/>
    <w:rsid w:val="001F3C9B"/>
    <w:rsid w:val="001F3E77"/>
    <w:rsid w:val="001F5110"/>
    <w:rsid w:val="001F5702"/>
    <w:rsid w:val="001F57DE"/>
    <w:rsid w:val="002002FC"/>
    <w:rsid w:val="00201F71"/>
    <w:rsid w:val="00203934"/>
    <w:rsid w:val="002042EE"/>
    <w:rsid w:val="0020446B"/>
    <w:rsid w:val="00204670"/>
    <w:rsid w:val="00204BA7"/>
    <w:rsid w:val="00204D37"/>
    <w:rsid w:val="00206818"/>
    <w:rsid w:val="002072AB"/>
    <w:rsid w:val="00210140"/>
    <w:rsid w:val="00211942"/>
    <w:rsid w:val="00214D95"/>
    <w:rsid w:val="00215531"/>
    <w:rsid w:val="00215D2E"/>
    <w:rsid w:val="00220933"/>
    <w:rsid w:val="00220C72"/>
    <w:rsid w:val="0022230A"/>
    <w:rsid w:val="0022540C"/>
    <w:rsid w:val="00226AA4"/>
    <w:rsid w:val="00230BF7"/>
    <w:rsid w:val="00231B80"/>
    <w:rsid w:val="00232D5C"/>
    <w:rsid w:val="00233C8A"/>
    <w:rsid w:val="00236036"/>
    <w:rsid w:val="00240D90"/>
    <w:rsid w:val="002462A3"/>
    <w:rsid w:val="00250F21"/>
    <w:rsid w:val="00253CB1"/>
    <w:rsid w:val="002543F9"/>
    <w:rsid w:val="00254DBD"/>
    <w:rsid w:val="00257ADD"/>
    <w:rsid w:val="00263CF8"/>
    <w:rsid w:val="00265635"/>
    <w:rsid w:val="00266389"/>
    <w:rsid w:val="002675F7"/>
    <w:rsid w:val="002725A5"/>
    <w:rsid w:val="0027314F"/>
    <w:rsid w:val="00275313"/>
    <w:rsid w:val="0027745A"/>
    <w:rsid w:val="0028289F"/>
    <w:rsid w:val="002840F8"/>
    <w:rsid w:val="00284157"/>
    <w:rsid w:val="00285631"/>
    <w:rsid w:val="00290D94"/>
    <w:rsid w:val="0029203C"/>
    <w:rsid w:val="00293B68"/>
    <w:rsid w:val="00294873"/>
    <w:rsid w:val="00295748"/>
    <w:rsid w:val="00295925"/>
    <w:rsid w:val="002A054A"/>
    <w:rsid w:val="002A27D1"/>
    <w:rsid w:val="002A478B"/>
    <w:rsid w:val="002A4A81"/>
    <w:rsid w:val="002A6850"/>
    <w:rsid w:val="002A7CE8"/>
    <w:rsid w:val="002B0671"/>
    <w:rsid w:val="002B262F"/>
    <w:rsid w:val="002B3553"/>
    <w:rsid w:val="002B400E"/>
    <w:rsid w:val="002B543B"/>
    <w:rsid w:val="002B5E06"/>
    <w:rsid w:val="002C0CFF"/>
    <w:rsid w:val="002D0BD9"/>
    <w:rsid w:val="002D1433"/>
    <w:rsid w:val="002D1673"/>
    <w:rsid w:val="002D16A0"/>
    <w:rsid w:val="002D2930"/>
    <w:rsid w:val="002D2DFF"/>
    <w:rsid w:val="002D43A0"/>
    <w:rsid w:val="002E1DF0"/>
    <w:rsid w:val="002E4E3E"/>
    <w:rsid w:val="002E539F"/>
    <w:rsid w:val="002E76B2"/>
    <w:rsid w:val="002E79A2"/>
    <w:rsid w:val="002F1DB5"/>
    <w:rsid w:val="002F55FD"/>
    <w:rsid w:val="002F594C"/>
    <w:rsid w:val="00301984"/>
    <w:rsid w:val="00301B0B"/>
    <w:rsid w:val="00301E84"/>
    <w:rsid w:val="00303D1B"/>
    <w:rsid w:val="003046B7"/>
    <w:rsid w:val="0031543C"/>
    <w:rsid w:val="00317A57"/>
    <w:rsid w:val="00320A99"/>
    <w:rsid w:val="0032144B"/>
    <w:rsid w:val="00321DDF"/>
    <w:rsid w:val="00322D5B"/>
    <w:rsid w:val="00325AC2"/>
    <w:rsid w:val="00326A1C"/>
    <w:rsid w:val="00334425"/>
    <w:rsid w:val="00334A2B"/>
    <w:rsid w:val="003360E3"/>
    <w:rsid w:val="003371D5"/>
    <w:rsid w:val="003376CD"/>
    <w:rsid w:val="003452C3"/>
    <w:rsid w:val="003501A7"/>
    <w:rsid w:val="0035048A"/>
    <w:rsid w:val="0035085D"/>
    <w:rsid w:val="00350E50"/>
    <w:rsid w:val="003528D8"/>
    <w:rsid w:val="0035474E"/>
    <w:rsid w:val="003575CC"/>
    <w:rsid w:val="00361DF0"/>
    <w:rsid w:val="00362509"/>
    <w:rsid w:val="0036263B"/>
    <w:rsid w:val="00363B62"/>
    <w:rsid w:val="003645B0"/>
    <w:rsid w:val="00364B2C"/>
    <w:rsid w:val="003664F1"/>
    <w:rsid w:val="00367E3F"/>
    <w:rsid w:val="00376040"/>
    <w:rsid w:val="00377EA5"/>
    <w:rsid w:val="00377F77"/>
    <w:rsid w:val="00383073"/>
    <w:rsid w:val="0038438F"/>
    <w:rsid w:val="003864CF"/>
    <w:rsid w:val="003869B3"/>
    <w:rsid w:val="00387C67"/>
    <w:rsid w:val="00387D98"/>
    <w:rsid w:val="003907A0"/>
    <w:rsid w:val="00390B0F"/>
    <w:rsid w:val="00390B38"/>
    <w:rsid w:val="00390B6B"/>
    <w:rsid w:val="00391700"/>
    <w:rsid w:val="00391CFE"/>
    <w:rsid w:val="0039353B"/>
    <w:rsid w:val="00394424"/>
    <w:rsid w:val="00394F9E"/>
    <w:rsid w:val="00395426"/>
    <w:rsid w:val="00395B91"/>
    <w:rsid w:val="00395DE4"/>
    <w:rsid w:val="00396615"/>
    <w:rsid w:val="0039700D"/>
    <w:rsid w:val="00397089"/>
    <w:rsid w:val="003978A8"/>
    <w:rsid w:val="003A0370"/>
    <w:rsid w:val="003A0F30"/>
    <w:rsid w:val="003A2F15"/>
    <w:rsid w:val="003A4C44"/>
    <w:rsid w:val="003A5AD0"/>
    <w:rsid w:val="003A6CE3"/>
    <w:rsid w:val="003A7899"/>
    <w:rsid w:val="003B1119"/>
    <w:rsid w:val="003B15EE"/>
    <w:rsid w:val="003B517D"/>
    <w:rsid w:val="003B60EC"/>
    <w:rsid w:val="003B7A13"/>
    <w:rsid w:val="003C00ED"/>
    <w:rsid w:val="003C1C0A"/>
    <w:rsid w:val="003C35DF"/>
    <w:rsid w:val="003C4A68"/>
    <w:rsid w:val="003C554F"/>
    <w:rsid w:val="003C61DD"/>
    <w:rsid w:val="003C7013"/>
    <w:rsid w:val="003C7EC1"/>
    <w:rsid w:val="003D108D"/>
    <w:rsid w:val="003D34D5"/>
    <w:rsid w:val="003D63E7"/>
    <w:rsid w:val="003D6CAE"/>
    <w:rsid w:val="003E05F1"/>
    <w:rsid w:val="003E07E0"/>
    <w:rsid w:val="003E113B"/>
    <w:rsid w:val="003E1F69"/>
    <w:rsid w:val="003E3AAC"/>
    <w:rsid w:val="003E5092"/>
    <w:rsid w:val="003E53AA"/>
    <w:rsid w:val="003E715D"/>
    <w:rsid w:val="003F04E4"/>
    <w:rsid w:val="003F103E"/>
    <w:rsid w:val="003F2E48"/>
    <w:rsid w:val="003F440C"/>
    <w:rsid w:val="003F525A"/>
    <w:rsid w:val="003F7BE6"/>
    <w:rsid w:val="004006A9"/>
    <w:rsid w:val="00403EFF"/>
    <w:rsid w:val="004052AE"/>
    <w:rsid w:val="004076E0"/>
    <w:rsid w:val="004118A5"/>
    <w:rsid w:val="00413294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25EE"/>
    <w:rsid w:val="00423478"/>
    <w:rsid w:val="004236E5"/>
    <w:rsid w:val="004245DB"/>
    <w:rsid w:val="00424786"/>
    <w:rsid w:val="004248AA"/>
    <w:rsid w:val="00424D74"/>
    <w:rsid w:val="00425B76"/>
    <w:rsid w:val="004260A2"/>
    <w:rsid w:val="00426937"/>
    <w:rsid w:val="00426FC6"/>
    <w:rsid w:val="004273BC"/>
    <w:rsid w:val="00427C5F"/>
    <w:rsid w:val="00433463"/>
    <w:rsid w:val="00434802"/>
    <w:rsid w:val="004447DB"/>
    <w:rsid w:val="00445103"/>
    <w:rsid w:val="0044686A"/>
    <w:rsid w:val="00447051"/>
    <w:rsid w:val="004507E5"/>
    <w:rsid w:val="004519AD"/>
    <w:rsid w:val="0045377B"/>
    <w:rsid w:val="0045459A"/>
    <w:rsid w:val="0045521B"/>
    <w:rsid w:val="00460F76"/>
    <w:rsid w:val="00461085"/>
    <w:rsid w:val="00463050"/>
    <w:rsid w:val="0046340F"/>
    <w:rsid w:val="00466168"/>
    <w:rsid w:val="004700FB"/>
    <w:rsid w:val="004714D4"/>
    <w:rsid w:val="004716F5"/>
    <w:rsid w:val="004736BE"/>
    <w:rsid w:val="00475712"/>
    <w:rsid w:val="0048054D"/>
    <w:rsid w:val="00480CCE"/>
    <w:rsid w:val="00482F99"/>
    <w:rsid w:val="00482FAA"/>
    <w:rsid w:val="00487C4E"/>
    <w:rsid w:val="0049075F"/>
    <w:rsid w:val="00492DA8"/>
    <w:rsid w:val="004A05B3"/>
    <w:rsid w:val="004A0888"/>
    <w:rsid w:val="004A3F8D"/>
    <w:rsid w:val="004A43B6"/>
    <w:rsid w:val="004A70EE"/>
    <w:rsid w:val="004A774E"/>
    <w:rsid w:val="004A7D3E"/>
    <w:rsid w:val="004A7FF9"/>
    <w:rsid w:val="004B379D"/>
    <w:rsid w:val="004B5F0C"/>
    <w:rsid w:val="004B6031"/>
    <w:rsid w:val="004B60C8"/>
    <w:rsid w:val="004C046E"/>
    <w:rsid w:val="004C1609"/>
    <w:rsid w:val="004C216B"/>
    <w:rsid w:val="004C2E4A"/>
    <w:rsid w:val="004C3B0B"/>
    <w:rsid w:val="004C5DD3"/>
    <w:rsid w:val="004C5F3B"/>
    <w:rsid w:val="004D0283"/>
    <w:rsid w:val="004D30F9"/>
    <w:rsid w:val="004D3733"/>
    <w:rsid w:val="004D4040"/>
    <w:rsid w:val="004D4A32"/>
    <w:rsid w:val="004D64AB"/>
    <w:rsid w:val="004E0AC1"/>
    <w:rsid w:val="004E3397"/>
    <w:rsid w:val="004E4C3C"/>
    <w:rsid w:val="004E51C1"/>
    <w:rsid w:val="004E7CE8"/>
    <w:rsid w:val="004E7D5A"/>
    <w:rsid w:val="004F1F94"/>
    <w:rsid w:val="004F271D"/>
    <w:rsid w:val="004F5114"/>
    <w:rsid w:val="004F756C"/>
    <w:rsid w:val="005019AF"/>
    <w:rsid w:val="0050488D"/>
    <w:rsid w:val="00504F54"/>
    <w:rsid w:val="0050527A"/>
    <w:rsid w:val="0050535A"/>
    <w:rsid w:val="0050618C"/>
    <w:rsid w:val="005079A6"/>
    <w:rsid w:val="00511192"/>
    <w:rsid w:val="005118AD"/>
    <w:rsid w:val="005220C2"/>
    <w:rsid w:val="0052211E"/>
    <w:rsid w:val="00523369"/>
    <w:rsid w:val="0052398F"/>
    <w:rsid w:val="00523BAA"/>
    <w:rsid w:val="00525229"/>
    <w:rsid w:val="005278F8"/>
    <w:rsid w:val="00527DA0"/>
    <w:rsid w:val="00532250"/>
    <w:rsid w:val="00532960"/>
    <w:rsid w:val="00533F59"/>
    <w:rsid w:val="00545A73"/>
    <w:rsid w:val="0054691A"/>
    <w:rsid w:val="00546DEB"/>
    <w:rsid w:val="00546F0F"/>
    <w:rsid w:val="005477E7"/>
    <w:rsid w:val="00550159"/>
    <w:rsid w:val="00551161"/>
    <w:rsid w:val="00551FFD"/>
    <w:rsid w:val="005551ED"/>
    <w:rsid w:val="00556419"/>
    <w:rsid w:val="005572B4"/>
    <w:rsid w:val="005572DD"/>
    <w:rsid w:val="00560564"/>
    <w:rsid w:val="00562E2B"/>
    <w:rsid w:val="00564668"/>
    <w:rsid w:val="00570353"/>
    <w:rsid w:val="00570ABF"/>
    <w:rsid w:val="005715F5"/>
    <w:rsid w:val="0057171E"/>
    <w:rsid w:val="00572666"/>
    <w:rsid w:val="0057267E"/>
    <w:rsid w:val="005726BD"/>
    <w:rsid w:val="00574A5A"/>
    <w:rsid w:val="0057512A"/>
    <w:rsid w:val="00580C91"/>
    <w:rsid w:val="00583ED5"/>
    <w:rsid w:val="00585D33"/>
    <w:rsid w:val="00587437"/>
    <w:rsid w:val="00592678"/>
    <w:rsid w:val="00593693"/>
    <w:rsid w:val="00594644"/>
    <w:rsid w:val="0059526F"/>
    <w:rsid w:val="00596F36"/>
    <w:rsid w:val="00597F62"/>
    <w:rsid w:val="005A16CB"/>
    <w:rsid w:val="005A1741"/>
    <w:rsid w:val="005A235F"/>
    <w:rsid w:val="005A266D"/>
    <w:rsid w:val="005A609A"/>
    <w:rsid w:val="005A751F"/>
    <w:rsid w:val="005A7719"/>
    <w:rsid w:val="005A77C2"/>
    <w:rsid w:val="005B0C5D"/>
    <w:rsid w:val="005B1042"/>
    <w:rsid w:val="005B1F4C"/>
    <w:rsid w:val="005B291B"/>
    <w:rsid w:val="005B2D9B"/>
    <w:rsid w:val="005B6CA7"/>
    <w:rsid w:val="005B76C5"/>
    <w:rsid w:val="005B7AF0"/>
    <w:rsid w:val="005B7B8A"/>
    <w:rsid w:val="005C09C6"/>
    <w:rsid w:val="005C3782"/>
    <w:rsid w:val="005C458D"/>
    <w:rsid w:val="005C48F4"/>
    <w:rsid w:val="005C491E"/>
    <w:rsid w:val="005C5E0A"/>
    <w:rsid w:val="005C6C0C"/>
    <w:rsid w:val="005C7C7C"/>
    <w:rsid w:val="005C7ECD"/>
    <w:rsid w:val="005D1B1D"/>
    <w:rsid w:val="005D2276"/>
    <w:rsid w:val="005D25FD"/>
    <w:rsid w:val="005D2808"/>
    <w:rsid w:val="005E0858"/>
    <w:rsid w:val="005E154B"/>
    <w:rsid w:val="005E2794"/>
    <w:rsid w:val="005E3CBF"/>
    <w:rsid w:val="005E665D"/>
    <w:rsid w:val="005E6F9D"/>
    <w:rsid w:val="005E7201"/>
    <w:rsid w:val="005E7B5A"/>
    <w:rsid w:val="005F01FC"/>
    <w:rsid w:val="005F0C89"/>
    <w:rsid w:val="005F1CDC"/>
    <w:rsid w:val="005F2EAD"/>
    <w:rsid w:val="005F3701"/>
    <w:rsid w:val="005F41DF"/>
    <w:rsid w:val="005F4521"/>
    <w:rsid w:val="005F5478"/>
    <w:rsid w:val="005F5694"/>
    <w:rsid w:val="005F5C45"/>
    <w:rsid w:val="005F79D7"/>
    <w:rsid w:val="0060030E"/>
    <w:rsid w:val="006006FC"/>
    <w:rsid w:val="006045BA"/>
    <w:rsid w:val="0060583A"/>
    <w:rsid w:val="00605931"/>
    <w:rsid w:val="0060632B"/>
    <w:rsid w:val="00611649"/>
    <w:rsid w:val="00611A0E"/>
    <w:rsid w:val="00612F66"/>
    <w:rsid w:val="00614154"/>
    <w:rsid w:val="00614BD3"/>
    <w:rsid w:val="00623A77"/>
    <w:rsid w:val="006246C5"/>
    <w:rsid w:val="006256F5"/>
    <w:rsid w:val="00626278"/>
    <w:rsid w:val="0063097B"/>
    <w:rsid w:val="00635172"/>
    <w:rsid w:val="0063551F"/>
    <w:rsid w:val="006364B8"/>
    <w:rsid w:val="00636A64"/>
    <w:rsid w:val="00636B93"/>
    <w:rsid w:val="006376A5"/>
    <w:rsid w:val="00640550"/>
    <w:rsid w:val="00642E46"/>
    <w:rsid w:val="0064326A"/>
    <w:rsid w:val="00643937"/>
    <w:rsid w:val="00643DA8"/>
    <w:rsid w:val="00644D5D"/>
    <w:rsid w:val="00646DC7"/>
    <w:rsid w:val="006511FB"/>
    <w:rsid w:val="00651A9D"/>
    <w:rsid w:val="00653F00"/>
    <w:rsid w:val="00656092"/>
    <w:rsid w:val="0065741C"/>
    <w:rsid w:val="006575A4"/>
    <w:rsid w:val="00657757"/>
    <w:rsid w:val="00660351"/>
    <w:rsid w:val="00660B85"/>
    <w:rsid w:val="00664F6D"/>
    <w:rsid w:val="006650B8"/>
    <w:rsid w:val="00665CF2"/>
    <w:rsid w:val="00666329"/>
    <w:rsid w:val="006672EE"/>
    <w:rsid w:val="0067011F"/>
    <w:rsid w:val="0067015E"/>
    <w:rsid w:val="00674C77"/>
    <w:rsid w:val="0068044F"/>
    <w:rsid w:val="00680453"/>
    <w:rsid w:val="00682526"/>
    <w:rsid w:val="00683555"/>
    <w:rsid w:val="0068405A"/>
    <w:rsid w:val="00686F1D"/>
    <w:rsid w:val="00690E8C"/>
    <w:rsid w:val="0069251E"/>
    <w:rsid w:val="00692F7A"/>
    <w:rsid w:val="006943DC"/>
    <w:rsid w:val="00695E06"/>
    <w:rsid w:val="00696315"/>
    <w:rsid w:val="006A0D51"/>
    <w:rsid w:val="006A1C05"/>
    <w:rsid w:val="006A225B"/>
    <w:rsid w:val="006A30D2"/>
    <w:rsid w:val="006A5A6A"/>
    <w:rsid w:val="006A5FE3"/>
    <w:rsid w:val="006A63D8"/>
    <w:rsid w:val="006B23B2"/>
    <w:rsid w:val="006B4845"/>
    <w:rsid w:val="006B5260"/>
    <w:rsid w:val="006B635C"/>
    <w:rsid w:val="006C1708"/>
    <w:rsid w:val="006C1C29"/>
    <w:rsid w:val="006C3CDE"/>
    <w:rsid w:val="006C4745"/>
    <w:rsid w:val="006D07DD"/>
    <w:rsid w:val="006D0EE8"/>
    <w:rsid w:val="006D3162"/>
    <w:rsid w:val="006D37E7"/>
    <w:rsid w:val="006D4B55"/>
    <w:rsid w:val="006D5146"/>
    <w:rsid w:val="006D59D6"/>
    <w:rsid w:val="006D5C04"/>
    <w:rsid w:val="006D7508"/>
    <w:rsid w:val="006E0F2F"/>
    <w:rsid w:val="006E19D7"/>
    <w:rsid w:val="006E66A4"/>
    <w:rsid w:val="006E71B9"/>
    <w:rsid w:val="006F39B2"/>
    <w:rsid w:val="006F5384"/>
    <w:rsid w:val="006F6575"/>
    <w:rsid w:val="006F6604"/>
    <w:rsid w:val="006F6750"/>
    <w:rsid w:val="006F71D8"/>
    <w:rsid w:val="006F7D1A"/>
    <w:rsid w:val="0070346C"/>
    <w:rsid w:val="007051A0"/>
    <w:rsid w:val="00706496"/>
    <w:rsid w:val="007067C0"/>
    <w:rsid w:val="00711995"/>
    <w:rsid w:val="00711A12"/>
    <w:rsid w:val="00711F11"/>
    <w:rsid w:val="00715DB9"/>
    <w:rsid w:val="00716E24"/>
    <w:rsid w:val="00720F1A"/>
    <w:rsid w:val="007218A0"/>
    <w:rsid w:val="00722EA3"/>
    <w:rsid w:val="007236A9"/>
    <w:rsid w:val="007238AF"/>
    <w:rsid w:val="00726908"/>
    <w:rsid w:val="007270C7"/>
    <w:rsid w:val="00730F3A"/>
    <w:rsid w:val="00731944"/>
    <w:rsid w:val="00735F34"/>
    <w:rsid w:val="00741200"/>
    <w:rsid w:val="00741333"/>
    <w:rsid w:val="00742FF2"/>
    <w:rsid w:val="00744CCB"/>
    <w:rsid w:val="00744D6A"/>
    <w:rsid w:val="00744FE4"/>
    <w:rsid w:val="00745173"/>
    <w:rsid w:val="00746138"/>
    <w:rsid w:val="0074620A"/>
    <w:rsid w:val="00750980"/>
    <w:rsid w:val="00751D50"/>
    <w:rsid w:val="007527D5"/>
    <w:rsid w:val="00752F3C"/>
    <w:rsid w:val="007561FC"/>
    <w:rsid w:val="00761D34"/>
    <w:rsid w:val="00762D2D"/>
    <w:rsid w:val="0076367B"/>
    <w:rsid w:val="00764622"/>
    <w:rsid w:val="00764CAD"/>
    <w:rsid w:val="007658F6"/>
    <w:rsid w:val="00770FA1"/>
    <w:rsid w:val="00772149"/>
    <w:rsid w:val="00773884"/>
    <w:rsid w:val="00774813"/>
    <w:rsid w:val="0078030B"/>
    <w:rsid w:val="0078052A"/>
    <w:rsid w:val="007812FB"/>
    <w:rsid w:val="00782063"/>
    <w:rsid w:val="00782B1B"/>
    <w:rsid w:val="0078326D"/>
    <w:rsid w:val="00784032"/>
    <w:rsid w:val="00786E79"/>
    <w:rsid w:val="00787925"/>
    <w:rsid w:val="00790E31"/>
    <w:rsid w:val="00792582"/>
    <w:rsid w:val="00793B87"/>
    <w:rsid w:val="007941EB"/>
    <w:rsid w:val="0079566E"/>
    <w:rsid w:val="007956F1"/>
    <w:rsid w:val="00796509"/>
    <w:rsid w:val="0079691E"/>
    <w:rsid w:val="00797723"/>
    <w:rsid w:val="007A15B5"/>
    <w:rsid w:val="007A3B19"/>
    <w:rsid w:val="007A650B"/>
    <w:rsid w:val="007B0518"/>
    <w:rsid w:val="007B1EEE"/>
    <w:rsid w:val="007B249B"/>
    <w:rsid w:val="007B3E9A"/>
    <w:rsid w:val="007B6D4D"/>
    <w:rsid w:val="007C0F7A"/>
    <w:rsid w:val="007C2330"/>
    <w:rsid w:val="007C49B0"/>
    <w:rsid w:val="007D07A4"/>
    <w:rsid w:val="007D24A9"/>
    <w:rsid w:val="007D27FA"/>
    <w:rsid w:val="007D2B89"/>
    <w:rsid w:val="007D30B5"/>
    <w:rsid w:val="007D6218"/>
    <w:rsid w:val="007D6699"/>
    <w:rsid w:val="007D7E30"/>
    <w:rsid w:val="007E4E2F"/>
    <w:rsid w:val="007E6419"/>
    <w:rsid w:val="007F6815"/>
    <w:rsid w:val="007F7444"/>
    <w:rsid w:val="00800A1B"/>
    <w:rsid w:val="00801756"/>
    <w:rsid w:val="0080681B"/>
    <w:rsid w:val="0080738C"/>
    <w:rsid w:val="00810B77"/>
    <w:rsid w:val="00812EC9"/>
    <w:rsid w:val="008160C0"/>
    <w:rsid w:val="00817436"/>
    <w:rsid w:val="008216F9"/>
    <w:rsid w:val="0082542D"/>
    <w:rsid w:val="00827259"/>
    <w:rsid w:val="00827834"/>
    <w:rsid w:val="00832835"/>
    <w:rsid w:val="00835110"/>
    <w:rsid w:val="008351FC"/>
    <w:rsid w:val="00835F2A"/>
    <w:rsid w:val="0084000E"/>
    <w:rsid w:val="00841F50"/>
    <w:rsid w:val="00843A0E"/>
    <w:rsid w:val="0084411B"/>
    <w:rsid w:val="00844481"/>
    <w:rsid w:val="00844661"/>
    <w:rsid w:val="00845DFE"/>
    <w:rsid w:val="00846E17"/>
    <w:rsid w:val="0084714F"/>
    <w:rsid w:val="00853750"/>
    <w:rsid w:val="00854283"/>
    <w:rsid w:val="00856B47"/>
    <w:rsid w:val="008573E3"/>
    <w:rsid w:val="00861E81"/>
    <w:rsid w:val="00862BB1"/>
    <w:rsid w:val="0086320B"/>
    <w:rsid w:val="008645FF"/>
    <w:rsid w:val="00866D42"/>
    <w:rsid w:val="0087030E"/>
    <w:rsid w:val="0087099F"/>
    <w:rsid w:val="00870AAC"/>
    <w:rsid w:val="00870E83"/>
    <w:rsid w:val="008734F7"/>
    <w:rsid w:val="00874E9F"/>
    <w:rsid w:val="00877842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4F15"/>
    <w:rsid w:val="00895E48"/>
    <w:rsid w:val="00896687"/>
    <w:rsid w:val="008971F4"/>
    <w:rsid w:val="008A0E7D"/>
    <w:rsid w:val="008A3023"/>
    <w:rsid w:val="008A403F"/>
    <w:rsid w:val="008A6815"/>
    <w:rsid w:val="008B1031"/>
    <w:rsid w:val="008B198C"/>
    <w:rsid w:val="008B2303"/>
    <w:rsid w:val="008B34A0"/>
    <w:rsid w:val="008B3561"/>
    <w:rsid w:val="008B45B9"/>
    <w:rsid w:val="008B51E1"/>
    <w:rsid w:val="008B5740"/>
    <w:rsid w:val="008B5932"/>
    <w:rsid w:val="008B7A89"/>
    <w:rsid w:val="008C0B84"/>
    <w:rsid w:val="008C41DA"/>
    <w:rsid w:val="008C553A"/>
    <w:rsid w:val="008C588E"/>
    <w:rsid w:val="008C7226"/>
    <w:rsid w:val="008D1A1B"/>
    <w:rsid w:val="008D763B"/>
    <w:rsid w:val="008D7B80"/>
    <w:rsid w:val="008E3F36"/>
    <w:rsid w:val="008E4184"/>
    <w:rsid w:val="008E549F"/>
    <w:rsid w:val="008E6301"/>
    <w:rsid w:val="008E6422"/>
    <w:rsid w:val="008E7382"/>
    <w:rsid w:val="008F10BC"/>
    <w:rsid w:val="008F18AA"/>
    <w:rsid w:val="008F2052"/>
    <w:rsid w:val="008F2177"/>
    <w:rsid w:val="008F26ED"/>
    <w:rsid w:val="008F2A38"/>
    <w:rsid w:val="008F3012"/>
    <w:rsid w:val="008F592B"/>
    <w:rsid w:val="00900691"/>
    <w:rsid w:val="00901D89"/>
    <w:rsid w:val="00903770"/>
    <w:rsid w:val="00903775"/>
    <w:rsid w:val="00905730"/>
    <w:rsid w:val="00907A7C"/>
    <w:rsid w:val="009109F7"/>
    <w:rsid w:val="00912137"/>
    <w:rsid w:val="0091375A"/>
    <w:rsid w:val="009146CF"/>
    <w:rsid w:val="009151B5"/>
    <w:rsid w:val="00915BED"/>
    <w:rsid w:val="00916B64"/>
    <w:rsid w:val="0092145D"/>
    <w:rsid w:val="009245DE"/>
    <w:rsid w:val="00930762"/>
    <w:rsid w:val="00930C0C"/>
    <w:rsid w:val="00933934"/>
    <w:rsid w:val="00934721"/>
    <w:rsid w:val="009368B2"/>
    <w:rsid w:val="00936B81"/>
    <w:rsid w:val="00944701"/>
    <w:rsid w:val="00950ED1"/>
    <w:rsid w:val="009542BB"/>
    <w:rsid w:val="0095444E"/>
    <w:rsid w:val="00955C67"/>
    <w:rsid w:val="00957B65"/>
    <w:rsid w:val="00960AFF"/>
    <w:rsid w:val="00963F62"/>
    <w:rsid w:val="009649BE"/>
    <w:rsid w:val="00965EFC"/>
    <w:rsid w:val="0097515F"/>
    <w:rsid w:val="0097527E"/>
    <w:rsid w:val="009762D2"/>
    <w:rsid w:val="009762F1"/>
    <w:rsid w:val="00976439"/>
    <w:rsid w:val="0097692D"/>
    <w:rsid w:val="009776D2"/>
    <w:rsid w:val="009777E9"/>
    <w:rsid w:val="00977EA8"/>
    <w:rsid w:val="0098140D"/>
    <w:rsid w:val="009817F9"/>
    <w:rsid w:val="00981CED"/>
    <w:rsid w:val="009836FB"/>
    <w:rsid w:val="00984B10"/>
    <w:rsid w:val="00986933"/>
    <w:rsid w:val="00987225"/>
    <w:rsid w:val="00990870"/>
    <w:rsid w:val="00990DCF"/>
    <w:rsid w:val="009920F5"/>
    <w:rsid w:val="00992B56"/>
    <w:rsid w:val="00992CDA"/>
    <w:rsid w:val="00993342"/>
    <w:rsid w:val="009961E3"/>
    <w:rsid w:val="00996CE4"/>
    <w:rsid w:val="009A04B2"/>
    <w:rsid w:val="009A3F36"/>
    <w:rsid w:val="009A465E"/>
    <w:rsid w:val="009A48D8"/>
    <w:rsid w:val="009A5991"/>
    <w:rsid w:val="009A6C59"/>
    <w:rsid w:val="009A7878"/>
    <w:rsid w:val="009B0888"/>
    <w:rsid w:val="009B33DF"/>
    <w:rsid w:val="009B4270"/>
    <w:rsid w:val="009B44CC"/>
    <w:rsid w:val="009B5651"/>
    <w:rsid w:val="009B62E4"/>
    <w:rsid w:val="009C2455"/>
    <w:rsid w:val="009C4319"/>
    <w:rsid w:val="009C5327"/>
    <w:rsid w:val="009C55FC"/>
    <w:rsid w:val="009C69B5"/>
    <w:rsid w:val="009C75F7"/>
    <w:rsid w:val="009C7A97"/>
    <w:rsid w:val="009D109E"/>
    <w:rsid w:val="009D1CD9"/>
    <w:rsid w:val="009D1F28"/>
    <w:rsid w:val="009D4830"/>
    <w:rsid w:val="009D4D06"/>
    <w:rsid w:val="009D592E"/>
    <w:rsid w:val="009D797A"/>
    <w:rsid w:val="009E026A"/>
    <w:rsid w:val="009E0501"/>
    <w:rsid w:val="009E1554"/>
    <w:rsid w:val="009E3B56"/>
    <w:rsid w:val="009E49B5"/>
    <w:rsid w:val="009E501D"/>
    <w:rsid w:val="009E551E"/>
    <w:rsid w:val="009E7066"/>
    <w:rsid w:val="009F1EF8"/>
    <w:rsid w:val="009F4B78"/>
    <w:rsid w:val="009F543A"/>
    <w:rsid w:val="009F606B"/>
    <w:rsid w:val="00A06840"/>
    <w:rsid w:val="00A06EAD"/>
    <w:rsid w:val="00A100F8"/>
    <w:rsid w:val="00A11739"/>
    <w:rsid w:val="00A1293C"/>
    <w:rsid w:val="00A13C8B"/>
    <w:rsid w:val="00A14F9B"/>
    <w:rsid w:val="00A167F1"/>
    <w:rsid w:val="00A20B36"/>
    <w:rsid w:val="00A20EC0"/>
    <w:rsid w:val="00A2150B"/>
    <w:rsid w:val="00A21557"/>
    <w:rsid w:val="00A215D9"/>
    <w:rsid w:val="00A21C45"/>
    <w:rsid w:val="00A2292C"/>
    <w:rsid w:val="00A231ED"/>
    <w:rsid w:val="00A23FC3"/>
    <w:rsid w:val="00A3288D"/>
    <w:rsid w:val="00A329DC"/>
    <w:rsid w:val="00A34D36"/>
    <w:rsid w:val="00A37910"/>
    <w:rsid w:val="00A40B92"/>
    <w:rsid w:val="00A41135"/>
    <w:rsid w:val="00A41FEB"/>
    <w:rsid w:val="00A431C6"/>
    <w:rsid w:val="00A445C7"/>
    <w:rsid w:val="00A44DA6"/>
    <w:rsid w:val="00A50921"/>
    <w:rsid w:val="00A50CFD"/>
    <w:rsid w:val="00A50D08"/>
    <w:rsid w:val="00A5160D"/>
    <w:rsid w:val="00A56CA4"/>
    <w:rsid w:val="00A65F04"/>
    <w:rsid w:val="00A65F2E"/>
    <w:rsid w:val="00A66453"/>
    <w:rsid w:val="00A67087"/>
    <w:rsid w:val="00A71AD5"/>
    <w:rsid w:val="00A72044"/>
    <w:rsid w:val="00A727D0"/>
    <w:rsid w:val="00A7622D"/>
    <w:rsid w:val="00A76230"/>
    <w:rsid w:val="00A8073E"/>
    <w:rsid w:val="00A80883"/>
    <w:rsid w:val="00A81BED"/>
    <w:rsid w:val="00A82FC6"/>
    <w:rsid w:val="00A85887"/>
    <w:rsid w:val="00A872CD"/>
    <w:rsid w:val="00A914D4"/>
    <w:rsid w:val="00A92270"/>
    <w:rsid w:val="00A932FB"/>
    <w:rsid w:val="00AA10AE"/>
    <w:rsid w:val="00AA1E68"/>
    <w:rsid w:val="00AA2BD9"/>
    <w:rsid w:val="00AA329F"/>
    <w:rsid w:val="00AA6728"/>
    <w:rsid w:val="00AA7B6A"/>
    <w:rsid w:val="00AA7CBE"/>
    <w:rsid w:val="00AA7DAB"/>
    <w:rsid w:val="00AB570C"/>
    <w:rsid w:val="00AB593E"/>
    <w:rsid w:val="00AB5D37"/>
    <w:rsid w:val="00AC3C7F"/>
    <w:rsid w:val="00AC4A2E"/>
    <w:rsid w:val="00AC4C5C"/>
    <w:rsid w:val="00AD1885"/>
    <w:rsid w:val="00AD3B5D"/>
    <w:rsid w:val="00AD43C3"/>
    <w:rsid w:val="00AD502D"/>
    <w:rsid w:val="00AD50BA"/>
    <w:rsid w:val="00AD6B77"/>
    <w:rsid w:val="00AE02E7"/>
    <w:rsid w:val="00AE0F75"/>
    <w:rsid w:val="00AE319E"/>
    <w:rsid w:val="00AE35AA"/>
    <w:rsid w:val="00AE3B2C"/>
    <w:rsid w:val="00AE3B4E"/>
    <w:rsid w:val="00AE676F"/>
    <w:rsid w:val="00AE6D3A"/>
    <w:rsid w:val="00AE709C"/>
    <w:rsid w:val="00AE7DD9"/>
    <w:rsid w:val="00AF2B38"/>
    <w:rsid w:val="00AF52B5"/>
    <w:rsid w:val="00B004C1"/>
    <w:rsid w:val="00B0168B"/>
    <w:rsid w:val="00B02CAA"/>
    <w:rsid w:val="00B03458"/>
    <w:rsid w:val="00B04B8E"/>
    <w:rsid w:val="00B1072F"/>
    <w:rsid w:val="00B15820"/>
    <w:rsid w:val="00B20D79"/>
    <w:rsid w:val="00B215D8"/>
    <w:rsid w:val="00B21853"/>
    <w:rsid w:val="00B2218A"/>
    <w:rsid w:val="00B23565"/>
    <w:rsid w:val="00B246ED"/>
    <w:rsid w:val="00B26DD0"/>
    <w:rsid w:val="00B27D54"/>
    <w:rsid w:val="00B338C8"/>
    <w:rsid w:val="00B341CC"/>
    <w:rsid w:val="00B34952"/>
    <w:rsid w:val="00B35321"/>
    <w:rsid w:val="00B35505"/>
    <w:rsid w:val="00B35CB3"/>
    <w:rsid w:val="00B35E0A"/>
    <w:rsid w:val="00B3638A"/>
    <w:rsid w:val="00B40124"/>
    <w:rsid w:val="00B406FB"/>
    <w:rsid w:val="00B40B86"/>
    <w:rsid w:val="00B42E03"/>
    <w:rsid w:val="00B43D8E"/>
    <w:rsid w:val="00B443E2"/>
    <w:rsid w:val="00B46222"/>
    <w:rsid w:val="00B54092"/>
    <w:rsid w:val="00B5444C"/>
    <w:rsid w:val="00B552D4"/>
    <w:rsid w:val="00B5568B"/>
    <w:rsid w:val="00B557BF"/>
    <w:rsid w:val="00B56147"/>
    <w:rsid w:val="00B5720A"/>
    <w:rsid w:val="00B5771E"/>
    <w:rsid w:val="00B604A0"/>
    <w:rsid w:val="00B60761"/>
    <w:rsid w:val="00B620A5"/>
    <w:rsid w:val="00B62BB1"/>
    <w:rsid w:val="00B63559"/>
    <w:rsid w:val="00B642DD"/>
    <w:rsid w:val="00B665D2"/>
    <w:rsid w:val="00B66B3C"/>
    <w:rsid w:val="00B67C6F"/>
    <w:rsid w:val="00B71A60"/>
    <w:rsid w:val="00B73979"/>
    <w:rsid w:val="00B751B0"/>
    <w:rsid w:val="00B762E0"/>
    <w:rsid w:val="00B76382"/>
    <w:rsid w:val="00B86C54"/>
    <w:rsid w:val="00B874C4"/>
    <w:rsid w:val="00B90F99"/>
    <w:rsid w:val="00B97AA2"/>
    <w:rsid w:val="00B97B8E"/>
    <w:rsid w:val="00BA00A8"/>
    <w:rsid w:val="00BA19B3"/>
    <w:rsid w:val="00BA3446"/>
    <w:rsid w:val="00BA37A4"/>
    <w:rsid w:val="00BA4FB0"/>
    <w:rsid w:val="00BA6138"/>
    <w:rsid w:val="00BB1930"/>
    <w:rsid w:val="00BB3478"/>
    <w:rsid w:val="00BB478B"/>
    <w:rsid w:val="00BB49AC"/>
    <w:rsid w:val="00BC19C3"/>
    <w:rsid w:val="00BC2247"/>
    <w:rsid w:val="00BC2919"/>
    <w:rsid w:val="00BC5572"/>
    <w:rsid w:val="00BC77A7"/>
    <w:rsid w:val="00BD1EC9"/>
    <w:rsid w:val="00BD497C"/>
    <w:rsid w:val="00BD57EE"/>
    <w:rsid w:val="00BD7300"/>
    <w:rsid w:val="00BE4097"/>
    <w:rsid w:val="00BE4E8A"/>
    <w:rsid w:val="00BE5553"/>
    <w:rsid w:val="00BF2A79"/>
    <w:rsid w:val="00BF375F"/>
    <w:rsid w:val="00C02372"/>
    <w:rsid w:val="00C044C3"/>
    <w:rsid w:val="00C05094"/>
    <w:rsid w:val="00C05308"/>
    <w:rsid w:val="00C06D39"/>
    <w:rsid w:val="00C079B5"/>
    <w:rsid w:val="00C10453"/>
    <w:rsid w:val="00C116A5"/>
    <w:rsid w:val="00C13BCA"/>
    <w:rsid w:val="00C13E51"/>
    <w:rsid w:val="00C141B9"/>
    <w:rsid w:val="00C158CF"/>
    <w:rsid w:val="00C15F76"/>
    <w:rsid w:val="00C16518"/>
    <w:rsid w:val="00C167E1"/>
    <w:rsid w:val="00C17202"/>
    <w:rsid w:val="00C1787D"/>
    <w:rsid w:val="00C20F14"/>
    <w:rsid w:val="00C2126A"/>
    <w:rsid w:val="00C21BF8"/>
    <w:rsid w:val="00C22B7C"/>
    <w:rsid w:val="00C24AFF"/>
    <w:rsid w:val="00C25209"/>
    <w:rsid w:val="00C3184D"/>
    <w:rsid w:val="00C331FD"/>
    <w:rsid w:val="00C34DCB"/>
    <w:rsid w:val="00C36D0C"/>
    <w:rsid w:val="00C3708D"/>
    <w:rsid w:val="00C4061B"/>
    <w:rsid w:val="00C4138A"/>
    <w:rsid w:val="00C4339F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3D6A"/>
    <w:rsid w:val="00C609C3"/>
    <w:rsid w:val="00C60E16"/>
    <w:rsid w:val="00C62D21"/>
    <w:rsid w:val="00C64830"/>
    <w:rsid w:val="00C65E4E"/>
    <w:rsid w:val="00C66610"/>
    <w:rsid w:val="00C66648"/>
    <w:rsid w:val="00C66FEF"/>
    <w:rsid w:val="00C701C4"/>
    <w:rsid w:val="00C70CB4"/>
    <w:rsid w:val="00C728D5"/>
    <w:rsid w:val="00C74523"/>
    <w:rsid w:val="00C75119"/>
    <w:rsid w:val="00C76DD6"/>
    <w:rsid w:val="00C857E0"/>
    <w:rsid w:val="00C86BE5"/>
    <w:rsid w:val="00C90B62"/>
    <w:rsid w:val="00C9100C"/>
    <w:rsid w:val="00C91C08"/>
    <w:rsid w:val="00C9720E"/>
    <w:rsid w:val="00C97F0E"/>
    <w:rsid w:val="00CA06AC"/>
    <w:rsid w:val="00CA1D9E"/>
    <w:rsid w:val="00CA242A"/>
    <w:rsid w:val="00CA27BD"/>
    <w:rsid w:val="00CA2AB6"/>
    <w:rsid w:val="00CA2E23"/>
    <w:rsid w:val="00CA3868"/>
    <w:rsid w:val="00CA4BCC"/>
    <w:rsid w:val="00CB01D6"/>
    <w:rsid w:val="00CB1209"/>
    <w:rsid w:val="00CB311E"/>
    <w:rsid w:val="00CB71E1"/>
    <w:rsid w:val="00CC0ED3"/>
    <w:rsid w:val="00CC1894"/>
    <w:rsid w:val="00CC1950"/>
    <w:rsid w:val="00CC2EE2"/>
    <w:rsid w:val="00CC3D03"/>
    <w:rsid w:val="00CC45DB"/>
    <w:rsid w:val="00CC5E46"/>
    <w:rsid w:val="00CC73FF"/>
    <w:rsid w:val="00CD141E"/>
    <w:rsid w:val="00CD45DA"/>
    <w:rsid w:val="00CD64BD"/>
    <w:rsid w:val="00CE1586"/>
    <w:rsid w:val="00CE25E8"/>
    <w:rsid w:val="00CE2DE1"/>
    <w:rsid w:val="00CE2EA4"/>
    <w:rsid w:val="00CE5714"/>
    <w:rsid w:val="00CE6138"/>
    <w:rsid w:val="00CE6337"/>
    <w:rsid w:val="00CE6F59"/>
    <w:rsid w:val="00CE7AAB"/>
    <w:rsid w:val="00CF1BDB"/>
    <w:rsid w:val="00CF2673"/>
    <w:rsid w:val="00CF2DA1"/>
    <w:rsid w:val="00CF43B1"/>
    <w:rsid w:val="00CF78EB"/>
    <w:rsid w:val="00CF7C1C"/>
    <w:rsid w:val="00D06AD1"/>
    <w:rsid w:val="00D153AE"/>
    <w:rsid w:val="00D15C16"/>
    <w:rsid w:val="00D17549"/>
    <w:rsid w:val="00D21976"/>
    <w:rsid w:val="00D24D97"/>
    <w:rsid w:val="00D275F5"/>
    <w:rsid w:val="00D376F1"/>
    <w:rsid w:val="00D37B17"/>
    <w:rsid w:val="00D41CF0"/>
    <w:rsid w:val="00D43CA8"/>
    <w:rsid w:val="00D44E6E"/>
    <w:rsid w:val="00D451AB"/>
    <w:rsid w:val="00D4523D"/>
    <w:rsid w:val="00D4593F"/>
    <w:rsid w:val="00D45BD4"/>
    <w:rsid w:val="00D4775B"/>
    <w:rsid w:val="00D47AB8"/>
    <w:rsid w:val="00D51A95"/>
    <w:rsid w:val="00D52C56"/>
    <w:rsid w:val="00D550E6"/>
    <w:rsid w:val="00D55D94"/>
    <w:rsid w:val="00D56566"/>
    <w:rsid w:val="00D572F8"/>
    <w:rsid w:val="00D6015E"/>
    <w:rsid w:val="00D628D1"/>
    <w:rsid w:val="00D647A4"/>
    <w:rsid w:val="00D6487A"/>
    <w:rsid w:val="00D64E04"/>
    <w:rsid w:val="00D65A5E"/>
    <w:rsid w:val="00D65D9D"/>
    <w:rsid w:val="00D669D1"/>
    <w:rsid w:val="00D7049A"/>
    <w:rsid w:val="00D704F6"/>
    <w:rsid w:val="00D70647"/>
    <w:rsid w:val="00D722B1"/>
    <w:rsid w:val="00D74A82"/>
    <w:rsid w:val="00D753F6"/>
    <w:rsid w:val="00D7737D"/>
    <w:rsid w:val="00D77D86"/>
    <w:rsid w:val="00D80897"/>
    <w:rsid w:val="00D81375"/>
    <w:rsid w:val="00D83D6A"/>
    <w:rsid w:val="00D8540E"/>
    <w:rsid w:val="00D85C4D"/>
    <w:rsid w:val="00D8730B"/>
    <w:rsid w:val="00D9072A"/>
    <w:rsid w:val="00D91978"/>
    <w:rsid w:val="00D94852"/>
    <w:rsid w:val="00DA039C"/>
    <w:rsid w:val="00DA10B4"/>
    <w:rsid w:val="00DA6CB5"/>
    <w:rsid w:val="00DA6EBE"/>
    <w:rsid w:val="00DB27CC"/>
    <w:rsid w:val="00DB299B"/>
    <w:rsid w:val="00DB42A4"/>
    <w:rsid w:val="00DB4EF9"/>
    <w:rsid w:val="00DB63BE"/>
    <w:rsid w:val="00DC0F00"/>
    <w:rsid w:val="00DC29FE"/>
    <w:rsid w:val="00DC430C"/>
    <w:rsid w:val="00DC54D1"/>
    <w:rsid w:val="00DC5EAE"/>
    <w:rsid w:val="00DC60FB"/>
    <w:rsid w:val="00DC7319"/>
    <w:rsid w:val="00DC742E"/>
    <w:rsid w:val="00DD1D5F"/>
    <w:rsid w:val="00DD38DC"/>
    <w:rsid w:val="00DD63FF"/>
    <w:rsid w:val="00DD66CF"/>
    <w:rsid w:val="00DE194C"/>
    <w:rsid w:val="00DE280A"/>
    <w:rsid w:val="00DF1395"/>
    <w:rsid w:val="00DF3145"/>
    <w:rsid w:val="00DF3BBA"/>
    <w:rsid w:val="00DF4678"/>
    <w:rsid w:val="00DF4B0E"/>
    <w:rsid w:val="00DF4D53"/>
    <w:rsid w:val="00E01E4B"/>
    <w:rsid w:val="00E02597"/>
    <w:rsid w:val="00E035FA"/>
    <w:rsid w:val="00E062B0"/>
    <w:rsid w:val="00E0711E"/>
    <w:rsid w:val="00E0770C"/>
    <w:rsid w:val="00E127F1"/>
    <w:rsid w:val="00E149C9"/>
    <w:rsid w:val="00E14DFA"/>
    <w:rsid w:val="00E17EA5"/>
    <w:rsid w:val="00E229DB"/>
    <w:rsid w:val="00E230AF"/>
    <w:rsid w:val="00E2571A"/>
    <w:rsid w:val="00E25B35"/>
    <w:rsid w:val="00E26EDC"/>
    <w:rsid w:val="00E2713C"/>
    <w:rsid w:val="00E27195"/>
    <w:rsid w:val="00E30B42"/>
    <w:rsid w:val="00E342D7"/>
    <w:rsid w:val="00E35C26"/>
    <w:rsid w:val="00E400BE"/>
    <w:rsid w:val="00E410EA"/>
    <w:rsid w:val="00E41D5C"/>
    <w:rsid w:val="00E437F7"/>
    <w:rsid w:val="00E479E6"/>
    <w:rsid w:val="00E52880"/>
    <w:rsid w:val="00E55017"/>
    <w:rsid w:val="00E55416"/>
    <w:rsid w:val="00E557D1"/>
    <w:rsid w:val="00E56282"/>
    <w:rsid w:val="00E616BF"/>
    <w:rsid w:val="00E62C28"/>
    <w:rsid w:val="00E658AA"/>
    <w:rsid w:val="00E66FAB"/>
    <w:rsid w:val="00E70D30"/>
    <w:rsid w:val="00E716BA"/>
    <w:rsid w:val="00E75977"/>
    <w:rsid w:val="00E76431"/>
    <w:rsid w:val="00E7686D"/>
    <w:rsid w:val="00E813BA"/>
    <w:rsid w:val="00E8590C"/>
    <w:rsid w:val="00E85F76"/>
    <w:rsid w:val="00E8698B"/>
    <w:rsid w:val="00E9293B"/>
    <w:rsid w:val="00E92CBB"/>
    <w:rsid w:val="00E93590"/>
    <w:rsid w:val="00E94506"/>
    <w:rsid w:val="00E95A7B"/>
    <w:rsid w:val="00E9653D"/>
    <w:rsid w:val="00E969E9"/>
    <w:rsid w:val="00EA01A0"/>
    <w:rsid w:val="00EA0EC7"/>
    <w:rsid w:val="00EA155A"/>
    <w:rsid w:val="00EA24D4"/>
    <w:rsid w:val="00EA2851"/>
    <w:rsid w:val="00EA3439"/>
    <w:rsid w:val="00EA3515"/>
    <w:rsid w:val="00EA3689"/>
    <w:rsid w:val="00EA55FE"/>
    <w:rsid w:val="00EA6EC2"/>
    <w:rsid w:val="00EB034E"/>
    <w:rsid w:val="00EB0B4F"/>
    <w:rsid w:val="00EB1B59"/>
    <w:rsid w:val="00EB4384"/>
    <w:rsid w:val="00EB6065"/>
    <w:rsid w:val="00EC0826"/>
    <w:rsid w:val="00EC4E99"/>
    <w:rsid w:val="00EC58FE"/>
    <w:rsid w:val="00ED09E4"/>
    <w:rsid w:val="00ED194A"/>
    <w:rsid w:val="00ED37CA"/>
    <w:rsid w:val="00ED3A21"/>
    <w:rsid w:val="00ED6982"/>
    <w:rsid w:val="00ED6B60"/>
    <w:rsid w:val="00EE0218"/>
    <w:rsid w:val="00EE097A"/>
    <w:rsid w:val="00EE0E54"/>
    <w:rsid w:val="00EE1033"/>
    <w:rsid w:val="00EE2A3F"/>
    <w:rsid w:val="00EE4215"/>
    <w:rsid w:val="00EE7271"/>
    <w:rsid w:val="00EE7494"/>
    <w:rsid w:val="00EF24BB"/>
    <w:rsid w:val="00EF2B90"/>
    <w:rsid w:val="00EF2E1A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080F"/>
    <w:rsid w:val="00F01898"/>
    <w:rsid w:val="00F026C9"/>
    <w:rsid w:val="00F03E20"/>
    <w:rsid w:val="00F05EE0"/>
    <w:rsid w:val="00F06985"/>
    <w:rsid w:val="00F07DE8"/>
    <w:rsid w:val="00F150F7"/>
    <w:rsid w:val="00F156B3"/>
    <w:rsid w:val="00F15FD8"/>
    <w:rsid w:val="00F21A1A"/>
    <w:rsid w:val="00F22813"/>
    <w:rsid w:val="00F22B33"/>
    <w:rsid w:val="00F22FC8"/>
    <w:rsid w:val="00F26638"/>
    <w:rsid w:val="00F272CD"/>
    <w:rsid w:val="00F27F36"/>
    <w:rsid w:val="00F3005F"/>
    <w:rsid w:val="00F302C9"/>
    <w:rsid w:val="00F326F2"/>
    <w:rsid w:val="00F32B8C"/>
    <w:rsid w:val="00F33383"/>
    <w:rsid w:val="00F33D5B"/>
    <w:rsid w:val="00F34C0E"/>
    <w:rsid w:val="00F4030B"/>
    <w:rsid w:val="00F42F65"/>
    <w:rsid w:val="00F444F5"/>
    <w:rsid w:val="00F44881"/>
    <w:rsid w:val="00F45375"/>
    <w:rsid w:val="00F4602E"/>
    <w:rsid w:val="00F46BCF"/>
    <w:rsid w:val="00F515AF"/>
    <w:rsid w:val="00F51EB8"/>
    <w:rsid w:val="00F531A9"/>
    <w:rsid w:val="00F53674"/>
    <w:rsid w:val="00F5370F"/>
    <w:rsid w:val="00F53E05"/>
    <w:rsid w:val="00F540A1"/>
    <w:rsid w:val="00F5550A"/>
    <w:rsid w:val="00F55A56"/>
    <w:rsid w:val="00F56088"/>
    <w:rsid w:val="00F57520"/>
    <w:rsid w:val="00F6031D"/>
    <w:rsid w:val="00F608FE"/>
    <w:rsid w:val="00F61303"/>
    <w:rsid w:val="00F628F0"/>
    <w:rsid w:val="00F65606"/>
    <w:rsid w:val="00F66614"/>
    <w:rsid w:val="00F669F3"/>
    <w:rsid w:val="00F67764"/>
    <w:rsid w:val="00F70680"/>
    <w:rsid w:val="00F71232"/>
    <w:rsid w:val="00F74722"/>
    <w:rsid w:val="00F75F45"/>
    <w:rsid w:val="00F82957"/>
    <w:rsid w:val="00F83BD2"/>
    <w:rsid w:val="00F85516"/>
    <w:rsid w:val="00F857CA"/>
    <w:rsid w:val="00F92C2B"/>
    <w:rsid w:val="00F94241"/>
    <w:rsid w:val="00F945CD"/>
    <w:rsid w:val="00F95C5E"/>
    <w:rsid w:val="00F95ECF"/>
    <w:rsid w:val="00F9792C"/>
    <w:rsid w:val="00FA4AD8"/>
    <w:rsid w:val="00FA5B48"/>
    <w:rsid w:val="00FA71FD"/>
    <w:rsid w:val="00FB3597"/>
    <w:rsid w:val="00FB37C5"/>
    <w:rsid w:val="00FB4295"/>
    <w:rsid w:val="00FB53CA"/>
    <w:rsid w:val="00FB5BFB"/>
    <w:rsid w:val="00FB6F87"/>
    <w:rsid w:val="00FC34A3"/>
    <w:rsid w:val="00FC3750"/>
    <w:rsid w:val="00FC487C"/>
    <w:rsid w:val="00FC51A5"/>
    <w:rsid w:val="00FD168A"/>
    <w:rsid w:val="00FD3643"/>
    <w:rsid w:val="00FD409F"/>
    <w:rsid w:val="00FD553C"/>
    <w:rsid w:val="00FD6F5E"/>
    <w:rsid w:val="00FE087D"/>
    <w:rsid w:val="00FE133D"/>
    <w:rsid w:val="00FE2090"/>
    <w:rsid w:val="00FE359D"/>
    <w:rsid w:val="00FE3BFE"/>
    <w:rsid w:val="00FE3C3D"/>
    <w:rsid w:val="00FE47EA"/>
    <w:rsid w:val="00FE7BC4"/>
    <w:rsid w:val="00FE7D03"/>
    <w:rsid w:val="00FF088C"/>
    <w:rsid w:val="00FF0DE6"/>
    <w:rsid w:val="00FF29D4"/>
    <w:rsid w:val="00FF388D"/>
    <w:rsid w:val="00FF7460"/>
    <w:rsid w:val="11F33AB0"/>
    <w:rsid w:val="16C32FBA"/>
    <w:rsid w:val="389056AA"/>
    <w:rsid w:val="399E39A9"/>
    <w:rsid w:val="3E9F728D"/>
    <w:rsid w:val="3F605BB3"/>
    <w:rsid w:val="514B2F47"/>
    <w:rsid w:val="52327EE4"/>
    <w:rsid w:val="541E1051"/>
    <w:rsid w:val="562C6E5B"/>
    <w:rsid w:val="5AD61526"/>
    <w:rsid w:val="6D30716A"/>
    <w:rsid w:val="763F0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5DF546"/>
  <w14:defaultImageDpi w14:val="32767"/>
  <w15:docId w15:val="{05D7575E-C690-4956-9ED1-5CEF8CB1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MS Mincho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Pr>
      <w:sz w:val="20"/>
      <w:szCs w:val="20"/>
      <w:lang w:val="zh-CN"/>
    </w:rPr>
  </w:style>
  <w:style w:type="paragraph" w:styleId="a5">
    <w:name w:val="Balloon Text"/>
    <w:basedOn w:val="a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qFormat/>
    <w:pPr>
      <w:tabs>
        <w:tab w:val="center" w:pos="4536"/>
        <w:tab w:val="right" w:pos="9072"/>
      </w:tabs>
    </w:pPr>
  </w:style>
  <w:style w:type="paragraph" w:styleId="a9">
    <w:name w:val="header"/>
    <w:basedOn w:val="a"/>
    <w:link w:val="aa"/>
    <w:uiPriority w:val="99"/>
    <w:qFormat/>
    <w:pPr>
      <w:tabs>
        <w:tab w:val="center" w:pos="4536"/>
        <w:tab w:val="right" w:pos="9072"/>
      </w:tabs>
    </w:pPr>
    <w:rPr>
      <w:lang w:val="zh-CN"/>
    </w:rPr>
  </w:style>
  <w:style w:type="paragraph" w:styleId="ab">
    <w:name w:val="Subtitle"/>
    <w:basedOn w:val="a"/>
    <w:next w:val="a"/>
    <w:link w:val="ac"/>
    <w:uiPriority w:val="11"/>
    <w:qFormat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paragraph" w:styleId="ad">
    <w:name w:val="footnote text"/>
    <w:basedOn w:val="a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e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  <w:style w:type="paragraph" w:styleId="af">
    <w:name w:val="annotation subject"/>
    <w:basedOn w:val="a3"/>
    <w:next w:val="a3"/>
    <w:link w:val="af0"/>
    <w:uiPriority w:val="99"/>
    <w:semiHidden/>
    <w:unhideWhenUsed/>
    <w:qFormat/>
    <w:rPr>
      <w:b/>
      <w:bCs/>
    </w:rPr>
  </w:style>
  <w:style w:type="character" w:styleId="af1">
    <w:name w:val="Strong"/>
    <w:basedOn w:val="a0"/>
    <w:uiPriority w:val="22"/>
    <w:qFormat/>
    <w:rPr>
      <w:b/>
    </w:rPr>
  </w:style>
  <w:style w:type="character" w:styleId="af2">
    <w:name w:val="Emphasis"/>
    <w:basedOn w:val="a0"/>
    <w:uiPriority w:val="20"/>
    <w:qFormat/>
    <w:rPr>
      <w:i/>
    </w:rPr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qFormat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qFormat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qFormat/>
    <w:rPr>
      <w:b/>
      <w:lang w:val="en-US"/>
    </w:rPr>
  </w:style>
  <w:style w:type="paragraph" w:customStyle="1" w:styleId="AuthorsFull">
    <w:name w:val="Authors Full"/>
    <w:basedOn w:val="a"/>
    <w:qFormat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qFormat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qFormat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pPr>
      <w:spacing w:line="360" w:lineRule="auto"/>
    </w:pPr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a">
    <w:name w:val="页眉 字符"/>
    <w:link w:val="a9"/>
    <w:uiPriority w:val="99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semiHidden/>
    <w:qFormat/>
    <w:rPr>
      <w:lang w:eastAsia="ja-JP"/>
    </w:rPr>
  </w:style>
  <w:style w:type="character" w:customStyle="1" w:styleId="af0">
    <w:name w:val="批注主题 字符"/>
    <w:link w:val="af"/>
    <w:uiPriority w:val="99"/>
    <w:semiHidden/>
    <w:qFormat/>
    <w:rPr>
      <w:b/>
      <w:bCs/>
      <w:lang w:eastAsia="ja-JP"/>
    </w:rPr>
  </w:style>
  <w:style w:type="character" w:customStyle="1" w:styleId="a8">
    <w:name w:val="页脚 字符"/>
    <w:link w:val="a7"/>
    <w:uiPriority w:val="99"/>
    <w:qFormat/>
    <w:rPr>
      <w:sz w:val="24"/>
      <w:szCs w:val="24"/>
      <w:lang w:eastAsia="ja-JP"/>
    </w:rPr>
  </w:style>
  <w:style w:type="character" w:customStyle="1" w:styleId="fontstyle01">
    <w:name w:val="fontstyle01"/>
    <w:basedOn w:val="a0"/>
    <w:qFormat/>
    <w:rPr>
      <w:rFonts w:ascii="ScalaSansLF-Bold" w:hAnsi="ScalaSansLF-Bold" w:hint="default"/>
      <w:b/>
      <w:bCs/>
      <w:color w:val="231F20"/>
      <w:sz w:val="20"/>
      <w:szCs w:val="20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ahoma" w:hAnsi="Tahoma" w:cs="Tahoma"/>
      <w:sz w:val="16"/>
      <w:szCs w:val="16"/>
      <w:lang w:val="de-DE" w:eastAsia="ja-JP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05BHeading">
    <w:name w:val="05 B Heading"/>
    <w:basedOn w:val="a"/>
    <w:link w:val="05BHeadingChar"/>
    <w:qFormat/>
    <w:pPr>
      <w:spacing w:before="160" w:after="80" w:line="240" w:lineRule="exact"/>
    </w:pPr>
    <w:rPr>
      <w:rFonts w:eastAsiaTheme="minorEastAsia"/>
      <w:b/>
      <w:sz w:val="18"/>
      <w:szCs w:val="18"/>
      <w:lang w:val="en-GB" w:eastAsia="en-US"/>
    </w:rPr>
  </w:style>
  <w:style w:type="paragraph" w:customStyle="1" w:styleId="RSCB02ArticleText">
    <w:name w:val="RSC B02 Article Text"/>
    <w:basedOn w:val="a"/>
    <w:link w:val="RSCB02ArticleTextChar"/>
    <w:qFormat/>
    <w:pPr>
      <w:spacing w:line="240" w:lineRule="exact"/>
      <w:jc w:val="both"/>
    </w:pPr>
    <w:rPr>
      <w:rFonts w:asciiTheme="minorHAnsi" w:eastAsiaTheme="minorEastAsia" w:hAnsiTheme="minorHAnsi"/>
      <w:w w:val="108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a0"/>
    <w:link w:val="RSCB02ArticleText"/>
    <w:qFormat/>
    <w:rPr>
      <w:rFonts w:asciiTheme="minorHAnsi" w:eastAsiaTheme="minorEastAsia" w:hAnsiTheme="minorHAnsi"/>
      <w:w w:val="108"/>
      <w:sz w:val="18"/>
      <w:szCs w:val="18"/>
      <w:lang w:eastAsia="en-US"/>
    </w:rPr>
  </w:style>
  <w:style w:type="character" w:customStyle="1" w:styleId="05BHeadingChar">
    <w:name w:val="05 B Heading Char"/>
    <w:basedOn w:val="a0"/>
    <w:link w:val="05BHeading"/>
    <w:qFormat/>
    <w:rPr>
      <w:rFonts w:eastAsiaTheme="minorEastAsia"/>
      <w:b/>
      <w:sz w:val="18"/>
      <w:szCs w:val="18"/>
      <w:lang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src">
    <w:name w:val="src"/>
    <w:basedOn w:val="a0"/>
    <w:qFormat/>
  </w:style>
  <w:style w:type="paragraph" w:customStyle="1" w:styleId="AuthorList">
    <w:name w:val="Author List"/>
    <w:basedOn w:val="ab"/>
    <w:next w:val="a"/>
    <w:uiPriority w:val="1"/>
    <w:qFormat/>
    <w:pPr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val="en-US" w:eastAsia="en-US"/>
    </w:rPr>
  </w:style>
  <w:style w:type="character" w:customStyle="1" w:styleId="ac">
    <w:name w:val="副标题 字符"/>
    <w:basedOn w:val="a0"/>
    <w:link w:val="ab"/>
    <w:uiPriority w:val="11"/>
    <w:qFormat/>
    <w:rPr>
      <w:rFonts w:asciiTheme="minorHAnsi" w:eastAsiaTheme="minorEastAsia" w:hAnsiTheme="minorHAnsi" w:cstheme="minorBidi"/>
      <w:b/>
      <w:bCs/>
      <w:kern w:val="28"/>
      <w:sz w:val="32"/>
      <w:szCs w:val="32"/>
      <w:lang w:val="de-DE" w:eastAsia="ja-JP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5">
    <w:name w:val="Revision"/>
    <w:hidden/>
    <w:uiPriority w:val="99"/>
    <w:unhideWhenUsed/>
    <w:rsid w:val="003D108D"/>
    <w:rPr>
      <w:rFonts w:eastAsia="MS Mincho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tiff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tiff"/><Relationship Id="rId34" Type="http://schemas.openxmlformats.org/officeDocument/2006/relationships/footer" Target="footer1.xml"/><Relationship Id="rId7" Type="http://schemas.openxmlformats.org/officeDocument/2006/relationships/hyperlink" Target="mailto:wangjing@cicams.ac.cn" TargetMode="External"/><Relationship Id="rId12" Type="http://schemas.openxmlformats.org/officeDocument/2006/relationships/image" Target="media/image4.tiff"/><Relationship Id="rId17" Type="http://schemas.openxmlformats.org/officeDocument/2006/relationships/image" Target="media/image9.png"/><Relationship Id="rId25" Type="http://schemas.openxmlformats.org/officeDocument/2006/relationships/image" Target="media/image17.tif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tiff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emf"/><Relationship Id="rId31" Type="http://schemas.openxmlformats.org/officeDocument/2006/relationships/image" Target="media/image23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image" Target="media/image6.tiff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fontTable" Target="fontTable.xml"/><Relationship Id="rId8" Type="http://schemas.openxmlformats.org/officeDocument/2006/relationships/hyperlink" Target="mailto:kongxiangyikxy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LWylie\Lokale%20Einstellungen\Anwendungsdaten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B8B4991C-846D-49EA-BEE6-5408586D13C2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39</TotalTime>
  <Pages>12</Pages>
  <Words>908</Words>
  <Characters>5449</Characters>
  <Application>Microsoft Office Word</Application>
  <DocSecurity>0</DocSecurity>
  <Lines>132</Lines>
  <Paragraphs>44</Paragraphs>
  <ScaleCrop>false</ScaleCrop>
  <Company>WILEY-VCH Verlag GmbH &amp; Co. KGaA</Company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creator>ABoeer</dc:creator>
  <cp:lastModifiedBy>1191893226@qq.com</cp:lastModifiedBy>
  <cp:revision>426</cp:revision>
  <cp:lastPrinted>2010-04-21T15:22:00Z</cp:lastPrinted>
  <dcterms:created xsi:type="dcterms:W3CDTF">2018-10-25T12:45:00Z</dcterms:created>
  <dcterms:modified xsi:type="dcterms:W3CDTF">2026-08-17T15:31:00Z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eyJoZGlkIjoiNDc0MDA0NTliZWU1NzcxNmNhMmUwNzVkM2ZjMThiOGYiLCJ1c2VySWQiOiIyMDkyOTQ3MjQifQ==</vt:lpwstr>
  </property>
  <property fmtid="{D5CDD505-2E9C-101B-9397-08002B2CF9AE}" pid="3" name="KSOProductBuildVer">
    <vt:lpwstr>2052-12.1.0.26884</vt:lpwstr>
  </property>
  <property fmtid="{D5CDD505-2E9C-101B-9397-08002B2CF9AE}" pid="4" name="ICV">
    <vt:lpwstr>65C4695656244C8597A3F504B37CAE18_13</vt:lpwstr>
  </property>
</Properties>
</file>