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7529">
      <w:pPr>
        <w:spacing w:line="360" w:lineRule="auto"/>
        <w:jc w:val="center"/>
        <w:rPr>
          <w:rFonts w:ascii="Times New Roman" w:hAnsi="Times New Roman" w:cs="Times New Roman"/>
          <w:b/>
          <w:bCs/>
          <w:sz w:val="28"/>
          <w:szCs w:val="36"/>
        </w:rPr>
      </w:pPr>
      <w:r>
        <w:rPr>
          <w:rFonts w:ascii="Times New Roman" w:hAnsi="Times New Roman" w:cs="Times New Roman"/>
          <w:b/>
          <w:bCs/>
          <w:sz w:val="28"/>
          <w:szCs w:val="36"/>
        </w:rPr>
        <w:t>Supplementary Information</w:t>
      </w:r>
    </w:p>
    <w:p w14:paraId="74166D39">
      <w:pPr>
        <w:spacing w:after="0" w:line="360" w:lineRule="auto"/>
        <w:jc w:val="center"/>
        <w:rPr>
          <w:rFonts w:ascii="Times New Roman" w:hAnsi="Times New Roman" w:cs="Times New Roman"/>
          <w:b/>
          <w:bCs/>
          <w:sz w:val="28"/>
          <w:szCs w:val="36"/>
        </w:rPr>
      </w:pPr>
      <w:r>
        <w:rPr>
          <w:rFonts w:ascii="Times New Roman" w:hAnsi="Times New Roman" w:cs="Times New Roman"/>
          <w:b/>
          <w:bCs/>
          <w:sz w:val="28"/>
          <w:szCs w:val="36"/>
        </w:rPr>
        <w:t>Nitric Oxide–Regulated Temporally Staged Milk Exosome Hydrogel for the Treatment of Skin Photoaging</w:t>
      </w:r>
    </w:p>
    <w:p w14:paraId="1B6920EA">
      <w:pPr>
        <w:spacing w:after="0" w:line="360" w:lineRule="auto"/>
        <w:jc w:val="both"/>
        <w:rPr>
          <w:rFonts w:ascii="Times New Roman" w:hAnsi="Times New Roman" w:cs="Times New Roman"/>
          <w:sz w:val="24"/>
          <w:szCs w:val="32"/>
        </w:rPr>
      </w:pPr>
      <w:r>
        <w:rPr>
          <w:rFonts w:hint="eastAsia" w:ascii="Times New Roman" w:hAnsi="Times New Roman" w:cs="Times New Roman"/>
          <w:sz w:val="24"/>
          <w:szCs w:val="32"/>
        </w:rPr>
        <w:t>Dongna Xie</w:t>
      </w:r>
      <w:r>
        <w:rPr>
          <w:rFonts w:ascii="Times New Roman" w:hAnsi="Times New Roman" w:cs="Times New Roman"/>
          <w:sz w:val="24"/>
          <w:szCs w:val="32"/>
        </w:rPr>
        <w:t xml:space="preserve"> </w:t>
      </w:r>
      <w:r>
        <w:rPr>
          <w:rFonts w:hint="eastAsia" w:ascii="Times New Roman" w:hAnsi="Times New Roman" w:cs="Times New Roman"/>
          <w:sz w:val="24"/>
          <w:szCs w:val="32"/>
          <w:vertAlign w:val="superscript"/>
        </w:rPr>
        <w:t>a, b, #</w:t>
      </w:r>
      <w:r>
        <w:rPr>
          <w:rFonts w:ascii="Times New Roman" w:hAnsi="Times New Roman" w:cs="Times New Roman"/>
          <w:sz w:val="24"/>
          <w:szCs w:val="32"/>
        </w:rPr>
        <w:t>,</w:t>
      </w:r>
      <w:r>
        <w:rPr>
          <w:rFonts w:hint="eastAsia" w:ascii="Times New Roman" w:hAnsi="Times New Roman" w:cs="Times New Roman"/>
          <w:sz w:val="24"/>
          <w:szCs w:val="32"/>
        </w:rPr>
        <w:t xml:space="preserve"> Dihui Liu</w:t>
      </w:r>
      <w:r>
        <w:rPr>
          <w:rFonts w:ascii="Times New Roman" w:hAnsi="Times New Roman" w:cs="Times New Roman"/>
          <w:sz w:val="24"/>
          <w:szCs w:val="32"/>
        </w:rPr>
        <w:t xml:space="preserve"> </w:t>
      </w:r>
      <w:r>
        <w:rPr>
          <w:rFonts w:hint="eastAsia" w:ascii="Times New Roman" w:hAnsi="Times New Roman" w:cs="Times New Roman"/>
          <w:sz w:val="24"/>
          <w:szCs w:val="32"/>
          <w:vertAlign w:val="superscript"/>
        </w:rPr>
        <w:t>a, #</w:t>
      </w:r>
      <w:r>
        <w:rPr>
          <w:rFonts w:ascii="Times New Roman" w:hAnsi="Times New Roman" w:cs="Times New Roman"/>
          <w:sz w:val="24"/>
          <w:szCs w:val="32"/>
        </w:rPr>
        <w:t xml:space="preserve">, </w:t>
      </w:r>
      <w:r>
        <w:rPr>
          <w:rFonts w:hint="eastAsia" w:ascii="Times New Roman" w:hAnsi="Times New Roman" w:cs="Times New Roman"/>
          <w:sz w:val="24"/>
          <w:szCs w:val="32"/>
        </w:rPr>
        <w:t>Xiangjun Pan</w:t>
      </w:r>
      <w:r>
        <w:rPr>
          <w:rFonts w:hint="eastAsia" w:ascii="Times New Roman" w:hAnsi="Times New Roman" w:cs="Times New Roman"/>
          <w:sz w:val="24"/>
          <w:szCs w:val="32"/>
          <w:vertAlign w:val="superscript"/>
        </w:rPr>
        <w:t xml:space="preserve"> a, #</w:t>
      </w:r>
      <w:r>
        <w:rPr>
          <w:rFonts w:ascii="Times New Roman" w:hAnsi="Times New Roman" w:cs="Times New Roman"/>
          <w:sz w:val="24"/>
          <w:szCs w:val="32"/>
        </w:rPr>
        <w:t>,</w:t>
      </w:r>
      <w:r>
        <w:rPr>
          <w:rFonts w:hint="eastAsia"/>
        </w:rPr>
        <w:t xml:space="preserve"> </w:t>
      </w:r>
      <w:r>
        <w:rPr>
          <w:rFonts w:hint="eastAsia" w:ascii="Times New Roman" w:hAnsi="Times New Roman" w:cs="Times New Roman"/>
          <w:sz w:val="24"/>
          <w:szCs w:val="32"/>
        </w:rPr>
        <w:t>Qifeng</w:t>
      </w:r>
      <w:r>
        <w:rPr>
          <w:rFonts w:ascii="Times New Roman" w:hAnsi="Times New Roman" w:cs="Times New Roman"/>
          <w:sz w:val="24"/>
          <w:szCs w:val="32"/>
        </w:rPr>
        <w:t xml:space="preserve"> </w:t>
      </w:r>
      <w:r>
        <w:rPr>
          <w:rFonts w:hint="eastAsia" w:ascii="Times New Roman" w:hAnsi="Times New Roman" w:cs="Times New Roman"/>
          <w:sz w:val="24"/>
          <w:szCs w:val="32"/>
        </w:rPr>
        <w:t>W</w:t>
      </w:r>
      <w:r>
        <w:rPr>
          <w:rFonts w:ascii="Times New Roman" w:hAnsi="Times New Roman" w:cs="Times New Roman"/>
          <w:sz w:val="24"/>
          <w:szCs w:val="32"/>
        </w:rPr>
        <w:t>u</w:t>
      </w:r>
      <w:r>
        <w:rPr>
          <w:rFonts w:ascii="Times New Roman" w:hAnsi="Times New Roman" w:cs="Times New Roman"/>
          <w:sz w:val="24"/>
          <w:szCs w:val="32"/>
          <w:vertAlign w:val="superscript"/>
        </w:rPr>
        <w:t xml:space="preserve"> </w:t>
      </w:r>
      <w:r>
        <w:rPr>
          <w:rFonts w:hint="eastAsia" w:ascii="Times New Roman" w:hAnsi="Times New Roman" w:cs="Times New Roman"/>
          <w:sz w:val="24"/>
          <w:szCs w:val="32"/>
          <w:vertAlign w:val="superscript"/>
        </w:rPr>
        <w:t>a</w:t>
      </w:r>
      <w:r>
        <w:rPr>
          <w:rFonts w:ascii="Times New Roman" w:hAnsi="Times New Roman" w:cs="Times New Roman"/>
          <w:sz w:val="24"/>
          <w:szCs w:val="32"/>
        </w:rPr>
        <w:t>, Lining Huang</w:t>
      </w:r>
      <w:r>
        <w:rPr>
          <w:rFonts w:ascii="Times New Roman" w:hAnsi="Times New Roman" w:cs="Times New Roman"/>
          <w:sz w:val="24"/>
          <w:szCs w:val="32"/>
          <w:vertAlign w:val="superscript"/>
        </w:rPr>
        <w:t xml:space="preserve"> </w:t>
      </w:r>
      <w:r>
        <w:rPr>
          <w:rFonts w:hint="eastAsia" w:ascii="Times New Roman" w:hAnsi="Times New Roman" w:cs="Times New Roman"/>
          <w:sz w:val="24"/>
          <w:szCs w:val="32"/>
          <w:vertAlign w:val="superscript"/>
        </w:rPr>
        <w:t>a</w:t>
      </w:r>
      <w:r>
        <w:rPr>
          <w:rFonts w:hint="eastAsia" w:ascii="Times New Roman" w:hAnsi="Times New Roman" w:cs="Times New Roman"/>
          <w:sz w:val="24"/>
          <w:szCs w:val="32"/>
        </w:rPr>
        <w:t>, Rongqian Chen</w:t>
      </w:r>
      <w:r>
        <w:rPr>
          <w:rFonts w:hint="eastAsia" w:ascii="Times New Roman" w:hAnsi="Times New Roman" w:cs="Times New Roman"/>
          <w:sz w:val="24"/>
          <w:szCs w:val="32"/>
          <w:vertAlign w:val="superscript"/>
        </w:rPr>
        <w:t xml:space="preserve"> a</w:t>
      </w:r>
      <w:r>
        <w:rPr>
          <w:rFonts w:hint="eastAsia" w:ascii="Times New Roman" w:hAnsi="Times New Roman" w:cs="Times New Roman"/>
          <w:sz w:val="24"/>
          <w:szCs w:val="32"/>
        </w:rPr>
        <w:t>, Kai Lv</w:t>
      </w:r>
      <w:r>
        <w:rPr>
          <w:rFonts w:ascii="Times New Roman" w:hAnsi="Times New Roman" w:cs="Times New Roman"/>
          <w:sz w:val="24"/>
          <w:szCs w:val="32"/>
        </w:rPr>
        <w:t xml:space="preserve"> </w:t>
      </w:r>
      <w:r>
        <w:rPr>
          <w:rFonts w:hint="eastAsia" w:ascii="Times New Roman" w:hAnsi="Times New Roman" w:cs="Times New Roman"/>
          <w:sz w:val="24"/>
          <w:szCs w:val="32"/>
          <w:vertAlign w:val="superscript"/>
        </w:rPr>
        <w:t>b</w:t>
      </w:r>
      <w:r>
        <w:rPr>
          <w:rFonts w:ascii="Times New Roman" w:hAnsi="Times New Roman" w:cs="Times New Roman"/>
          <w:sz w:val="24"/>
          <w:szCs w:val="32"/>
        </w:rPr>
        <w:t>,</w:t>
      </w:r>
      <w:r>
        <w:rPr>
          <w:rFonts w:hint="eastAsia" w:ascii="Times New Roman" w:hAnsi="Times New Roman" w:cs="Times New Roman"/>
          <w:sz w:val="24"/>
          <w:szCs w:val="32"/>
        </w:rPr>
        <w:t xml:space="preserve"> Hui Xing</w:t>
      </w:r>
      <w:r>
        <w:rPr>
          <w:rFonts w:hint="eastAsia" w:ascii="Times New Roman" w:hAnsi="Times New Roman" w:cs="Times New Roman"/>
          <w:sz w:val="24"/>
          <w:szCs w:val="32"/>
          <w:vertAlign w:val="superscript"/>
        </w:rPr>
        <w:t xml:space="preserve"> b</w:t>
      </w:r>
      <w:r>
        <w:rPr>
          <w:rFonts w:ascii="Times New Roman" w:hAnsi="Times New Roman" w:cs="Times New Roman"/>
          <w:sz w:val="24"/>
          <w:szCs w:val="32"/>
        </w:rPr>
        <w:t>,</w:t>
      </w:r>
      <w:r>
        <w:rPr>
          <w:rFonts w:hint="eastAsia" w:ascii="Times New Roman" w:hAnsi="Times New Roman" w:cs="Times New Roman"/>
          <w:sz w:val="24"/>
          <w:szCs w:val="32"/>
        </w:rPr>
        <w:t xml:space="preserve"> Ziyi Zhao</w:t>
      </w:r>
      <w:r>
        <w:rPr>
          <w:rFonts w:hint="eastAsia" w:ascii="Times New Roman" w:hAnsi="Times New Roman" w:cs="Times New Roman"/>
          <w:sz w:val="24"/>
          <w:szCs w:val="32"/>
          <w:vertAlign w:val="superscript"/>
        </w:rPr>
        <w:t xml:space="preserve"> b</w:t>
      </w:r>
      <w:r>
        <w:rPr>
          <w:rFonts w:ascii="Times New Roman" w:hAnsi="Times New Roman" w:cs="Times New Roman"/>
          <w:sz w:val="24"/>
          <w:szCs w:val="32"/>
        </w:rPr>
        <w:t>,</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Dong Ma </w:t>
      </w:r>
      <w:r>
        <w:rPr>
          <w:rFonts w:hint="eastAsia" w:ascii="Times New Roman" w:hAnsi="Times New Roman" w:cs="Times New Roman"/>
          <w:sz w:val="24"/>
          <w:szCs w:val="32"/>
          <w:vertAlign w:val="superscript"/>
        </w:rPr>
        <w:t>b</w:t>
      </w:r>
      <w:r>
        <w:rPr>
          <w:rFonts w:ascii="Times New Roman" w:hAnsi="Times New Roman" w:cs="Times New Roman"/>
          <w:sz w:val="24"/>
          <w:szCs w:val="32"/>
          <w:vertAlign w:val="superscript"/>
        </w:rPr>
        <w:t>, *</w:t>
      </w:r>
      <w:r>
        <w:rPr>
          <w:rFonts w:ascii="Times New Roman" w:hAnsi="Times New Roman" w:cs="Times New Roman"/>
          <w:sz w:val="24"/>
          <w:szCs w:val="32"/>
        </w:rPr>
        <w:t xml:space="preserve">, Guowei Li </w:t>
      </w:r>
      <w:r>
        <w:rPr>
          <w:rFonts w:hint="eastAsia" w:ascii="Times New Roman" w:hAnsi="Times New Roman" w:cs="Times New Roman"/>
          <w:sz w:val="24"/>
          <w:szCs w:val="32"/>
          <w:vertAlign w:val="superscript"/>
        </w:rPr>
        <w:t>a, c</w:t>
      </w:r>
      <w:r>
        <w:rPr>
          <w:rFonts w:ascii="Times New Roman" w:hAnsi="Times New Roman" w:cs="Times New Roman"/>
          <w:sz w:val="24"/>
          <w:szCs w:val="32"/>
          <w:vertAlign w:val="superscript"/>
        </w:rPr>
        <w:t>, *</w:t>
      </w:r>
      <w:r>
        <w:rPr>
          <w:rFonts w:ascii="Times New Roman" w:hAnsi="Times New Roman" w:cs="Times New Roman"/>
          <w:sz w:val="24"/>
          <w:szCs w:val="32"/>
        </w:rPr>
        <w:t>,</w:t>
      </w:r>
      <w:r>
        <w:rPr>
          <w:rFonts w:hint="eastAsia" w:ascii="Times New Roman" w:hAnsi="Times New Roman" w:cs="Times New Roman"/>
          <w:sz w:val="24"/>
          <w:szCs w:val="32"/>
        </w:rPr>
        <w:t xml:space="preserve"> Yunfeng Hu</w:t>
      </w:r>
      <w:r>
        <w:rPr>
          <w:rFonts w:ascii="Times New Roman" w:hAnsi="Times New Roman" w:cs="Times New Roman"/>
          <w:sz w:val="24"/>
          <w:szCs w:val="32"/>
        </w:rPr>
        <w:t xml:space="preserve"> </w:t>
      </w:r>
      <w:r>
        <w:rPr>
          <w:rFonts w:hint="eastAsia" w:ascii="Times New Roman" w:hAnsi="Times New Roman" w:cs="Times New Roman"/>
          <w:sz w:val="24"/>
          <w:szCs w:val="32"/>
          <w:vertAlign w:val="superscript"/>
        </w:rPr>
        <w:t>a</w:t>
      </w:r>
      <w:r>
        <w:rPr>
          <w:rFonts w:ascii="Times New Roman" w:hAnsi="Times New Roman" w:cs="Times New Roman"/>
          <w:sz w:val="24"/>
          <w:szCs w:val="32"/>
          <w:vertAlign w:val="superscript"/>
        </w:rPr>
        <w:t>, *</w:t>
      </w:r>
    </w:p>
    <w:p w14:paraId="2B207891">
      <w:pPr>
        <w:spacing w:after="0" w:line="360" w:lineRule="auto"/>
        <w:jc w:val="both"/>
        <w:rPr>
          <w:rFonts w:ascii="Times New Roman" w:hAnsi="Times New Roman" w:cs="Times New Roman"/>
          <w:sz w:val="24"/>
          <w:szCs w:val="32"/>
          <w:vertAlign w:val="superscript"/>
        </w:rPr>
      </w:pPr>
      <w:r>
        <w:rPr>
          <w:rFonts w:hint="eastAsia" w:ascii="Times New Roman" w:hAnsi="Times New Roman" w:cs="Times New Roman"/>
          <w:sz w:val="24"/>
          <w:szCs w:val="32"/>
          <w:vertAlign w:val="superscript"/>
        </w:rPr>
        <w:t xml:space="preserve">a </w:t>
      </w:r>
      <w:r>
        <w:rPr>
          <w:rFonts w:hint="eastAsia" w:ascii="Times New Roman" w:hAnsi="Times New Roman" w:cs="Times New Roman"/>
          <w:sz w:val="24"/>
          <w:szCs w:val="32"/>
        </w:rPr>
        <w:t>Department of Dermatology, T</w:t>
      </w:r>
      <w:r>
        <w:rPr>
          <w:rFonts w:ascii="Times New Roman" w:hAnsi="Times New Roman" w:cs="Times New Roman"/>
          <w:sz w:val="24"/>
          <w:szCs w:val="32"/>
        </w:rPr>
        <w:t>he First Affiliated Hospital of Jinan University, Jinan University, Guangzhou, 510630, China</w:t>
      </w:r>
    </w:p>
    <w:p w14:paraId="17BE1810">
      <w:pPr>
        <w:spacing w:after="0" w:line="360" w:lineRule="auto"/>
        <w:jc w:val="both"/>
        <w:rPr>
          <w:rFonts w:ascii="Times New Roman" w:hAnsi="Times New Roman" w:cs="Times New Roman"/>
          <w:sz w:val="24"/>
          <w:szCs w:val="32"/>
        </w:rPr>
      </w:pPr>
      <w:r>
        <w:rPr>
          <w:rFonts w:hint="eastAsia" w:ascii="Times New Roman" w:hAnsi="Times New Roman" w:cs="Times New Roman"/>
          <w:sz w:val="24"/>
          <w:szCs w:val="32"/>
          <w:vertAlign w:val="superscript"/>
        </w:rPr>
        <w:t>b</w:t>
      </w:r>
      <w:r>
        <w:rPr>
          <w:rFonts w:ascii="Times New Roman" w:hAnsi="Times New Roman" w:cs="Times New Roman"/>
          <w:sz w:val="24"/>
          <w:szCs w:val="32"/>
        </w:rPr>
        <w:t xml:space="preserve"> </w:t>
      </w:r>
      <w:r>
        <w:rPr>
          <w:rFonts w:hint="eastAsia" w:ascii="Times New Roman" w:hAnsi="Times New Roman" w:cs="Times New Roman"/>
          <w:sz w:val="24"/>
          <w:szCs w:val="32"/>
        </w:rPr>
        <w:t>State Key Laboratory of Bioactive Molecules and Druggability Assessment, MOE Key Laboratory of Tumor Molecular Biology, Department of Biomedical Engineering, Jinan University, Guangzhou 510632, China</w:t>
      </w:r>
      <w:r>
        <w:rPr>
          <w:rFonts w:hint="eastAsia" w:ascii="Times New Roman" w:hAnsi="Times New Roman" w:cs="Times New Roman"/>
          <w:sz w:val="24"/>
          <w:szCs w:val="32"/>
          <w:vertAlign w:val="superscript"/>
        </w:rPr>
        <w:t xml:space="preserve"> </w:t>
      </w:r>
    </w:p>
    <w:p w14:paraId="72ADD8EE">
      <w:pPr>
        <w:spacing w:after="0" w:line="360" w:lineRule="auto"/>
        <w:jc w:val="both"/>
        <w:rPr>
          <w:rFonts w:ascii="Times New Roman" w:hAnsi="Times New Roman" w:cs="Times New Roman"/>
          <w:sz w:val="24"/>
          <w:szCs w:val="32"/>
        </w:rPr>
      </w:pPr>
      <w:r>
        <w:rPr>
          <w:rFonts w:hint="eastAsia" w:ascii="Times New Roman" w:hAnsi="Times New Roman" w:cs="Times New Roman"/>
          <w:sz w:val="24"/>
          <w:szCs w:val="32"/>
          <w:vertAlign w:val="superscript"/>
        </w:rPr>
        <w:t>c</w:t>
      </w:r>
      <w:r>
        <w:rPr>
          <w:rFonts w:hint="eastAsia" w:ascii="Times New Roman" w:hAnsi="Times New Roman" w:cs="Times New Roman"/>
          <w:sz w:val="24"/>
          <w:szCs w:val="32"/>
        </w:rPr>
        <w:t xml:space="preserve"> </w:t>
      </w:r>
      <w:r>
        <w:rPr>
          <w:rFonts w:ascii="Times New Roman" w:hAnsi="Times New Roman" w:cs="Times New Roman"/>
          <w:sz w:val="24"/>
          <w:szCs w:val="32"/>
        </w:rPr>
        <w:t>Department of Nuclear Medicine and PET/CT-MRI Center,</w:t>
      </w:r>
      <w:r>
        <w:rPr>
          <w:rFonts w:hint="eastAsia" w:ascii="Times New Roman" w:hAnsi="Times New Roman" w:cs="Times New Roman"/>
          <w:sz w:val="24"/>
          <w:szCs w:val="32"/>
        </w:rPr>
        <w:t xml:space="preserve"> </w:t>
      </w:r>
      <w:r>
        <w:rPr>
          <w:rFonts w:ascii="Times New Roman" w:hAnsi="Times New Roman" w:cs="Times New Roman"/>
          <w:sz w:val="24"/>
          <w:szCs w:val="32"/>
        </w:rPr>
        <w:t>The First Affiliated Hospital of Jinan University, Jinan University, Guangzhou, 510630, China</w:t>
      </w:r>
    </w:p>
    <w:p w14:paraId="1268085E">
      <w:pPr>
        <w:spacing w:line="360" w:lineRule="auto"/>
        <w:rPr>
          <w:rFonts w:ascii="Times New Roman" w:hAnsi="Times New Roman" w:cs="Times New Roman"/>
          <w:sz w:val="24"/>
          <w:szCs w:val="32"/>
        </w:rPr>
      </w:pPr>
    </w:p>
    <w:p w14:paraId="3C15B2D3">
      <w:pPr>
        <w:spacing w:line="360" w:lineRule="auto"/>
        <w:rPr>
          <w:rFonts w:ascii="Times New Roman" w:hAnsi="Times New Roman" w:cs="Times New Roman"/>
          <w:sz w:val="24"/>
          <w:szCs w:val="32"/>
        </w:rPr>
      </w:pPr>
    </w:p>
    <w:p w14:paraId="277A16BB">
      <w:pPr>
        <w:spacing w:line="360" w:lineRule="auto"/>
        <w:rPr>
          <w:rFonts w:ascii="Times New Roman" w:hAnsi="Times New Roman" w:cs="Times New Roman"/>
          <w:sz w:val="24"/>
          <w:szCs w:val="32"/>
        </w:rPr>
      </w:pPr>
    </w:p>
    <w:p w14:paraId="11C6C1C1">
      <w:pPr>
        <w:spacing w:line="360" w:lineRule="auto"/>
        <w:rPr>
          <w:rFonts w:ascii="Times New Roman" w:hAnsi="Times New Roman" w:cs="Times New Roman"/>
          <w:sz w:val="24"/>
          <w:szCs w:val="32"/>
        </w:rPr>
      </w:pPr>
    </w:p>
    <w:p w14:paraId="1103B6F9">
      <w:pPr>
        <w:spacing w:line="360" w:lineRule="auto"/>
        <w:rPr>
          <w:rFonts w:ascii="Times New Roman" w:hAnsi="Times New Roman" w:cs="Times New Roman"/>
          <w:sz w:val="24"/>
          <w:szCs w:val="32"/>
        </w:rPr>
      </w:pPr>
    </w:p>
    <w:p w14:paraId="568F283A">
      <w:pPr>
        <w:spacing w:line="360" w:lineRule="auto"/>
        <w:rPr>
          <w:rFonts w:ascii="Times New Roman" w:hAnsi="Times New Roman" w:cs="Times New Roman"/>
          <w:sz w:val="24"/>
          <w:szCs w:val="32"/>
        </w:rPr>
      </w:pPr>
    </w:p>
    <w:p w14:paraId="4D0714A2">
      <w:pPr>
        <w:spacing w:line="360" w:lineRule="auto"/>
        <w:rPr>
          <w:rFonts w:ascii="Times New Roman" w:hAnsi="Times New Roman" w:cs="Times New Roman"/>
          <w:sz w:val="24"/>
          <w:szCs w:val="32"/>
        </w:rPr>
      </w:pPr>
    </w:p>
    <w:p w14:paraId="23AF6358">
      <w:pPr>
        <w:spacing w:line="360" w:lineRule="auto"/>
        <w:rPr>
          <w:rFonts w:ascii="Times New Roman" w:hAnsi="Times New Roman" w:cs="Times New Roman"/>
          <w:sz w:val="24"/>
          <w:szCs w:val="32"/>
        </w:rPr>
      </w:pPr>
    </w:p>
    <w:p w14:paraId="1A82EE4E">
      <w:pPr>
        <w:spacing w:after="0" w:line="360" w:lineRule="auto"/>
        <w:rPr>
          <w:rFonts w:ascii="Times New Roman" w:hAnsi="Times New Roman" w:cs="Times New Roman"/>
          <w:sz w:val="24"/>
          <w:szCs w:val="32"/>
        </w:rPr>
      </w:pPr>
      <w:r>
        <w:rPr>
          <w:rFonts w:hint="eastAsia" w:ascii="Times New Roman" w:hAnsi="Times New Roman" w:cs="Times New Roman"/>
          <w:sz w:val="24"/>
          <w:szCs w:val="32"/>
          <w:vertAlign w:val="superscript"/>
        </w:rPr>
        <w:t xml:space="preserve"># </w:t>
      </w:r>
      <w:r>
        <w:rPr>
          <w:rFonts w:hint="eastAsia" w:ascii="Times New Roman" w:hAnsi="Times New Roman" w:eastAsia="等线" w:cs="Times New Roman"/>
          <w:sz w:val="24"/>
          <w:lang w:bidi="ar"/>
        </w:rPr>
        <w:t>D</w:t>
      </w:r>
      <w:r>
        <w:rPr>
          <w:rFonts w:ascii="Times New Roman" w:hAnsi="Times New Roman" w:eastAsia="等线" w:cs="Times New Roman"/>
          <w:sz w:val="24"/>
          <w:lang w:bidi="ar"/>
        </w:rPr>
        <w:t>.</w:t>
      </w:r>
      <w:r>
        <w:rPr>
          <w:rFonts w:hint="eastAsia" w:ascii="Times New Roman" w:hAnsi="Times New Roman" w:eastAsia="等线" w:cs="Times New Roman"/>
          <w:sz w:val="24"/>
          <w:lang w:bidi="ar"/>
        </w:rPr>
        <w:t>X</w:t>
      </w:r>
      <w:r>
        <w:rPr>
          <w:rFonts w:ascii="Times New Roman" w:hAnsi="Times New Roman" w:eastAsia="等线" w:cs="Times New Roman"/>
          <w:sz w:val="24"/>
          <w:lang w:bidi="ar"/>
        </w:rPr>
        <w:t xml:space="preserve">., </w:t>
      </w:r>
      <w:r>
        <w:rPr>
          <w:rFonts w:hint="eastAsia" w:ascii="Times New Roman" w:hAnsi="Times New Roman" w:eastAsia="等线" w:cs="Times New Roman"/>
          <w:sz w:val="24"/>
          <w:lang w:bidi="ar"/>
        </w:rPr>
        <w:t>D</w:t>
      </w:r>
      <w:r>
        <w:rPr>
          <w:rFonts w:ascii="Times New Roman" w:hAnsi="Times New Roman" w:eastAsia="等线" w:cs="Times New Roman"/>
          <w:sz w:val="24"/>
          <w:lang w:bidi="ar"/>
        </w:rPr>
        <w:t>.</w:t>
      </w:r>
      <w:r>
        <w:rPr>
          <w:rFonts w:hint="eastAsia" w:ascii="Times New Roman" w:hAnsi="Times New Roman" w:eastAsia="等线" w:cs="Times New Roman"/>
          <w:sz w:val="24"/>
          <w:lang w:bidi="ar"/>
        </w:rPr>
        <w:t>L</w:t>
      </w:r>
      <w:r>
        <w:rPr>
          <w:rFonts w:ascii="Times New Roman" w:hAnsi="Times New Roman" w:eastAsia="等线" w:cs="Times New Roman"/>
          <w:sz w:val="24"/>
          <w:lang w:bidi="ar"/>
        </w:rPr>
        <w:t xml:space="preserve">. and </w:t>
      </w:r>
      <w:r>
        <w:rPr>
          <w:rFonts w:hint="eastAsia" w:ascii="Times New Roman" w:hAnsi="Times New Roman" w:eastAsia="等线" w:cs="Times New Roman"/>
          <w:sz w:val="24"/>
          <w:lang w:bidi="ar"/>
        </w:rPr>
        <w:t>X</w:t>
      </w:r>
      <w:r>
        <w:rPr>
          <w:rFonts w:ascii="Times New Roman" w:hAnsi="Times New Roman" w:eastAsia="等线" w:cs="Times New Roman"/>
          <w:sz w:val="24"/>
          <w:lang w:bidi="ar"/>
        </w:rPr>
        <w:t>.</w:t>
      </w:r>
      <w:r>
        <w:rPr>
          <w:rFonts w:hint="eastAsia" w:ascii="Times New Roman" w:hAnsi="Times New Roman" w:eastAsia="等线" w:cs="Times New Roman"/>
          <w:sz w:val="24"/>
          <w:lang w:bidi="ar"/>
        </w:rPr>
        <w:t>P</w:t>
      </w:r>
      <w:r>
        <w:rPr>
          <w:rFonts w:ascii="Times New Roman" w:hAnsi="Times New Roman" w:eastAsia="等线" w:cs="Times New Roman"/>
          <w:sz w:val="24"/>
          <w:lang w:bidi="ar"/>
        </w:rPr>
        <w:t>. contributed equally to this work.</w:t>
      </w:r>
    </w:p>
    <w:p w14:paraId="2BFCD6D1">
      <w:pPr>
        <w:spacing w:after="0" w:line="360" w:lineRule="auto"/>
        <w:jc w:val="both"/>
        <w:rPr>
          <w:rFonts w:ascii="Times New Roman" w:hAnsi="Times New Roman" w:cs="Times New Roman"/>
          <w:sz w:val="24"/>
        </w:rPr>
      </w:pPr>
      <w:r>
        <w:rPr>
          <w:rFonts w:ascii="Times New Roman" w:hAnsi="Times New Roman" w:cs="Times New Roman"/>
          <w:sz w:val="24"/>
        </w:rPr>
        <w:t>* Corresponding authors.</w:t>
      </w:r>
    </w:p>
    <w:p w14:paraId="1DC9D769">
      <w:pPr>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t>mail addresses:</w:t>
      </w:r>
      <w:r>
        <w:rPr>
          <w:rFonts w:ascii="Times New Roman" w:hAnsi="Times New Roman"/>
          <w:color w:val="221E1F"/>
          <w:sz w:val="24"/>
        </w:rPr>
        <w:t xml:space="preserve"> </w:t>
      </w:r>
      <w:r>
        <w:rPr>
          <w:rFonts w:ascii="Times New Roman" w:hAnsi="Times New Roman" w:cs="Times New Roman"/>
          <w:sz w:val="24"/>
        </w:rPr>
        <w:t>huyunfeng@jnu.edu.cn (Yunfeng Hu), liguowei@jnu.edu.cn (Guowei Li),</w:t>
      </w:r>
      <w:r>
        <w:rPr>
          <w:rFonts w:ascii="Times New Roman" w:hAnsi="Times New Roman" w:cs="Times New Roman"/>
          <w:sz w:val="24"/>
          <w:szCs w:val="28"/>
        </w:rPr>
        <w:t xml:space="preserve"> </w:t>
      </w:r>
      <w:r>
        <w:rPr>
          <w:rFonts w:ascii="Times New Roman" w:hAnsi="Times New Roman" w:cs="Times New Roman"/>
          <w:sz w:val="24"/>
        </w:rPr>
        <w:t>tmadong@jnu.edu.cn (Dong Ma).</w:t>
      </w:r>
    </w:p>
    <w:p w14:paraId="4F915FBD">
      <w:pPr>
        <w:spacing w:after="0" w:line="360" w:lineRule="auto"/>
        <w:rPr>
          <w:rFonts w:ascii="Times New Roman" w:hAnsi="Times New Roman" w:cs="Times New Roman"/>
          <w:b/>
          <w:bCs/>
          <w:sz w:val="24"/>
          <w:szCs w:val="28"/>
        </w:rPr>
      </w:pPr>
    </w:p>
    <w:p w14:paraId="6359958F">
      <w:pPr>
        <w:spacing w:after="0" w:line="360" w:lineRule="auto"/>
        <w:rPr>
          <w:rFonts w:ascii="Times New Roman" w:hAnsi="Times New Roman" w:cs="Times New Roman"/>
          <w:b/>
          <w:bCs/>
          <w:sz w:val="24"/>
          <w:szCs w:val="28"/>
        </w:rPr>
      </w:pPr>
      <w:r>
        <w:rPr>
          <w:rFonts w:ascii="Times New Roman" w:hAnsi="Times New Roman" w:cs="Times New Roman"/>
          <w:b/>
          <w:bCs/>
          <w:sz w:val="24"/>
          <w:szCs w:val="28"/>
        </w:rPr>
        <w:t>1</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Results and Discussions</w:t>
      </w:r>
    </w:p>
    <w:p w14:paraId="7ECB748C">
      <w:pPr>
        <w:spacing w:after="0" w:line="360" w:lineRule="auto"/>
        <w:rPr>
          <w:rFonts w:ascii="Times New Roman" w:hAnsi="Times New Roman" w:cs="Times New Roman"/>
          <w:b/>
          <w:bCs/>
          <w:sz w:val="24"/>
          <w:szCs w:val="28"/>
        </w:rPr>
      </w:pPr>
      <w:r>
        <w:rPr>
          <w:rFonts w:hint="eastAsia" w:ascii="Times New Roman" w:hAnsi="Times New Roman" w:cs="Times New Roman"/>
          <w:b/>
          <w:bCs/>
          <w:sz w:val="24"/>
          <w:szCs w:val="28"/>
        </w:rPr>
        <w:t xml:space="preserve">1.1 </w:t>
      </w:r>
      <w:r>
        <w:rPr>
          <w:rFonts w:ascii="Times New Roman" w:hAnsi="Times New Roman" w:cs="Times New Roman"/>
          <w:b/>
          <w:bCs/>
          <w:sz w:val="24"/>
          <w:szCs w:val="28"/>
        </w:rPr>
        <w:t>Preparation and characterization of the ionic NO donor NO Lip</w:t>
      </w:r>
    </w:p>
    <w:p w14:paraId="5E432AC0">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 xml:space="preserve">Based on our previous work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&lt;EndNote&gt;&lt;Cite&gt;&lt;Author&gt;Xing&lt;/Author&gt;&lt;Year&gt;2024&lt;/Year&gt;&lt;RecNum&gt;50&lt;/RecNum&gt;&lt;DisplayText&gt;[1]&lt;/DisplayText&gt;&lt;record&gt;&lt;rec-number&gt;50&lt;/rec-number&gt;&lt;foreign-keys&gt;&lt;key app="EN" db-id="sapsfzvxvsdd27ezwd85rpxdatvvrweav9et" timestamp="1772784643"&gt;50&lt;/key&gt;&lt;/foreign-keys&gt;&lt;ref-type name="Journal Article"&gt;17&lt;/ref-type&gt;&lt;contributors&gt;&lt;authors&gt;&lt;author&gt;Xing, Hui&lt;/author&gt;&lt;author&gt;Peng, Huanqi&lt;/author&gt;&lt;author&gt;Yang, Yuhui&lt;/author&gt;&lt;author&gt;Lv, Kai&lt;/author&gt;&lt;author&gt;Zhou, Shihao&lt;/author&gt;&lt;author&gt;Pan, Xiangjun&lt;/author&gt;&lt;author&gt;Wang, Jianjin&lt;/author&gt;&lt;author&gt;Hu, Yunfeng&lt;/author&gt;&lt;author&gt;Li, Guowei&lt;/author&gt;&lt;author&gt;Ma, Dong&lt;/author&gt;&lt;/authors&gt;&lt;/contributors&gt;&lt;titles&gt;&lt;title&gt;Nitric oxide synergizes minoxidil delivered by transdermal hyaluronic acid liposomes for multimodal androgenetic-alopecia therapy&lt;/title&gt;&lt;secondary-title&gt;Bioactive materials&lt;/secondary-title&gt;&lt;/titles&gt;&lt;periodical&gt;&lt;full-title&gt;Bioactive materials&lt;/full-title&gt;&lt;/periodical&gt;&lt;pages&gt;190-205&lt;/pages&gt;&lt;volume&gt;32&lt;/volume&gt;&lt;dates&gt;&lt;year&gt;2024&lt;/year&gt;&lt;/dates&gt;&lt;isbn&gt;2452-199X&lt;/isbn&gt;&lt;urls&gt;&lt;/urls&gt;&lt;/record&gt;&lt;/Cite&gt;&lt;/EndNote&gt;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[1]</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cholesterol chloroformate (Cho-Cl) was used to modify hyperbranched polyethyleneimine (PEI) containing tertiary amine groups to obtain Cho-PEI. Cho-PEI was then used as a nitric oxide donor to load NO, yielding Cho-PEI/NONOate. As shown in </w:t>
      </w:r>
      <w:r>
        <w:rPr>
          <w:rFonts w:ascii="Times New Roman" w:hAnsi="Times New Roman" w:cs="Times New Roman"/>
          <w:b/>
          <w:bCs/>
          <w:sz w:val="24"/>
          <w:szCs w:val="28"/>
        </w:rPr>
        <w:t>Fig. S1</w:t>
      </w:r>
      <w:r>
        <w:rPr>
          <w:rFonts w:hint="eastAsia" w:ascii="Times New Roman" w:hAnsi="Times New Roman" w:cs="Times New Roman"/>
          <w:b/>
          <w:bCs/>
          <w:sz w:val="24"/>
          <w:szCs w:val="28"/>
        </w:rPr>
        <w:t>b</w:t>
      </w:r>
      <w:r>
        <w:rPr>
          <w:rFonts w:ascii="Times New Roman" w:hAnsi="Times New Roman" w:cs="Times New Roman"/>
          <w:sz w:val="24"/>
          <w:szCs w:val="28"/>
        </w:rPr>
        <w:t xml:space="preserve">, the ¹H NMR spectrum displays characteristic signals of cholesterol at positions a and b, while peaks at positions c and d correspond to proton resonances of PEI in Cho-PEI, confirming the successful modification of PEI by cholesterol. Compared with pristine Cho-PEI, an additional signal peak appeared at δ ≈ 3.72 ppm after NO loading, which corresponds to the formation of the NONOate group, confirming the successful preparation of the NO donor Cho-PEI/NONOate. The chemical structures of Cho-PEI and Cho-PEI/NONOate were further verified by FTIR spectroscopy, which additionally confirmed the presence of the NONOate group </w:t>
      </w:r>
      <w:r>
        <w:rPr>
          <w:rFonts w:ascii="Times New Roman" w:hAnsi="Times New Roman" w:cs="Times New Roman"/>
          <w:b/>
          <w:bCs/>
          <w:sz w:val="24"/>
          <w:szCs w:val="28"/>
        </w:rPr>
        <w:t>(Fig. S2a)</w:t>
      </w:r>
      <w:r>
        <w:rPr>
          <w:rFonts w:ascii="Times New Roman" w:hAnsi="Times New Roman" w:cs="Times New Roman"/>
          <w:sz w:val="24"/>
          <w:szCs w:val="28"/>
        </w:rPr>
        <w:t xml:space="preserve">. Cho exhibited a distinct absorption peak at 1780 cm⁻¹, corresponding to the acyl chloride group. In the FTIR spectrum of Cho-PEI, a new peak appeared at 1700 cm⁻¹, which is attributed to the stretching vibration of –CO–NH–, indicating that the acyl chloride group was converted into an amide bond. Meanwhile, the methylene stretching vibrations of the cholesterol moiety appeared at 2950 cm⁻¹ and 2880 cm⁻¹ (black boxed region), demonstrating the successful formation of amide bonds between Cho and PEI. After further NO incorporation, a new absorption band appeared at approximately 1600 cm⁻¹ in Cho-PEI/NONOate, which corresponds to the N=N stretching vibration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&lt;EndNote&gt;&lt;Cite&gt;&lt;Author&gt;Xing&lt;/Author&gt;&lt;Year&gt;2024&lt;/Year&gt;&lt;RecNum&gt;50&lt;/RecNum&gt;&lt;DisplayText&gt;[1]&lt;/DisplayText&gt;&lt;record&gt;&lt;rec-number&gt;50&lt;/rec-number&gt;&lt;foreign-keys&gt;&lt;key app="EN" db-id="sapsfzvxvsdd27ezwd85rpxdatvvrweav9et" timestamp="1772784643"&gt;50&lt;/key&gt;&lt;/foreign-keys&gt;&lt;ref-type name="Journal Article"&gt;17&lt;/ref-type&gt;&lt;contributors&gt;&lt;authors&gt;&lt;author&gt;Xing, Hui&lt;/author&gt;&lt;author&gt;Peng, Huanqi&lt;/author&gt;&lt;author&gt;Yang, Yuhui&lt;/author&gt;&lt;author&gt;Lv, Kai&lt;/author&gt;&lt;author&gt;Zhou, Shihao&lt;/author&gt;&lt;author&gt;Pan, Xiangjun&lt;/author&gt;&lt;author&gt;Wang, Jianjin&lt;/author&gt;&lt;author&gt;Hu, Yunfeng&lt;/author&gt;&lt;author&gt;Li, Guowei&lt;/author&gt;&lt;author&gt;Ma, Dong&lt;/author&gt;&lt;/authors&gt;&lt;/contributors&gt;&lt;titles&gt;&lt;title&gt;Nitric oxide synergizes minoxidil delivered by transdermal hyaluronic acid liposomes for multimodal androgenetic-alopecia therapy&lt;/title&gt;&lt;secondary-title&gt;Bioactive materials&lt;/secondary-title&gt;&lt;/titles&gt;&lt;periodical&gt;&lt;full-title&gt;Bioactive materials&lt;/full-title&gt;&lt;/periodical&gt;&lt;pages&gt;190-205&lt;/pages&gt;&lt;volume&gt;32&lt;/volume&gt;&lt;dates&gt;&lt;year&gt;2024&lt;/year&gt;&lt;/dates&gt;&lt;isbn&gt;2452-199X&lt;/isbn&gt;&lt;urls&gt;&lt;/urls&gt;&lt;/record&gt;&lt;/Cite&gt;&lt;/EndNote&gt;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[1]</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indicating the successful grafting of the NONOate group onto the Cho-PEI backbone. TEM observations revealed that NO Lip retained an intact, near-spherical morphology after phosphotungstic acid staining and exhibited a characteristic phospholipid bilayer structure </w:t>
      </w:r>
      <w:r>
        <w:rPr>
          <w:rFonts w:ascii="Times New Roman" w:hAnsi="Times New Roman" w:cs="Times New Roman"/>
          <w:b/>
          <w:bCs/>
          <w:sz w:val="24"/>
          <w:szCs w:val="28"/>
        </w:rPr>
        <w:t>(Fig. S2b)</w:t>
      </w:r>
      <w:r>
        <w:rPr>
          <w:rFonts w:ascii="Times New Roman" w:hAnsi="Times New Roman" w:cs="Times New Roman"/>
          <w:sz w:val="24"/>
          <w:szCs w:val="28"/>
        </w:rPr>
        <w:t xml:space="preserve">. Dynamic light scattering analysis showed that NO Lip had an average particle size of 167.5 nm </w:t>
      </w:r>
      <w:r>
        <w:rPr>
          <w:rFonts w:ascii="Times New Roman" w:hAnsi="Times New Roman" w:cs="Times New Roman"/>
          <w:b/>
          <w:bCs/>
          <w:sz w:val="24"/>
          <w:szCs w:val="28"/>
        </w:rPr>
        <w:t>(Fig. S2c)</w:t>
      </w:r>
      <w:r>
        <w:rPr>
          <w:rFonts w:ascii="Times New Roman" w:hAnsi="Times New Roman" w:cs="Times New Roman"/>
          <w:sz w:val="24"/>
          <w:szCs w:val="28"/>
        </w:rPr>
        <w:t>, which was consistent with the TEM results. The relatively small hydrodynamic diameter suggests that NO Lip possesses favorable potential for skin penetration and controlled release of active agents.</w:t>
      </w:r>
    </w:p>
    <w:p w14:paraId="51CBE662">
      <w:pPr>
        <w:spacing w:after="0" w:line="360" w:lineRule="auto"/>
        <w:rPr>
          <w:rFonts w:ascii="Times New Roman" w:hAnsi="Times New Roman" w:cs="Times New Roman"/>
          <w:b/>
          <w:bCs/>
          <w:sz w:val="24"/>
          <w:szCs w:val="28"/>
        </w:rPr>
      </w:pPr>
      <w:r>
        <w:rPr>
          <w:rFonts w:hint="eastAsia" w:ascii="Times New Roman" w:hAnsi="Times New Roman" w:cs="Times New Roman"/>
          <w:b/>
          <w:bCs/>
          <w:sz w:val="24"/>
          <w:szCs w:val="28"/>
        </w:rPr>
        <w:t xml:space="preserve">1.2 </w:t>
      </w:r>
      <w:r>
        <w:rPr>
          <w:rFonts w:ascii="Times New Roman" w:hAnsi="Times New Roman" w:cs="Times New Roman"/>
          <w:b/>
          <w:bCs/>
          <w:sz w:val="24"/>
          <w:szCs w:val="28"/>
        </w:rPr>
        <w:t>Effective concentration screening of NO Lip</w:t>
      </w:r>
    </w:p>
    <w:p w14:paraId="16522741">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 xml:space="preserve">The role of NO in regulating epidermal permeability barrier homeostasis has been well established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&lt;EndNote&gt;&lt;Cite&gt;&lt;Author&gt;Ikeyama&lt;/Author&gt;&lt;Year&gt;2007&lt;/Year&gt;&lt;RecNum&gt;2&lt;/RecNum&gt;&lt;DisplayText&gt;[2]&lt;/DisplayText&gt;&lt;record&gt;&lt;rec-number&gt;2&lt;/rec-number&gt;&lt;foreign-keys&gt;&lt;key app="EN" db-id="rv0s5dzr99z5v7ea2davaf9nrezv50azssss" timestamp="1771694934"&gt;2&lt;/key</w:instrText>
      </w:r>
      <w:r>
        <w:rPr>
          <w:rFonts w:hint="eastAsia" w:ascii="Times New Roman" w:hAnsi="Times New Roman" w:cs="Times New Roman"/>
          <w:color w:val="156082" w:themeColor="accent1"/>
          <w:sz w:val="24"/>
          <w:szCs w:val="28"/>
          <w:vertAlign w:val="superscript"/>
          <w14:textFill>
            <w14:solidFill>
              <w14:schemeClr w14:val="accent1"/>
            </w14:solidFill>
          </w14:textFill>
        </w:rPr>
        <w:instrText xml:space="preserve">&gt;&lt;/foreign-keys&gt;&lt;ref-type name="期刊文献"&gt;17&lt;/ref-type&gt;&lt;contributors&gt;&lt;authors&gt;&lt;author&gt;Ikeyama, Kazuyuki&lt;/author&gt;&lt;author&gt;Fuziwara, Shigeyoshi&lt;/author&gt;&lt;author&gt;Denda, Mitsuhiro&lt;/author&gt;&lt;/authors&gt;&lt;/contributors&gt;&lt;titles&gt;&lt;title&gt;Topical application of neuronal nitri</w:instrText>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c oxide synthase inhibitor accelerates cutaneous barrier recovery and prevents epidermal hyperplasia induced by barrier disruption&lt;/title&gt;&lt;secondary-title&gt;Journal of investigative dermatology&lt;/secondary-title&gt;&lt;/titles&gt;&lt;periodical&gt;&lt;full-title&gt;Journal of investigative dermatology&lt;/full-title&gt;&lt;/periodical&gt;&lt;pages&gt;1713-1719&lt;/pages&gt;&lt;volume&gt;127&lt;/volume&gt;&lt;number&gt;7&lt;/number&gt;&lt;dates&gt;&lt;year&gt;2007&lt;/year&gt;&lt;/dates&gt;&lt;isbn&gt;0022-202X&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[2]</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and NO can influence epidermal permeability; therefore, our attention was first focused on the paracellular pathway. Previous studies have shown that co-culturing NO donors with keratinocytes can widen intercellular spaces between epidermal cells and reduce transepithelial electrical resistance (TEER) by loosening tight junctions, thereby facilitating drug penetration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&lt;EndNote&gt;&lt;Cite&gt;&lt;Author&gt;Kobayashi&lt;/Author&gt;&lt;Year&gt;2020&lt;/Year&gt;&lt;RecNum&gt;3&lt;/RecNum&gt;&lt;DisplayText&gt;[3]&lt;/DisplayText&gt;&lt;record&gt;&lt;rec-number&gt;3&lt;/rec-number&gt;&lt;foreign-keys&gt;&lt;key app="EN" db-id="rv0s5dzr99z5v7ea2davaf9nrezv50azssss" timestamp="1771694972"&gt;3&lt;/k</w:instrText>
      </w:r>
      <w:r>
        <w:rPr>
          <w:rFonts w:hint="eastAsia" w:ascii="Times New Roman" w:hAnsi="Times New Roman" w:cs="Times New Roman"/>
          <w:color w:val="156082" w:themeColor="accent1"/>
          <w:sz w:val="24"/>
          <w:szCs w:val="28"/>
          <w:vertAlign w:val="superscript"/>
          <w14:textFill>
            <w14:solidFill>
              <w14:schemeClr w14:val="accent1"/>
            </w14:solidFill>
          </w14:textFill>
        </w:rPr>
        <w:instrText xml:space="preserve">ey&gt;&lt;/foreign-keys&gt;&lt;ref-type name="期刊文献"&gt;17&lt;/ref-type&gt;&lt;contributors&gt;&lt;authors&gt;&lt;author&gt;Kobayashi, Mao&lt;/author&gt;&lt;author&gt;Shu, Shokoku&lt;/author&gt;&lt;author&gt;Marunaka, Kana&lt;/author&gt;&lt;author&gt;Matsunaga, Toshiyuki&lt;/author&gt;&lt;author&gt;Ikari, Akira&lt;/author&gt;&lt;/authors&gt;&lt;/contributo</w:instrText>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rs&gt;&lt;titles&gt;&lt;title&gt;Weak ultraviolet B enhances the mislocalization of claudin-1 mediated by nitric oxide and peroxynitrite production in human keratinocyte-derived HaCaT cells&lt;/title&gt;&lt;secondary-title&gt;International journal of molecular sciences&lt;/secondary-title&gt;&lt;/titles&gt;&lt;periodical&gt;&lt;full-title&gt;International journal of molecular sciences&lt;/full-title&gt;&lt;/periodical&gt;&lt;pages&gt;7138&lt;/pages&gt;&lt;volume&gt;21&lt;/volume&gt;&lt;number&gt;19&lt;/number&gt;&lt;dates&gt;&lt;year&gt;2020&lt;/year&gt;&lt;/dates&gt;&lt;isbn&gt;1422-0067&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[3]</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To evaluate this possibility, a Transwell system was used to monitor changes in TEER across a cell monolayer. Once a HaCa</w:t>
      </w:r>
      <w:r>
        <w:rPr>
          <w:rFonts w:hint="eastAsia" w:ascii="Times New Roman" w:hAnsi="Times New Roman" w:cs="Times New Roman"/>
          <w:sz w:val="24"/>
          <w:szCs w:val="28"/>
        </w:rPr>
        <w:t>T</w:t>
      </w:r>
      <w:r>
        <w:rPr>
          <w:rFonts w:ascii="Times New Roman" w:hAnsi="Times New Roman" w:cs="Times New Roman"/>
          <w:sz w:val="24"/>
          <w:szCs w:val="28"/>
        </w:rPr>
        <w:t xml:space="preserve"> cell monolayer was established and exhibited stable TEER values, NO Lip at different concentrations was added to the Transwell inserts. As shown in </w:t>
      </w:r>
      <w:r>
        <w:rPr>
          <w:rFonts w:ascii="Times New Roman" w:hAnsi="Times New Roman" w:cs="Times New Roman"/>
          <w:b/>
          <w:bCs/>
          <w:sz w:val="24"/>
          <w:szCs w:val="28"/>
        </w:rPr>
        <w:t>Fig. S3a</w:t>
      </w:r>
      <w:r>
        <w:rPr>
          <w:rFonts w:ascii="Times New Roman" w:hAnsi="Times New Roman" w:cs="Times New Roman"/>
          <w:sz w:val="24"/>
          <w:szCs w:val="28"/>
        </w:rPr>
        <w:t xml:space="preserve">, TEER values significantly decreased after </w:t>
      </w:r>
      <w:r>
        <w:rPr>
          <w:rFonts w:hint="eastAsia" w:ascii="Times New Roman" w:hAnsi="Times New Roman" w:cs="Times New Roman"/>
          <w:sz w:val="24"/>
          <w:szCs w:val="28"/>
        </w:rPr>
        <w:t>6</w:t>
      </w:r>
      <w:r>
        <w:rPr>
          <w:rFonts w:ascii="Times New Roman" w:hAnsi="Times New Roman" w:cs="Times New Roman"/>
          <w:sz w:val="24"/>
          <w:szCs w:val="28"/>
        </w:rPr>
        <w:t xml:space="preserve"> h of co-culture with NO Lip at concentrations ranging from 2 µM to 40 µM. Subsequently, TEER values were measured after co-incubation of HaCa</w:t>
      </w:r>
      <w:r>
        <w:rPr>
          <w:rFonts w:hint="eastAsia" w:ascii="Times New Roman" w:hAnsi="Times New Roman" w:cs="Times New Roman"/>
          <w:sz w:val="24"/>
          <w:szCs w:val="28"/>
        </w:rPr>
        <w:t>T</w:t>
      </w:r>
      <w:r>
        <w:rPr>
          <w:rFonts w:ascii="Times New Roman" w:hAnsi="Times New Roman" w:cs="Times New Roman"/>
          <w:sz w:val="24"/>
          <w:szCs w:val="28"/>
        </w:rPr>
        <w:t xml:space="preserve"> cells with 2 µM NO Lip for 0, 6, and 12 h, showing a decrease at 6 h followed by recovery to baseline levels at 12 h </w:t>
      </w:r>
      <w:r>
        <w:rPr>
          <w:rFonts w:ascii="Times New Roman" w:hAnsi="Times New Roman" w:cs="Times New Roman"/>
          <w:b/>
          <w:bCs/>
          <w:sz w:val="24"/>
          <w:szCs w:val="28"/>
        </w:rPr>
        <w:t>(Fig. S3b)</w:t>
      </w:r>
      <w:r>
        <w:rPr>
          <w:rFonts w:ascii="Times New Roman" w:hAnsi="Times New Roman" w:cs="Times New Roman"/>
          <w:sz w:val="24"/>
          <w:szCs w:val="28"/>
        </w:rPr>
        <w:t xml:space="preserve">, indicating that NO Lip reversibly enlarged the paracellular pathways. In addition, the cytotoxicity of NO Lip at different concentrations was evaluated using a CCK-8 assay </w:t>
      </w:r>
      <w:r>
        <w:rPr>
          <w:rFonts w:ascii="Times New Roman" w:hAnsi="Times New Roman" w:cs="Times New Roman"/>
          <w:b/>
          <w:bCs/>
          <w:sz w:val="24"/>
          <w:szCs w:val="28"/>
        </w:rPr>
        <w:t>(Fig. S3c)</w:t>
      </w:r>
      <w:r>
        <w:rPr>
          <w:rFonts w:ascii="Times New Roman" w:hAnsi="Times New Roman" w:cs="Times New Roman"/>
          <w:sz w:val="24"/>
          <w:szCs w:val="28"/>
        </w:rPr>
        <w:t xml:space="preserve">, and </w:t>
      </w:r>
      <w:r>
        <w:rPr>
          <w:rFonts w:hint="eastAsia" w:ascii="Times New Roman" w:hAnsi="Times New Roman" w:cs="Times New Roman"/>
          <w:sz w:val="24"/>
          <w:szCs w:val="28"/>
        </w:rPr>
        <w:t>cell metabolic activity</w:t>
      </w:r>
      <w:r>
        <w:rPr>
          <w:rFonts w:ascii="Times New Roman" w:hAnsi="Times New Roman" w:cs="Times New Roman"/>
          <w:sz w:val="24"/>
          <w:szCs w:val="28"/>
        </w:rPr>
        <w:t xml:space="preserve"> remained above 95% when HaCa</w:t>
      </w:r>
      <w:r>
        <w:rPr>
          <w:rFonts w:hint="eastAsia" w:ascii="Times New Roman" w:hAnsi="Times New Roman" w:cs="Times New Roman"/>
          <w:sz w:val="24"/>
          <w:szCs w:val="28"/>
        </w:rPr>
        <w:t>T</w:t>
      </w:r>
      <w:r>
        <w:rPr>
          <w:rFonts w:ascii="Times New Roman" w:hAnsi="Times New Roman" w:cs="Times New Roman"/>
          <w:sz w:val="24"/>
          <w:szCs w:val="28"/>
        </w:rPr>
        <w:t xml:space="preserve"> cells were treated with NO Lip at concentrations ranging from 100 nM to </w:t>
      </w:r>
      <w:r>
        <w:rPr>
          <w:rFonts w:hint="eastAsia" w:ascii="Times New Roman" w:hAnsi="Times New Roman" w:cs="Times New Roman"/>
          <w:sz w:val="24"/>
          <w:szCs w:val="28"/>
        </w:rPr>
        <w:t>10</w:t>
      </w:r>
      <w:r>
        <w:rPr>
          <w:rFonts w:ascii="Times New Roman" w:hAnsi="Times New Roman" w:cs="Times New Roman"/>
          <w:sz w:val="24"/>
          <w:szCs w:val="28"/>
        </w:rPr>
        <w:t xml:space="preserve"> µM. Therefore, the appropriate working concentration range of NO Lip was further confirmed to be 2</w:t>
      </w:r>
      <w:r>
        <w:rPr>
          <w:rFonts w:hint="eastAsia" w:ascii="Times New Roman" w:hAnsi="Times New Roman" w:cs="Times New Roman"/>
          <w:sz w:val="24"/>
          <w:szCs w:val="28"/>
        </w:rPr>
        <w:t xml:space="preserve"> </w:t>
      </w:r>
      <w:r>
        <w:rPr>
          <w:rFonts w:ascii="Times New Roman" w:hAnsi="Times New Roman" w:cs="Times New Roman"/>
          <w:sz w:val="24"/>
          <w:szCs w:val="28"/>
        </w:rPr>
        <w:t>–</w:t>
      </w:r>
      <w:r>
        <w:rPr>
          <w:rFonts w:hint="eastAsia" w:ascii="Times New Roman" w:hAnsi="Times New Roman" w:cs="Times New Roman"/>
          <w:sz w:val="24"/>
          <w:szCs w:val="28"/>
        </w:rPr>
        <w:t xml:space="preserve"> </w:t>
      </w:r>
      <w:r>
        <w:rPr>
          <w:rFonts w:ascii="Times New Roman" w:hAnsi="Times New Roman" w:cs="Times New Roman"/>
          <w:sz w:val="24"/>
          <w:szCs w:val="28"/>
        </w:rPr>
        <w:t>10 µM.</w:t>
      </w:r>
    </w:p>
    <w:p w14:paraId="68B8A06F">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t xml:space="preserve">Long-term exposure to </w:t>
      </w:r>
      <w:r>
        <w:rPr>
          <w:rFonts w:hint="eastAsia" w:ascii="Times New Roman" w:hAnsi="Times New Roman" w:cs="Times New Roman"/>
          <w:sz w:val="24"/>
          <w:szCs w:val="28"/>
        </w:rPr>
        <w:t>UV</w:t>
      </w:r>
      <w:r>
        <w:rPr>
          <w:rFonts w:ascii="Times New Roman" w:hAnsi="Times New Roman" w:cs="Times New Roman"/>
          <w:sz w:val="24"/>
          <w:szCs w:val="28"/>
        </w:rPr>
        <w:t xml:space="preserve"> radiation can induce DNA damage, oxidative stress, inflammation, and cell apoptosis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&lt;EndNote&gt;&lt;Cite&gt;&lt;Author&gt;De Jager&lt;/Author&gt;&lt;Year&gt;2017&lt;/Year&gt;&lt;RecNum&gt;4&lt;/RecNum&gt;&lt;DisplayText&gt;[4]&lt;/DisplayText&gt;&lt;record&gt;&lt;rec-number&gt;4&lt;/rec-number&gt;&lt;foreign-keys&gt;&lt;key app="EN" db-id="rv0s5dzr99z5v7ea2davaf9nrezv50azssss" timestamp="1771695014"&gt;4&lt;/ke</w:instrText>
      </w:r>
      <w:r>
        <w:rPr>
          <w:rFonts w:hint="eastAsia" w:ascii="Times New Roman" w:hAnsi="Times New Roman" w:cs="Times New Roman"/>
          <w:color w:val="156082" w:themeColor="accent1"/>
          <w:sz w:val="24"/>
          <w:szCs w:val="28"/>
          <w:vertAlign w:val="superscript"/>
          <w14:textFill>
            <w14:solidFill>
              <w14:schemeClr w14:val="accent1"/>
            </w14:solidFill>
          </w14:textFill>
        </w:rPr>
        <w:instrText xml:space="preserve">y&gt;&lt;/foreign-keys&gt;&lt;ref-type name="期刊文献"&gt;17&lt;/ref-type&gt;&lt;contributors&gt;&lt;authors&gt;&lt;author&gt;De Jager, TL&lt;/author&gt;&lt;author&gt;Cockrell, AE&lt;/author&gt;&lt;author&gt;Du Plessis, SS&lt;/author&gt;&lt;/authors&gt;&lt;/contributors&gt;&lt;titles&gt;&lt;title&gt;Ultraviolet light induced generation of reactive ox</w:instrText>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ygen species&lt;/title&gt;&lt;secondary-title&gt;Ultraviolet light in human health, diseases and environment&lt;/secondary-title&gt;&lt;/titles&gt;&lt;periodical&gt;&lt;full-title&gt;Ultraviolet light in human health, diseases and environment&lt;/full-title&gt;&lt;/periodical&gt;&lt;pages&gt;15-23&lt;/pages&gt;&lt;dates&gt;&lt;year&gt;2017&lt;/year&gt;&lt;/dates&gt;&lt;urls&gt;&lt;/urls&gt;&lt;/record&gt;&lt;/Cite&gt;&lt;/EndNote&gt;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[4]</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w:t>
      </w:r>
      <w:r>
        <w:rPr>
          <w:rFonts w:hint="eastAsia" w:ascii="Times New Roman" w:hAnsi="Times New Roman" w:cs="Times New Roman"/>
          <w:sz w:val="24"/>
          <w:szCs w:val="28"/>
        </w:rPr>
        <w:t>UV</w:t>
      </w:r>
      <w:r>
        <w:rPr>
          <w:rFonts w:ascii="Times New Roman" w:hAnsi="Times New Roman" w:cs="Times New Roman"/>
          <w:sz w:val="24"/>
          <w:szCs w:val="28"/>
        </w:rPr>
        <w:t xml:space="preserve"> radiation can interact with chromophores and photosensitizers within cells, leading to the generation of ROS, including superoxide anion radicals and hydroxyl radicals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&lt;EndNote&gt;&lt;Cite&gt;&lt;Author&gt;Tang&lt;/Author&gt;&lt;Year&gt;2024&lt;/Year&gt;&lt;RecNum&gt;1&lt;/RecNum&gt;&lt;DisplayText&gt;[5]&lt;/DisplayText&gt;&lt;record&gt;&lt;rec-number&gt;1&lt;/rec-number&gt;&lt;foreign-keys&gt;&lt;key app="EN" db-id="sapsfzvxvsdd27ezwd85rpxdatvvrweav9et" timestamp="1766458122"&gt;1&lt;/key&gt;&lt;/foreign-keys&gt;&lt;ref-type name="Journal Article"&gt;17&lt;/ref-type&gt;&lt;contributors&gt;&lt;authors&gt;&lt;author&gt;Tang, Xiaoyou&lt;/author&gt;&lt;author&gt;Yang, Tingyi&lt;/author&gt;&lt;author&gt;Yu, Daojiang&lt;/author&gt;&lt;author&gt;Xiong, Hai&lt;/author&gt;&lt;author&gt;Zhang, Shuyu&lt;/author&gt;&lt;/authors&gt;&lt;/contributors&gt;&lt;titles&gt;&lt;title&gt;Current insights and future perspectives of ultraviolet radiation (UV) exposure: Friends and foes to the skin and beyond the skin&lt;/title&gt;&lt;secondary-title&gt;Environment international&lt;/secondary-title&gt;&lt;/titles&gt;&lt;periodical&gt;&lt;full-title&gt;Environment international&lt;/full-title&gt;&lt;/periodical&gt;&lt;pages&gt;108535&lt;/pages&gt;&lt;volume&gt;185&lt;/volume&gt;&lt;dates&gt;&lt;year&gt;2024&lt;/year&gt;&lt;/dates&gt;&lt;isbn&gt;0160-4120&lt;/isbn&gt;&lt;urls&gt;&lt;/urls&gt;&lt;/record&gt;&lt;/Cite&gt;&lt;/EndNote&gt;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[5]</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ROS can act as second messengers to activate the MAPK signaling pathway, thereby inducing the expression of matrix metalloproteinases (MMPs), which promote collagen oxidation and reduce the expression of type I and type III collagen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&lt;EndNote&gt;&lt;Cite&gt;&lt;Author&gt;Dare&lt;/Author&gt;&lt;Year&gt;2020&lt;/Year&gt;&lt;RecNum&gt;6&lt;/RecNum&gt;&lt;DisplayText&gt;[6]&lt;/DisplayText&gt;&lt;record&gt;&lt;rec-number&gt;6&lt;/rec-number&gt;&lt;foreign-keys&gt;&lt;key app="EN" db-id="rv0s5dzr99z5v7ea2davaf9nrezv50azssss" timestamp="1771695094"&gt;6&lt;/key&gt;&lt;/</w:instrText>
      </w:r>
      <w:r>
        <w:rPr>
          <w:rFonts w:hint="eastAsia" w:ascii="Times New Roman" w:hAnsi="Times New Roman" w:cs="Times New Roman"/>
          <w:color w:val="156082" w:themeColor="accent1"/>
          <w:sz w:val="24"/>
          <w:szCs w:val="28"/>
          <w:vertAlign w:val="superscript"/>
          <w14:textFill>
            <w14:solidFill>
              <w14:schemeClr w14:val="accent1"/>
            </w14:solidFill>
          </w14:textFill>
        </w:rPr>
        <w:instrText xml:space="preserve">foreign-keys&gt;&lt;ref-type name="期刊文献"&gt;17&lt;/ref-type&gt;&lt;contributors&gt;&lt;authors&gt;&lt;author&gt;Dare, Regina G&lt;/author&gt;&lt;author&gt;Nakamura, Celso V&lt;/author&gt;&lt;author&gt;Ximenes, Valdecir F&lt;/author&gt;&lt;author&gt;Lautenschlager, Sueli OS&lt;/author&gt;&lt;/authors&gt;&lt;/contributors&gt;&lt;titles&gt;&lt;title&gt;Ta</w:instrText>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nnic acid, a promising anti-photoaging agent: Evidences of its antioxidant and anti-wrinkle potentials, and its ability to prevent photodamage and MMP-1 expression in L929 fibroblasts exposed to UVB&lt;/title&gt;&lt;secondary-title&gt;Free Radical Biology and Medicine&lt;/secondary-title&gt;&lt;/titles&gt;&lt;periodical&gt;&lt;full-title&gt;Free Radical Biology and Medicine&lt;/full-title&gt;&lt;/periodical&gt;&lt;pages&gt;342-355&lt;/pages&gt;&lt;volume&gt;160&lt;/volume&gt;&lt;dates&gt;&lt;year&gt;2020&lt;/year&gt;&lt;/dates&gt;&lt;isbn&gt;0891-5849&lt;/isbn&gt;&lt;urls&gt;&lt;/urls&gt;&lt;/record&gt;&lt;/Cite&gt;&lt;/EndNote&gt;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[6]</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Previous studies have reported that exogenous NO can reduce the S-nitrosylation and phosphorylation levels of p38, a key stress-responsive subfamily member of the MAPK pathway, whose activation further promotes MMP expression </w:t>
      </w:r>
      <w:r>
        <w:rPr>
          <w:rFonts w:ascii="Times New Roman" w:hAnsi="Times New Roman" w:cs="Times New Roman"/>
          <w:color w:val="156082" w:themeColor="accent1"/>
          <w:sz w:val="24"/>
          <w:szCs w:val="28"/>
          <w:vertAlign w:val="superscript"/>
          <w14:textFill>
            <w14:solidFill>
              <w14:schemeClr w14:val="accent1"/>
            </w14:solidFill>
          </w14:textFill>
        </w:rPr>
        <w:fldChar w:fldCharType="begin"/>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 ADDIN EN.CITE &lt;EndNote&gt;&lt;Cite&gt;&lt;Author&gt;Qi&lt;/Author&gt;&lt;Year&gt;2013&lt;/Year&gt;&lt;RecNum&gt;7&lt;/RecNum&gt;&lt;DisplayText&gt;[7]&lt;/DisplayText&gt;&lt;record&gt;&lt;rec-number&gt;7&lt;/rec-number&gt;&lt;foreign-keys&gt;&lt;key app="EN" db-id="rv0s5dzr99z5v7ea2davaf9nrezv50azssss" timestamp="1771695130"&gt;7&lt;/key&gt;&lt;/fo</w:instrText>
      </w:r>
      <w:r>
        <w:rPr>
          <w:rFonts w:hint="eastAsia" w:ascii="Times New Roman" w:hAnsi="Times New Roman" w:cs="Times New Roman"/>
          <w:color w:val="156082" w:themeColor="accent1"/>
          <w:sz w:val="24"/>
          <w:szCs w:val="28"/>
          <w:vertAlign w:val="superscript"/>
          <w14:textFill>
            <w14:solidFill>
              <w14:schemeClr w14:val="accent1"/>
            </w14:solidFill>
          </w14:textFill>
        </w:rPr>
        <w:instrText xml:space="preserve">reign-keys&gt;&lt;ref-type name="期刊文献"&gt;17&lt;/ref-type&gt;&lt;contributors&gt;&lt;authors&gt;&lt;author&gt;Qi, SH&lt;/author&gt;&lt;author&gt;Hao, LY&lt;/author&gt;&lt;author&gt;Yue, J&lt;/author&gt;&lt;author&gt;Zong, YY&lt;/author&gt;&lt;author&gt;Zhang, GY&lt;/author&gt;&lt;/authors&gt;&lt;/contributors&gt;&lt;titles&gt;&lt;title&gt;Exogenous nitric oxide negatively regulates the S‐nitrosylation p38 mitogen‐activated protein kinase activation during cerebral ischaemia and reperfusion&lt;/title&gt;&lt;secondary-title&gt;Neuropathology and Applied Neurobiology&lt;/secondary-title&gt;&lt;/titles&gt;&lt;periodical&gt;&lt;full-title&gt;Neuropatholo</w:instrText>
      </w:r>
      <w:r>
        <w:rPr>
          <w:rFonts w:ascii="Times New Roman" w:hAnsi="Times New Roman" w:cs="Times New Roman"/>
          <w:color w:val="156082" w:themeColor="accent1"/>
          <w:sz w:val="24"/>
          <w:szCs w:val="28"/>
          <w:vertAlign w:val="superscript"/>
          <w14:textFill>
            <w14:solidFill>
              <w14:schemeClr w14:val="accent1"/>
            </w14:solidFill>
          </w14:textFill>
        </w:rPr>
        <w:instrText xml:space="preserve">gy and Applied Neurobiology&lt;/full-title&gt;&lt;/periodical&gt;&lt;pages&gt;284-297&lt;/pages&gt;&lt;volume&gt;39&lt;/volume&gt;&lt;number&gt;3&lt;/number&gt;&lt;dates&gt;&lt;year&gt;2013&lt;/year&gt;&lt;/dates&gt;&lt;isbn&gt;0305-1846&lt;/isbn&gt;&lt;urls&gt;&lt;/urls&gt;&lt;/record&gt;&lt;/Cite&gt;&lt;/EndNote&gt;</w:instrText>
      </w:r>
      <w:r>
        <w:rPr>
          <w:rFonts w:ascii="Times New Roman" w:hAnsi="Times New Roman" w:cs="Times New Roman"/>
          <w:color w:val="156082" w:themeColor="accent1"/>
          <w:sz w:val="24"/>
          <w:szCs w:val="28"/>
          <w:vertAlign w:val="superscript"/>
          <w14:textFill>
            <w14:solidFill>
              <w14:schemeClr w14:val="accent1"/>
            </w14:solidFill>
          </w14:textFill>
        </w:rPr>
        <w:fldChar w:fldCharType="separate"/>
      </w:r>
      <w:r>
        <w:rPr>
          <w:rFonts w:ascii="Times New Roman" w:hAnsi="Times New Roman" w:cs="Times New Roman"/>
          <w:color w:val="156082" w:themeColor="accent1"/>
          <w:sz w:val="24"/>
          <w:szCs w:val="28"/>
          <w:vertAlign w:val="superscript"/>
          <w14:textFill>
            <w14:solidFill>
              <w14:schemeClr w14:val="accent1"/>
            </w14:solidFill>
          </w14:textFill>
        </w:rPr>
        <w:t>[7]</w:t>
      </w:r>
      <w:r>
        <w:rPr>
          <w:rFonts w:ascii="Times New Roman" w:hAnsi="Times New Roman" w:cs="Times New Roman"/>
          <w:color w:val="156082" w:themeColor="accent1"/>
          <w:sz w:val="24"/>
          <w:szCs w:val="28"/>
          <w:vertAlign w:val="superscript"/>
          <w14:textFill>
            <w14:solidFill>
              <w14:schemeClr w14:val="accent1"/>
            </w14:solidFill>
          </w14:textFill>
        </w:rPr>
        <w:fldChar w:fldCharType="end"/>
      </w:r>
      <w:r>
        <w:rPr>
          <w:rFonts w:ascii="Times New Roman" w:hAnsi="Times New Roman" w:cs="Times New Roman"/>
          <w:sz w:val="24"/>
          <w:szCs w:val="28"/>
        </w:rPr>
        <w:t xml:space="preserve">. Therefore, a DCFH-DA fluorescent probe assay was designed to further investigate the role of moderate NO levels in regulating the ROS–MAPK–MMP axis. As shown in </w:t>
      </w:r>
      <w:r>
        <w:rPr>
          <w:rFonts w:ascii="Times New Roman" w:hAnsi="Times New Roman" w:cs="Times New Roman"/>
          <w:b/>
          <w:bCs/>
          <w:sz w:val="24"/>
          <w:szCs w:val="28"/>
        </w:rPr>
        <w:t>Fig. S3d</w:t>
      </w:r>
      <w:r>
        <w:rPr>
          <w:rFonts w:ascii="Times New Roman" w:hAnsi="Times New Roman" w:cs="Times New Roman"/>
          <w:sz w:val="24"/>
          <w:szCs w:val="28"/>
        </w:rPr>
        <w:t>, HaCa</w:t>
      </w:r>
      <w:r>
        <w:rPr>
          <w:rFonts w:hint="eastAsia" w:ascii="Times New Roman" w:hAnsi="Times New Roman" w:cs="Times New Roman"/>
          <w:sz w:val="24"/>
          <w:szCs w:val="28"/>
        </w:rPr>
        <w:t>T</w:t>
      </w:r>
      <w:r>
        <w:rPr>
          <w:rFonts w:ascii="Times New Roman" w:hAnsi="Times New Roman" w:cs="Times New Roman"/>
          <w:sz w:val="24"/>
          <w:szCs w:val="28"/>
        </w:rPr>
        <w:t xml:space="preserve"> cells produced low levels of ROS under normal conditions, whereas UVB irradiation markedly increased fluorescence intensity compared with the control group, indicating successful induction of oxidative stress. Notably, the fluorescence intensity of ROS was significantly reduced in the 2 µM NO Lip–treated group</w:t>
      </w:r>
      <w:r>
        <w:rPr>
          <w:rFonts w:ascii="Times New Roman" w:hAnsi="Times New Roman" w:eastAsia="宋体"/>
          <w:color w:val="EE0000"/>
          <w:sz w:val="24"/>
        </w:rPr>
        <w:t xml:space="preserve"> </w:t>
      </w:r>
      <w:r>
        <w:rPr>
          <w:rFonts w:hint="eastAsia" w:ascii="Times New Roman" w:hAnsi="Times New Roman" w:eastAsia="宋体"/>
          <w:b/>
          <w:bCs/>
          <w:color w:val="000000" w:themeColor="text1"/>
          <w:sz w:val="24"/>
          <w14:textFill>
            <w14:solidFill>
              <w14:schemeClr w14:val="tx1"/>
            </w14:solidFill>
          </w14:textFill>
        </w:rPr>
        <w:t>(</w:t>
      </w:r>
      <w:r>
        <w:rPr>
          <w:rFonts w:ascii="Times New Roman" w:hAnsi="Times New Roman" w:cs="Times New Roman"/>
          <w:b/>
          <w:bCs/>
          <w:color w:val="000000" w:themeColor="text1"/>
          <w:sz w:val="24"/>
          <w:szCs w:val="28"/>
          <w14:textFill>
            <w14:solidFill>
              <w14:schemeClr w14:val="tx1"/>
            </w14:solidFill>
          </w14:textFill>
        </w:rPr>
        <w:t>Fig. S3e</w:t>
      </w:r>
      <w:r>
        <w:rPr>
          <w:rFonts w:hint="eastAsia" w:ascii="Times New Roman" w:hAnsi="Times New Roman" w:cs="Times New Roman"/>
          <w:b/>
          <w:bCs/>
          <w:color w:val="000000" w:themeColor="text1"/>
          <w:sz w:val="24"/>
          <w:szCs w:val="28"/>
          <w14:textFill>
            <w14:solidFill>
              <w14:schemeClr w14:val="tx1"/>
            </w14:solidFill>
          </w14:textFill>
        </w:rPr>
        <w:t>)</w:t>
      </w:r>
      <w:r>
        <w:rPr>
          <w:rFonts w:ascii="Times New Roman" w:hAnsi="Times New Roman" w:cs="Times New Roman"/>
          <w:sz w:val="24"/>
          <w:szCs w:val="28"/>
        </w:rPr>
        <w:t>. Accordingly, 2 µM NO Lip was selected as the effective concentration for subsequent experiments.</w:t>
      </w:r>
    </w:p>
    <w:p w14:paraId="0DEFA888">
      <w:pPr>
        <w:spacing w:after="0" w:line="360" w:lineRule="auto"/>
        <w:ind w:firstLine="480" w:firstLineChars="200"/>
        <w:jc w:val="both"/>
        <w:rPr>
          <w:rFonts w:ascii="Times New Roman" w:hAnsi="Times New Roman" w:cs="Times New Roman"/>
          <w:sz w:val="24"/>
          <w:szCs w:val="28"/>
        </w:rPr>
      </w:pPr>
      <w:r>
        <w:rPr>
          <w:rFonts w:ascii="Times New Roman" w:hAnsi="Times New Roman" w:cs="Times New Roman"/>
          <w:sz w:val="24"/>
          <w:szCs w:val="28"/>
        </w:rPr>
        <w:br w:type="page"/>
      </w:r>
    </w:p>
    <w:p w14:paraId="3E211397">
      <w:pPr>
        <w:spacing w:after="0" w:line="360" w:lineRule="auto"/>
        <w:rPr>
          <w:rFonts w:ascii="Times New Roman" w:hAnsi="Times New Roman" w:cs="Times New Roman"/>
          <w:b/>
          <w:bCs/>
          <w:sz w:val="24"/>
          <w:szCs w:val="28"/>
        </w:rPr>
      </w:pPr>
      <w:r>
        <w:rPr>
          <w:rFonts w:ascii="Times New Roman" w:hAnsi="Times New Roman" w:cs="Times New Roman"/>
          <w:b/>
          <w:bCs/>
          <w:sz w:val="24"/>
          <w:szCs w:val="28"/>
        </w:rPr>
        <w:t>2. Supplementary Data</w:t>
      </w:r>
    </w:p>
    <w:p w14:paraId="15F96BD0">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14:ligatures w14:val="none"/>
        </w:rPr>
        <w:drawing>
          <wp:inline distT="0" distB="0" distL="0" distR="0">
            <wp:extent cx="5194935" cy="2371090"/>
            <wp:effectExtent l="0" t="0" r="5715" b="0"/>
            <wp:docPr id="5058743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74360" name="图片 1"/>
                    <pic:cNvPicPr>
                      <a:picLocks noChangeAspect="1"/>
                    </pic:cNvPicPr>
                  </pic:nvPicPr>
                  <pic:blipFill>
                    <a:blip r:embed="rId7"/>
                    <a:srcRect l="1502"/>
                    <a:stretch>
                      <a:fillRect/>
                    </a:stretch>
                  </pic:blipFill>
                  <pic:spPr>
                    <a:xfrm>
                      <a:off x="0" y="0"/>
                      <a:ext cx="5195110" cy="2371090"/>
                    </a:xfrm>
                    <a:prstGeom prst="rect">
                      <a:avLst/>
                    </a:prstGeom>
                    <a:ln>
                      <a:noFill/>
                    </a:ln>
                  </pic:spPr>
                </pic:pic>
              </a:graphicData>
            </a:graphic>
          </wp:inline>
        </w:drawing>
      </w:r>
    </w:p>
    <w:p w14:paraId="1CA9C9E1">
      <w:pPr>
        <w:spacing w:after="0" w:line="360" w:lineRule="auto"/>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S1.</w:t>
      </w:r>
      <w:r>
        <w:t xml:space="preserve"> </w:t>
      </w:r>
      <w:r>
        <w:rPr>
          <w:rFonts w:ascii="Times New Roman" w:hAnsi="Times New Roman" w:cs="Times New Roman"/>
          <w:sz w:val="24"/>
          <w:szCs w:val="28"/>
        </w:rPr>
        <w:t>HA and Cho-PEI/NONOate characterization</w:t>
      </w:r>
      <w:r>
        <w:rPr>
          <w:rFonts w:hint="eastAsia" w:ascii="Times New Roman" w:hAnsi="Times New Roman" w:cs="Times New Roman"/>
          <w:sz w:val="24"/>
          <w:szCs w:val="28"/>
        </w:rPr>
        <w:t>.</w:t>
      </w:r>
      <w:r>
        <w:rPr>
          <w:rFonts w:ascii="Times New Roman" w:hAnsi="Times New Roman" w:cs="Times New Roman"/>
          <w:sz w:val="24"/>
          <w:szCs w:val="28"/>
        </w:rPr>
        <w:t xml:space="preserve"> (</w:t>
      </w:r>
      <w:r>
        <w:rPr>
          <w:rFonts w:hint="eastAsia" w:ascii="Times New Roman" w:hAnsi="Times New Roman" w:cs="Times New Roman"/>
          <w:sz w:val="24"/>
          <w:szCs w:val="28"/>
        </w:rPr>
        <w:t>a</w:t>
      </w:r>
      <w:r>
        <w:rPr>
          <w:rFonts w:ascii="Times New Roman" w:hAnsi="Times New Roman" w:cs="Times New Roman"/>
          <w:sz w:val="24"/>
          <w:szCs w:val="28"/>
        </w:rPr>
        <w:t>)</w:t>
      </w:r>
      <w:r>
        <w:rPr>
          <w:rFonts w:ascii="Times New Roman" w:hAnsi="Times New Roman" w:cs="Times New Roman"/>
          <w:sz w:val="24"/>
          <w:szCs w:val="28"/>
          <w:vertAlign w:val="superscript"/>
        </w:rPr>
        <w:t xml:space="preserve"> 1</w:t>
      </w:r>
      <w:r>
        <w:rPr>
          <w:rFonts w:ascii="Times New Roman" w:hAnsi="Times New Roman" w:cs="Times New Roman"/>
          <w:sz w:val="24"/>
          <w:szCs w:val="28"/>
        </w:rPr>
        <w:t>H NMR spectra of HA</w:t>
      </w:r>
      <w:r>
        <w:rPr>
          <w:rFonts w:hint="eastAsia" w:ascii="Times New Roman" w:hAnsi="Times New Roman" w:cs="Times New Roman"/>
          <w:sz w:val="24"/>
          <w:szCs w:val="28"/>
        </w:rPr>
        <w:t>.</w:t>
      </w:r>
      <w:r>
        <w:rPr>
          <w:rFonts w:hint="eastAsia"/>
          <w:b/>
          <w:bCs/>
        </w:rPr>
        <w:t xml:space="preserve"> </w:t>
      </w:r>
      <w:r>
        <w:rPr>
          <w:rFonts w:ascii="Times New Roman" w:hAnsi="Times New Roman" w:cs="Times New Roman"/>
          <w:sz w:val="24"/>
          <w:szCs w:val="28"/>
        </w:rPr>
        <w:t>(</w:t>
      </w:r>
      <w:r>
        <w:rPr>
          <w:rFonts w:hint="eastAsia" w:ascii="Times New Roman" w:hAnsi="Times New Roman" w:cs="Times New Roman"/>
          <w:sz w:val="24"/>
          <w:szCs w:val="28"/>
        </w:rPr>
        <w:t>b</w:t>
      </w:r>
      <w:r>
        <w:rPr>
          <w:rFonts w:ascii="Times New Roman" w:hAnsi="Times New Roman" w:cs="Times New Roman"/>
          <w:sz w:val="24"/>
          <w:szCs w:val="28"/>
        </w:rPr>
        <w:t>)</w:t>
      </w:r>
      <w:r>
        <w:rPr>
          <w:rFonts w:hint="eastAsia" w:ascii="Times New Roman" w:hAnsi="Times New Roman" w:cs="Times New Roman"/>
          <w:sz w:val="24"/>
          <w:szCs w:val="28"/>
        </w:rPr>
        <w:t xml:space="preserve"> </w:t>
      </w:r>
      <w:r>
        <w:rPr>
          <w:rFonts w:ascii="Times New Roman" w:hAnsi="Times New Roman" w:cs="Times New Roman"/>
          <w:sz w:val="24"/>
          <w:szCs w:val="28"/>
          <w:vertAlign w:val="superscript"/>
        </w:rPr>
        <w:t>1</w:t>
      </w:r>
      <w:r>
        <w:rPr>
          <w:rFonts w:ascii="Times New Roman" w:hAnsi="Times New Roman" w:cs="Times New Roman"/>
          <w:sz w:val="24"/>
          <w:szCs w:val="28"/>
        </w:rPr>
        <w:t>H NMR spectra of Cho, Cho-PEI, and Cho-PEI/NONOate.</w:t>
      </w:r>
    </w:p>
    <w:p w14:paraId="38B282DF">
      <w:pPr>
        <w:spacing w:after="0" w:line="360" w:lineRule="auto"/>
        <w:rPr>
          <w:rFonts w:ascii="Times New Roman" w:hAnsi="Times New Roman" w:cs="Times New Roman"/>
          <w:sz w:val="24"/>
          <w:szCs w:val="28"/>
        </w:rPr>
      </w:pPr>
    </w:p>
    <w:p w14:paraId="33537F74">
      <w:pPr>
        <w:spacing w:after="0" w:line="360" w:lineRule="auto"/>
        <w:rPr>
          <w:rFonts w:hint="eastAsia"/>
        </w:rPr>
      </w:pPr>
      <w:r>
        <w:rPr>
          <w:rFonts w:hint="eastAsia"/>
        </w:rPr>
        <w:drawing>
          <wp:inline distT="0" distB="0" distL="0" distR="0">
            <wp:extent cx="5274310" cy="1442085"/>
            <wp:effectExtent l="0" t="0" r="0" b="5715"/>
            <wp:docPr id="1082568752" name="图片 2"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68752" name="图片 2" descr="手机屏幕的截图&#10;&#10;AI 生成的内容可能不正确。"/>
                    <pic:cNvPicPr>
                      <a:picLocks noChangeAspect="1"/>
                    </pic:cNvPicPr>
                  </pic:nvPicPr>
                  <pic:blipFill>
                    <a:blip r:embed="rId8"/>
                    <a:stretch>
                      <a:fillRect/>
                    </a:stretch>
                  </pic:blipFill>
                  <pic:spPr>
                    <a:xfrm>
                      <a:off x="0" y="0"/>
                      <a:ext cx="5274310" cy="1442085"/>
                    </a:xfrm>
                    <a:prstGeom prst="rect">
                      <a:avLst/>
                    </a:prstGeom>
                  </pic:spPr>
                </pic:pic>
              </a:graphicData>
            </a:graphic>
          </wp:inline>
        </w:drawing>
      </w:r>
    </w:p>
    <w:p w14:paraId="254D41D6">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S2.</w:t>
      </w:r>
      <w:r>
        <w:rPr>
          <w:b/>
          <w:bCs/>
        </w:rPr>
        <w:t xml:space="preserve"> </w:t>
      </w:r>
      <w:r>
        <w:rPr>
          <w:rFonts w:ascii="Times New Roman" w:hAnsi="Times New Roman" w:cs="Times New Roman"/>
          <w:sz w:val="24"/>
          <w:szCs w:val="28"/>
        </w:rPr>
        <w:t>NO Lip characterization.</w:t>
      </w:r>
      <w:r>
        <w:rPr>
          <w:rFonts w:hint="eastAsia" w:ascii="Times New Roman" w:hAnsi="Times New Roman" w:cs="Times New Roman"/>
          <w:sz w:val="24"/>
          <w:szCs w:val="28"/>
        </w:rPr>
        <w:t xml:space="preserve"> </w:t>
      </w:r>
      <w:r>
        <w:rPr>
          <w:rFonts w:ascii="Times New Roman" w:hAnsi="Times New Roman" w:cs="Times New Roman"/>
          <w:sz w:val="24"/>
          <w:szCs w:val="28"/>
        </w:rPr>
        <w:t>(a) FTIR spectra of Cho, PEI, Cho-PEI, and Cho-PEI/NONOate.</w:t>
      </w:r>
      <w:r>
        <w:rPr>
          <w:rFonts w:hint="eastAsia" w:ascii="Times New Roman" w:hAnsi="Times New Roman" w:cs="Times New Roman"/>
          <w:sz w:val="24"/>
          <w:szCs w:val="28"/>
        </w:rPr>
        <w:t xml:space="preserve"> </w:t>
      </w:r>
      <w:r>
        <w:rPr>
          <w:rFonts w:ascii="Times New Roman" w:hAnsi="Times New Roman" w:cs="Times New Roman"/>
          <w:sz w:val="24"/>
          <w:szCs w:val="28"/>
        </w:rPr>
        <w:t>(b) TEM image of NO Lip.</w:t>
      </w:r>
      <w:r>
        <w:rPr>
          <w:rFonts w:hint="eastAsia" w:ascii="Times New Roman" w:hAnsi="Times New Roman" w:cs="Times New Roman"/>
          <w:sz w:val="24"/>
          <w:szCs w:val="28"/>
        </w:rPr>
        <w:t xml:space="preserve"> </w:t>
      </w:r>
      <w:r>
        <w:rPr>
          <w:rFonts w:ascii="Times New Roman" w:hAnsi="Times New Roman" w:cs="Times New Roman"/>
          <w:sz w:val="24"/>
          <w:szCs w:val="28"/>
        </w:rPr>
        <w:t>(c) Particle size distribution of NO Lip.</w:t>
      </w:r>
    </w:p>
    <w:p w14:paraId="1FE3672A">
      <w:pPr>
        <w:spacing w:after="0" w:line="360" w:lineRule="auto"/>
        <w:rPr>
          <w:rFonts w:ascii="Times New Roman" w:hAnsi="Times New Roman" w:cs="Times New Roman"/>
          <w:sz w:val="24"/>
          <w:szCs w:val="28"/>
        </w:rPr>
      </w:pPr>
    </w:p>
    <w:p w14:paraId="71F9877A">
      <w:pPr>
        <w:rPr>
          <w:rFonts w:ascii="Times New Roman" w:hAnsi="Times New Roman" w:cs="Times New Roman"/>
          <w:b/>
          <w:bCs/>
          <w:sz w:val="24"/>
          <w:szCs w:val="28"/>
        </w:rPr>
      </w:pPr>
      <w:r>
        <w:rPr>
          <w:rFonts w:ascii="Times New Roman" w:hAnsi="Times New Roman" w:cs="Times New Roman"/>
          <w:b/>
          <w:bCs/>
          <w:sz w:val="24"/>
          <w:szCs w:val="28"/>
        </w:rPr>
        <w:drawing>
          <wp:inline distT="0" distB="0" distL="0" distR="0">
            <wp:extent cx="5274310" cy="3039110"/>
            <wp:effectExtent l="0" t="0" r="2540" b="8890"/>
            <wp:docPr id="13952921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92119" name="图片 3"/>
                    <pic:cNvPicPr>
                      <a:picLocks noChangeAspect="1"/>
                    </pic:cNvPicPr>
                  </pic:nvPicPr>
                  <pic:blipFill>
                    <a:blip r:embed="rId9"/>
                    <a:stretch>
                      <a:fillRect/>
                    </a:stretch>
                  </pic:blipFill>
                  <pic:spPr>
                    <a:xfrm>
                      <a:off x="0" y="0"/>
                      <a:ext cx="5274310" cy="3039110"/>
                    </a:xfrm>
                    <a:prstGeom prst="rect">
                      <a:avLst/>
                    </a:prstGeom>
                  </pic:spPr>
                </pic:pic>
              </a:graphicData>
            </a:graphic>
          </wp:inline>
        </w:drawing>
      </w:r>
    </w:p>
    <w:p w14:paraId="0CCF4FA1">
      <w:pPr>
        <w:spacing w:after="0" w:line="360" w:lineRule="auto"/>
        <w:jc w:val="both"/>
        <w:rPr>
          <w:rFonts w:ascii="Times New Roman" w:hAnsi="Times New Roman" w:cs="Times New Roman"/>
          <w:sz w:val="24"/>
          <w:szCs w:val="32"/>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S3.</w:t>
      </w:r>
      <w:r>
        <w:rPr>
          <w:rFonts w:ascii="宋体" w:hAnsi="宋体" w:eastAsia="宋体" w:cs="宋体"/>
          <w:b/>
          <w:bCs/>
          <w:kern w:val="0"/>
          <w:sz w:val="24"/>
          <w14:ligatures w14:val="none"/>
        </w:rPr>
        <w:t xml:space="preserve"> </w:t>
      </w:r>
      <w:r>
        <w:rPr>
          <w:rFonts w:ascii="Times New Roman" w:hAnsi="Times New Roman" w:cs="Times New Roman"/>
          <w:sz w:val="24"/>
          <w:szCs w:val="32"/>
        </w:rPr>
        <w:t>Effective concentration screening of NO Lip.</w:t>
      </w:r>
      <w:r>
        <w:rPr>
          <w:rFonts w:hint="eastAsia" w:ascii="Times New Roman" w:hAnsi="Times New Roman" w:cs="Times New Roman"/>
          <w:sz w:val="24"/>
          <w:szCs w:val="32"/>
        </w:rPr>
        <w:t xml:space="preserve"> </w:t>
      </w:r>
      <w:r>
        <w:rPr>
          <w:rFonts w:ascii="Times New Roman" w:hAnsi="Times New Roman" w:cs="Times New Roman"/>
          <w:sz w:val="24"/>
          <w:szCs w:val="32"/>
        </w:rPr>
        <w:t>(a) Effects of different</w:t>
      </w:r>
      <w:r>
        <w:rPr>
          <w:rFonts w:hint="eastAsia" w:ascii="Times New Roman" w:hAnsi="Times New Roman" w:cs="Times New Roman"/>
          <w:sz w:val="24"/>
          <w:szCs w:val="32"/>
        </w:rPr>
        <w:t xml:space="preserve"> </w:t>
      </w:r>
      <w:r>
        <w:rPr>
          <w:rFonts w:ascii="Times New Roman" w:hAnsi="Times New Roman" w:cs="Times New Roman"/>
          <w:sz w:val="24"/>
          <w:szCs w:val="32"/>
        </w:rPr>
        <w:t>concentrations of NO Lip (100 nM</w:t>
      </w:r>
      <w:r>
        <w:rPr>
          <w:rFonts w:hint="eastAsia" w:ascii="Times New Roman" w:hAnsi="Times New Roman" w:cs="Times New Roman"/>
          <w:sz w:val="24"/>
          <w:szCs w:val="32"/>
        </w:rPr>
        <w:t xml:space="preserve"> </w:t>
      </w:r>
      <w:r>
        <w:rPr>
          <w:rFonts w:ascii="Times New Roman" w:hAnsi="Times New Roman" w:cs="Times New Roman"/>
          <w:sz w:val="24"/>
          <w:szCs w:val="32"/>
        </w:rPr>
        <w:t>–</w:t>
      </w:r>
      <w:r>
        <w:rPr>
          <w:rFonts w:hint="eastAsia" w:ascii="Times New Roman" w:hAnsi="Times New Roman" w:cs="Times New Roman"/>
          <w:sz w:val="24"/>
          <w:szCs w:val="32"/>
        </w:rPr>
        <w:t xml:space="preserve"> </w:t>
      </w:r>
      <w:r>
        <w:rPr>
          <w:rFonts w:ascii="Times New Roman" w:hAnsi="Times New Roman" w:cs="Times New Roman"/>
          <w:sz w:val="24"/>
          <w:szCs w:val="32"/>
        </w:rPr>
        <w:t>40 µM) on TEER changes in HaCa</w:t>
      </w:r>
      <w:r>
        <w:rPr>
          <w:rFonts w:hint="eastAsia" w:ascii="Times New Roman" w:hAnsi="Times New Roman" w:cs="Times New Roman"/>
          <w:sz w:val="24"/>
          <w:szCs w:val="32"/>
        </w:rPr>
        <w:t>T</w:t>
      </w:r>
      <w:r>
        <w:rPr>
          <w:rFonts w:ascii="Times New Roman" w:hAnsi="Times New Roman" w:cs="Times New Roman"/>
          <w:sz w:val="24"/>
          <w:szCs w:val="32"/>
        </w:rPr>
        <w:t xml:space="preserve"> cells.</w:t>
      </w:r>
      <w:r>
        <w:rPr>
          <w:rFonts w:hint="eastAsia" w:ascii="Times New Roman" w:hAnsi="Times New Roman" w:cs="Times New Roman"/>
          <w:sz w:val="24"/>
          <w:szCs w:val="32"/>
        </w:rPr>
        <w:t xml:space="preserve"> </w:t>
      </w:r>
      <w:r>
        <w:rPr>
          <w:rFonts w:ascii="Times New Roman" w:hAnsi="Times New Roman" w:cs="Times New Roman"/>
          <w:sz w:val="24"/>
          <w:szCs w:val="32"/>
        </w:rPr>
        <w:t>(b) Effects of 2 µM NO Lip treatment on TEER changes in HaCa</w:t>
      </w:r>
      <w:r>
        <w:rPr>
          <w:rFonts w:hint="eastAsia" w:ascii="Times New Roman" w:hAnsi="Times New Roman" w:cs="Times New Roman"/>
          <w:sz w:val="24"/>
          <w:szCs w:val="32"/>
        </w:rPr>
        <w:t>T</w:t>
      </w:r>
      <w:r>
        <w:rPr>
          <w:rFonts w:ascii="Times New Roman" w:hAnsi="Times New Roman" w:cs="Times New Roman"/>
          <w:sz w:val="24"/>
          <w:szCs w:val="32"/>
        </w:rPr>
        <w:t xml:space="preserve"> cells.</w:t>
      </w:r>
      <w:r>
        <w:rPr>
          <w:rFonts w:hint="eastAsia" w:ascii="Times New Roman" w:hAnsi="Times New Roman" w:cs="Times New Roman"/>
          <w:sz w:val="24"/>
          <w:szCs w:val="32"/>
        </w:rPr>
        <w:t xml:space="preserve"> </w:t>
      </w:r>
      <w:r>
        <w:rPr>
          <w:rFonts w:ascii="Times New Roman" w:hAnsi="Times New Roman" w:cs="Times New Roman"/>
          <w:sz w:val="24"/>
          <w:szCs w:val="32"/>
        </w:rPr>
        <w:t>(c) CCK-8 cytotoxicity assay of HaCa</w:t>
      </w:r>
      <w:r>
        <w:rPr>
          <w:rFonts w:hint="eastAsia" w:ascii="Times New Roman" w:hAnsi="Times New Roman" w:cs="Times New Roman"/>
          <w:sz w:val="24"/>
          <w:szCs w:val="32"/>
        </w:rPr>
        <w:t>T</w:t>
      </w:r>
      <w:r>
        <w:rPr>
          <w:rFonts w:ascii="Times New Roman" w:hAnsi="Times New Roman" w:cs="Times New Roman"/>
          <w:sz w:val="24"/>
          <w:szCs w:val="32"/>
        </w:rPr>
        <w:t xml:space="preserve"> cells treated with different concentrations of NO Lip (0 nM</w:t>
      </w:r>
      <w:r>
        <w:rPr>
          <w:rFonts w:hint="eastAsia" w:ascii="Times New Roman" w:hAnsi="Times New Roman" w:cs="Times New Roman"/>
          <w:sz w:val="24"/>
          <w:szCs w:val="32"/>
        </w:rPr>
        <w:t xml:space="preserve"> </w:t>
      </w:r>
      <w:r>
        <w:rPr>
          <w:rFonts w:ascii="Times New Roman" w:hAnsi="Times New Roman" w:cs="Times New Roman"/>
          <w:sz w:val="24"/>
          <w:szCs w:val="32"/>
        </w:rPr>
        <w:t>–</w:t>
      </w:r>
      <w:r>
        <w:rPr>
          <w:rFonts w:hint="eastAsia" w:ascii="Times New Roman" w:hAnsi="Times New Roman" w:cs="Times New Roman"/>
          <w:sz w:val="24"/>
          <w:szCs w:val="32"/>
        </w:rPr>
        <w:t xml:space="preserve"> </w:t>
      </w:r>
      <w:r>
        <w:rPr>
          <w:rFonts w:ascii="Times New Roman" w:hAnsi="Times New Roman" w:cs="Times New Roman"/>
          <w:sz w:val="24"/>
          <w:szCs w:val="32"/>
        </w:rPr>
        <w:t>40 µM).</w:t>
      </w:r>
      <w:r>
        <w:rPr>
          <w:rFonts w:hint="eastAsia" w:ascii="Times New Roman" w:hAnsi="Times New Roman" w:cs="Times New Roman"/>
          <w:sz w:val="24"/>
          <w:szCs w:val="32"/>
        </w:rPr>
        <w:t xml:space="preserve"> </w:t>
      </w:r>
      <w:r>
        <w:rPr>
          <w:rFonts w:ascii="Times New Roman" w:hAnsi="Times New Roman" w:cs="Times New Roman"/>
          <w:sz w:val="24"/>
          <w:szCs w:val="32"/>
        </w:rPr>
        <w:t>(d) Effects of different concentrations of NO Lip on ROS generation in HaCa</w:t>
      </w:r>
      <w:r>
        <w:rPr>
          <w:rFonts w:hint="eastAsia" w:ascii="Times New Roman" w:hAnsi="Times New Roman" w:cs="Times New Roman"/>
          <w:sz w:val="24"/>
          <w:szCs w:val="32"/>
        </w:rPr>
        <w:t>T</w:t>
      </w:r>
      <w:r>
        <w:rPr>
          <w:rFonts w:ascii="Times New Roman" w:hAnsi="Times New Roman" w:cs="Times New Roman"/>
          <w:sz w:val="24"/>
          <w:szCs w:val="32"/>
        </w:rPr>
        <w:t xml:space="preserve"> cells.</w:t>
      </w:r>
      <w:r>
        <w:rPr>
          <w:rFonts w:hint="eastAsia" w:ascii="Times New Roman" w:hAnsi="Times New Roman" w:cs="Times New Roman"/>
          <w:sz w:val="24"/>
          <w:szCs w:val="32"/>
        </w:rPr>
        <w:t xml:space="preserve"> </w:t>
      </w:r>
      <w:r>
        <w:rPr>
          <w:rFonts w:ascii="Times New Roman" w:hAnsi="Times New Roman" w:cs="Times New Roman"/>
          <w:sz w:val="24"/>
          <w:szCs w:val="32"/>
        </w:rPr>
        <w:t>(e) Quantitative analysis of the mean fluorescence intensity of ROS in HaCa</w:t>
      </w:r>
      <w:r>
        <w:rPr>
          <w:rFonts w:hint="eastAsia" w:ascii="Times New Roman" w:hAnsi="Times New Roman" w:cs="Times New Roman"/>
          <w:sz w:val="24"/>
          <w:szCs w:val="32"/>
        </w:rPr>
        <w:t>T</w:t>
      </w:r>
      <w:r>
        <w:rPr>
          <w:rFonts w:ascii="Times New Roman" w:hAnsi="Times New Roman" w:cs="Times New Roman"/>
          <w:sz w:val="24"/>
          <w:szCs w:val="32"/>
        </w:rPr>
        <w:t xml:space="preserve"> cells treated with different concentrations of NO Lip.</w:t>
      </w:r>
      <w:r>
        <w:rPr>
          <w:rFonts w:ascii="Times New Roman" w:hAnsi="Times New Roman" w:cs="Times New Roman"/>
          <w:sz w:val="24"/>
          <w:szCs w:val="28"/>
        </w:rPr>
        <w:t xml:space="preserve"> Data are presented as mean ± SD (n = 3 independent biological replicates)</w:t>
      </w:r>
      <w:r>
        <w:rPr>
          <w:rFonts w:hint="eastAsia" w:ascii="Times New Roman" w:hAnsi="Times New Roman" w:cs="Times New Roman"/>
          <w:sz w:val="24"/>
          <w:szCs w:val="28"/>
        </w:rPr>
        <w:t>.</w:t>
      </w:r>
    </w:p>
    <w:p w14:paraId="082E9428">
      <w:pPr>
        <w:spacing w:after="0" w:line="360" w:lineRule="auto"/>
        <w:jc w:val="both"/>
        <w:rPr>
          <w:rFonts w:ascii="Times New Roman" w:hAnsi="Times New Roman" w:cs="Times New Roman"/>
          <w:sz w:val="24"/>
          <w:szCs w:val="32"/>
        </w:rPr>
      </w:pPr>
    </w:p>
    <w:p w14:paraId="7DF66CA3">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rPr>
        <w:drawing>
          <wp:inline distT="0" distB="0" distL="0" distR="0">
            <wp:extent cx="1783715" cy="1499235"/>
            <wp:effectExtent l="0" t="0" r="6985" b="0"/>
            <wp:docPr id="918351790" name="图片 5"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51790" name="图片 5" descr="图表&#10;&#10;AI 生成的内容可能不正确。"/>
                    <pic:cNvPicPr>
                      <a:picLocks noChangeAspect="1"/>
                    </pic:cNvPicPr>
                  </pic:nvPicPr>
                  <pic:blipFill>
                    <a:blip r:embed="rId10"/>
                    <a:stretch>
                      <a:fillRect/>
                    </a:stretch>
                  </pic:blipFill>
                  <pic:spPr>
                    <a:xfrm>
                      <a:off x="0" y="0"/>
                      <a:ext cx="1790598" cy="1504774"/>
                    </a:xfrm>
                    <a:prstGeom prst="rect">
                      <a:avLst/>
                    </a:prstGeom>
                  </pic:spPr>
                </pic:pic>
              </a:graphicData>
            </a:graphic>
          </wp:inline>
        </w:drawing>
      </w:r>
    </w:p>
    <w:p w14:paraId="71B2AC90">
      <w:pPr>
        <w:spacing w:after="0" w:line="360" w:lineRule="auto"/>
        <w:jc w:val="both"/>
        <w:rPr>
          <w:rFonts w:ascii="Times New Roman" w:hAnsi="Times New Roman" w:cs="Times New Roman"/>
          <w:sz w:val="24"/>
          <w14:ligatures w14:val="none"/>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S4.</w:t>
      </w:r>
      <w:r>
        <w:t xml:space="preserve"> </w:t>
      </w:r>
      <w:r>
        <w:rPr>
          <w:rFonts w:ascii="Times New Roman" w:hAnsi="Times New Roman" w:cs="Times New Roman"/>
          <w:sz w:val="24"/>
          <w:szCs w:val="28"/>
        </w:rPr>
        <w:t>UVB blocking efficiency of HA, Gel, and mN-Gel.</w:t>
      </w:r>
      <w:r>
        <w:rPr>
          <w:rFonts w:ascii="Times New Roman" w:hAnsi="Times New Roman" w:cs="Times New Roman"/>
          <w:sz w:val="24"/>
          <w14:ligatures w14:val="none"/>
        </w:rPr>
        <w:t xml:space="preserve"> Data are presented as mean ± SD (n = 3 independent samples)</w:t>
      </w:r>
      <w:r>
        <w:rPr>
          <w:rFonts w:ascii="宋体" w:hAnsi="宋体" w:eastAsia="宋体" w:cs="宋体"/>
          <w:sz w:val="24"/>
        </w:rPr>
        <w:t>.</w:t>
      </w:r>
      <w:r>
        <w:rPr>
          <w:rFonts w:hint="eastAsia" w:ascii="Times New Roman" w:hAnsi="Times New Roman" w:cs="Times New Roman"/>
          <w:sz w:val="24"/>
          <w:szCs w:val="28"/>
        </w:rPr>
        <w:t>Significance was calculated versus the Control group unless otherwise indicated.</w:t>
      </w:r>
    </w:p>
    <w:p w14:paraId="6E92FA2F">
      <w:pPr>
        <w:spacing w:after="0" w:line="360" w:lineRule="auto"/>
        <w:rPr>
          <w:rFonts w:ascii="Times New Roman" w:hAnsi="Times New Roman" w:cs="Times New Roman"/>
          <w:b/>
          <w:bCs/>
          <w:sz w:val="24"/>
          <w:szCs w:val="28"/>
        </w:rPr>
      </w:pPr>
    </w:p>
    <w:p w14:paraId="1794D03E">
      <w:pPr>
        <w:spacing w:after="0" w:line="360" w:lineRule="auto"/>
        <w:rPr>
          <w:rFonts w:hint="eastAsia"/>
        </w:rPr>
      </w:pPr>
      <w:r>
        <w:rPr>
          <w:rFonts w:hint="eastAsia"/>
        </w:rPr>
        <w:drawing>
          <wp:inline distT="0" distB="0" distL="0" distR="0">
            <wp:extent cx="5274310" cy="1551305"/>
            <wp:effectExtent l="0" t="0" r="2540" b="0"/>
            <wp:docPr id="1783679548" name="图片 6"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79548" name="图片 6" descr="图片包含 图表&#10;&#10;AI 生成的内容可能不正确。"/>
                    <pic:cNvPicPr>
                      <a:picLocks noChangeAspect="1"/>
                    </pic:cNvPicPr>
                  </pic:nvPicPr>
                  <pic:blipFill>
                    <a:blip r:embed="rId11"/>
                    <a:stretch>
                      <a:fillRect/>
                    </a:stretch>
                  </pic:blipFill>
                  <pic:spPr>
                    <a:xfrm>
                      <a:off x="0" y="0"/>
                      <a:ext cx="5274310" cy="1551305"/>
                    </a:xfrm>
                    <a:prstGeom prst="rect">
                      <a:avLst/>
                    </a:prstGeom>
                  </pic:spPr>
                </pic:pic>
              </a:graphicData>
            </a:graphic>
          </wp:inline>
        </w:drawing>
      </w:r>
    </w:p>
    <w:p w14:paraId="4305950B">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 xml:space="preserve">S5. </w:t>
      </w:r>
      <w:r>
        <w:rPr>
          <w:rFonts w:ascii="Times New Roman" w:hAnsi="Times New Roman" w:cs="Times New Roman"/>
          <w:sz w:val="24"/>
          <w:szCs w:val="28"/>
        </w:rPr>
        <w:t>Screening of the effective UVB dose for model establishment and the effective concentration of mExos.</w:t>
      </w:r>
      <w:r>
        <w:rPr>
          <w:rFonts w:hint="eastAsia" w:ascii="Times New Roman" w:hAnsi="Times New Roman" w:cs="Times New Roman"/>
          <w:sz w:val="24"/>
          <w:szCs w:val="28"/>
        </w:rPr>
        <w:t xml:space="preserve"> </w:t>
      </w:r>
      <w:r>
        <w:rPr>
          <w:rFonts w:ascii="Times New Roman" w:hAnsi="Times New Roman" w:cs="Times New Roman"/>
          <w:sz w:val="24"/>
          <w:szCs w:val="28"/>
        </w:rPr>
        <w:t>(a) CCK-8 cytotoxicity assay of HaCaT cells under different UVB irradiation doses.</w:t>
      </w:r>
      <w:r>
        <w:rPr>
          <w:rFonts w:hint="eastAsia" w:ascii="Times New Roman" w:hAnsi="Times New Roman" w:cs="Times New Roman"/>
          <w:sz w:val="24"/>
          <w:szCs w:val="28"/>
        </w:rPr>
        <w:t xml:space="preserve"> </w:t>
      </w:r>
      <w:r>
        <w:rPr>
          <w:rFonts w:ascii="Times New Roman" w:hAnsi="Times New Roman" w:cs="Times New Roman"/>
          <w:sz w:val="24"/>
          <w:szCs w:val="28"/>
        </w:rPr>
        <w:t>(b) Effects of different concentrations of mExos on intracellular ROS generation in HaCaT cells.</w:t>
      </w:r>
      <w:r>
        <w:rPr>
          <w:rFonts w:hint="eastAsia" w:ascii="Times New Roman" w:hAnsi="Times New Roman" w:cs="Times New Roman"/>
          <w:sz w:val="24"/>
          <w:szCs w:val="28"/>
        </w:rPr>
        <w:t xml:space="preserve"> </w:t>
      </w:r>
      <w:r>
        <w:rPr>
          <w:rFonts w:ascii="Times New Roman" w:hAnsi="Times New Roman" w:cs="Times New Roman"/>
          <w:sz w:val="24"/>
          <w:szCs w:val="28"/>
        </w:rPr>
        <w:t>(c) CCK-8 cytotoxicity assay of mExos at different concentrations. Data are presented as mean ± SD (n = 3 independent biological replicates)</w:t>
      </w:r>
      <w:r>
        <w:rPr>
          <w:rFonts w:hint="eastAsia" w:ascii="Times New Roman" w:hAnsi="Times New Roman" w:cs="Times New Roman"/>
          <w:sz w:val="24"/>
          <w:szCs w:val="28"/>
        </w:rPr>
        <w:t>.</w:t>
      </w:r>
    </w:p>
    <w:p w14:paraId="48339B84">
      <w:pPr>
        <w:spacing w:after="0" w:line="360" w:lineRule="auto"/>
        <w:jc w:val="both"/>
        <w:rPr>
          <w:rFonts w:ascii="Times New Roman" w:hAnsi="Times New Roman" w:cs="Times New Roman"/>
          <w:sz w:val="24"/>
          <w:szCs w:val="28"/>
        </w:rPr>
      </w:pPr>
    </w:p>
    <w:p w14:paraId="7EE1EC98">
      <w:pPr>
        <w:spacing w:after="0" w:line="360" w:lineRule="auto"/>
        <w:jc w:val="center"/>
        <w:rPr>
          <w:rFonts w:hint="eastAsia"/>
        </w:rPr>
      </w:pPr>
      <w:r>
        <w:rPr>
          <w:rFonts w:hint="eastAsia"/>
        </w:rPr>
        <w:drawing>
          <wp:inline distT="0" distB="0" distL="0" distR="0">
            <wp:extent cx="3563620" cy="1315720"/>
            <wp:effectExtent l="0" t="0" r="0" b="0"/>
            <wp:docPr id="774335231" name="图片 7" descr="游戏机里面的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35231" name="图片 7" descr="游戏机里面的人物&#10;&#10;AI 生成的内容可能不正确。"/>
                    <pic:cNvPicPr>
                      <a:picLocks noChangeAspect="1"/>
                    </pic:cNvPicPr>
                  </pic:nvPicPr>
                  <pic:blipFill>
                    <a:blip r:embed="rId12"/>
                    <a:stretch>
                      <a:fillRect/>
                    </a:stretch>
                  </pic:blipFill>
                  <pic:spPr>
                    <a:xfrm>
                      <a:off x="0" y="0"/>
                      <a:ext cx="3572419" cy="1319195"/>
                    </a:xfrm>
                    <a:prstGeom prst="rect">
                      <a:avLst/>
                    </a:prstGeom>
                  </pic:spPr>
                </pic:pic>
              </a:graphicData>
            </a:graphic>
          </wp:inline>
        </w:drawing>
      </w:r>
    </w:p>
    <w:p w14:paraId="3C3E74A9">
      <w:pPr>
        <w:spacing w:after="0" w:line="360" w:lineRule="auto"/>
        <w:jc w:val="both"/>
        <w:rPr>
          <w:rFonts w:ascii="Times New Roman" w:hAnsi="Times New Roman" w:cs="Times New Roman"/>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 xml:space="preserve">S6. </w:t>
      </w:r>
      <w:r>
        <w:rPr>
          <w:rFonts w:ascii="Times New Roman" w:hAnsi="Times New Roman" w:cs="Times New Roman"/>
          <w:szCs w:val="28"/>
        </w:rPr>
        <w:t>Fluorescence images of frozen skin sections after mExos-DiO treatment in a Franz diffusion cell for 24 h.</w:t>
      </w:r>
      <w:r>
        <w:rPr>
          <w:rFonts w:hint="eastAsia" w:ascii="Times New Roman" w:hAnsi="Times New Roman" w:cs="Times New Roman"/>
          <w:szCs w:val="28"/>
        </w:rPr>
        <w:t xml:space="preserve"> </w:t>
      </w:r>
      <w:r>
        <w:rPr>
          <w:rFonts w:ascii="Times New Roman" w:hAnsi="Times New Roman" w:cs="Times New Roman"/>
          <w:szCs w:val="28"/>
        </w:rPr>
        <w:t>(In the experiment, mExos were labeled with DiO (green).</w:t>
      </w:r>
      <w:r>
        <w:rPr>
          <w:rFonts w:ascii="Times New Roman" w:hAnsi="Times New Roman" w:cs="Times New Roman"/>
          <w:sz w:val="24"/>
          <w:szCs w:val="28"/>
        </w:rPr>
        <w:t xml:space="preserve"> Data are presented as mean ± SD (n = 3 independent animals).</w:t>
      </w:r>
    </w:p>
    <w:p w14:paraId="430E5189">
      <w:pPr>
        <w:rPr>
          <w:rFonts w:ascii="Times New Roman" w:hAnsi="Times New Roman" w:cs="Times New Roman"/>
          <w:b/>
          <w:bCs/>
          <w:sz w:val="24"/>
          <w:szCs w:val="28"/>
        </w:rPr>
      </w:pPr>
    </w:p>
    <w:p w14:paraId="175ABBF4">
      <w:pPr>
        <w:spacing w:after="0" w:line="360" w:lineRule="auto"/>
        <w:rPr>
          <w:rFonts w:ascii="Times New Roman" w:hAnsi="Times New Roman" w:cs="Times New Roman"/>
          <w:b/>
          <w:bCs/>
          <w:sz w:val="24"/>
          <w:szCs w:val="28"/>
        </w:rPr>
      </w:pPr>
      <w:r>
        <w:rPr>
          <w:rFonts w:ascii="Times New Roman" w:hAnsi="Times New Roman" w:cs="Times New Roman"/>
          <w:b/>
          <w:bCs/>
          <w:sz w:val="24"/>
          <w:szCs w:val="28"/>
          <w14:ligatures w14:val="none"/>
        </w:rPr>
        <w:drawing>
          <wp:inline distT="0" distB="0" distL="0" distR="0">
            <wp:extent cx="5274310" cy="3030220"/>
            <wp:effectExtent l="0" t="0" r="2540" b="0"/>
            <wp:docPr id="19841573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57312" name="图片 1"/>
                    <pic:cNvPicPr>
                      <a:picLocks noChangeAspect="1"/>
                    </pic:cNvPicPr>
                  </pic:nvPicPr>
                  <pic:blipFill>
                    <a:blip r:embed="rId13"/>
                    <a:stretch>
                      <a:fillRect/>
                    </a:stretch>
                  </pic:blipFill>
                  <pic:spPr>
                    <a:xfrm>
                      <a:off x="0" y="0"/>
                      <a:ext cx="5274310" cy="3030220"/>
                    </a:xfrm>
                    <a:prstGeom prst="rect">
                      <a:avLst/>
                    </a:prstGeom>
                  </pic:spPr>
                </pic:pic>
              </a:graphicData>
            </a:graphic>
          </wp:inline>
        </w:drawing>
      </w:r>
    </w:p>
    <w:p w14:paraId="0EE9488D">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 xml:space="preserve">S7. </w:t>
      </w:r>
      <w:r>
        <w:rPr>
          <w:rFonts w:ascii="Times New Roman" w:hAnsi="Times New Roman" w:cs="Times New Roman"/>
          <w:sz w:val="24"/>
          <w:szCs w:val="28"/>
        </w:rPr>
        <w:t xml:space="preserve">Oxidative stress and inflammation levels in </w:t>
      </w:r>
      <w:r>
        <w:rPr>
          <w:rFonts w:hint="eastAsia" w:ascii="Times New Roman" w:hAnsi="Times New Roman" w:cs="Times New Roman"/>
          <w:sz w:val="24"/>
          <w:szCs w:val="28"/>
        </w:rPr>
        <w:t>the</w:t>
      </w:r>
      <w:r>
        <w:rPr>
          <w:rFonts w:ascii="Times New Roman" w:hAnsi="Times New Roman" w:cs="Times New Roman"/>
          <w:sz w:val="24"/>
          <w:szCs w:val="28"/>
        </w:rPr>
        <w:t xml:space="preserve"> skin.</w:t>
      </w:r>
      <w:r>
        <w:rPr>
          <w:rFonts w:hint="eastAsia" w:ascii="Times New Roman" w:hAnsi="Times New Roman" w:cs="Times New Roman"/>
          <w:sz w:val="24"/>
          <w:szCs w:val="28"/>
        </w:rPr>
        <w:t xml:space="preserve"> </w:t>
      </w:r>
      <w:r>
        <w:rPr>
          <w:rFonts w:ascii="Times New Roman" w:hAnsi="Times New Roman" w:cs="Times New Roman"/>
          <w:sz w:val="24"/>
          <w:szCs w:val="28"/>
        </w:rPr>
        <w:t>(a</w:t>
      </w:r>
      <w:r>
        <w:rPr>
          <w:rFonts w:hint="eastAsia" w:ascii="Times New Roman" w:hAnsi="Times New Roman" w:cs="Times New Roman"/>
          <w:sz w:val="24"/>
          <w:szCs w:val="28"/>
        </w:rPr>
        <w:t xml:space="preserve"> </w:t>
      </w:r>
      <w:r>
        <w:rPr>
          <w:rFonts w:ascii="Times New Roman" w:hAnsi="Times New Roman" w:cs="Times New Roman"/>
          <w:sz w:val="24"/>
          <w:szCs w:val="28"/>
        </w:rPr>
        <w:t>-</w:t>
      </w:r>
      <w:r>
        <w:rPr>
          <w:rFonts w:hint="eastAsia" w:ascii="Times New Roman" w:hAnsi="Times New Roman" w:cs="Times New Roman"/>
          <w:sz w:val="24"/>
          <w:szCs w:val="28"/>
        </w:rPr>
        <w:t xml:space="preserve"> </w:t>
      </w:r>
      <w:r>
        <w:rPr>
          <w:rFonts w:ascii="Times New Roman" w:hAnsi="Times New Roman" w:cs="Times New Roman"/>
          <w:sz w:val="24"/>
          <w:szCs w:val="28"/>
        </w:rPr>
        <w:t>c) Contents of GSH, SOD, and MDA</w:t>
      </w:r>
      <w:r>
        <w:rPr>
          <w:rFonts w:hint="eastAsia" w:ascii="Times New Roman" w:hAnsi="Times New Roman" w:cs="Times New Roman"/>
          <w:sz w:val="24"/>
          <w:szCs w:val="28"/>
        </w:rPr>
        <w:t xml:space="preserve"> </w:t>
      </w:r>
      <w:r>
        <w:rPr>
          <w:rFonts w:ascii="Times New Roman" w:hAnsi="Times New Roman" w:cs="Times New Roman"/>
          <w:sz w:val="24"/>
          <w:szCs w:val="28"/>
        </w:rPr>
        <w:t>(n = 3). (d</w:t>
      </w:r>
      <w:r>
        <w:rPr>
          <w:rFonts w:hint="eastAsia" w:ascii="Times New Roman" w:hAnsi="Times New Roman" w:cs="Times New Roman"/>
          <w:sz w:val="24"/>
          <w:szCs w:val="28"/>
        </w:rPr>
        <w:t xml:space="preserve"> </w:t>
      </w:r>
      <w:r>
        <w:rPr>
          <w:rFonts w:ascii="Times New Roman" w:hAnsi="Times New Roman" w:cs="Times New Roman"/>
          <w:sz w:val="24"/>
          <w:szCs w:val="28"/>
        </w:rPr>
        <w:t>-</w:t>
      </w:r>
      <w:r>
        <w:rPr>
          <w:rFonts w:hint="eastAsia" w:ascii="Times New Roman" w:hAnsi="Times New Roman" w:cs="Times New Roman"/>
          <w:sz w:val="24"/>
          <w:szCs w:val="28"/>
        </w:rPr>
        <w:t xml:space="preserve"> e</w:t>
      </w:r>
      <w:r>
        <w:rPr>
          <w:rFonts w:ascii="Times New Roman" w:hAnsi="Times New Roman" w:cs="Times New Roman"/>
          <w:sz w:val="24"/>
          <w:szCs w:val="28"/>
        </w:rPr>
        <w:t>) Levels of TNF-α</w:t>
      </w:r>
      <w:r>
        <w:rPr>
          <w:rFonts w:hint="eastAsia" w:ascii="Times New Roman" w:hAnsi="Times New Roman" w:cs="Times New Roman"/>
          <w:sz w:val="24"/>
          <w:szCs w:val="28"/>
        </w:rPr>
        <w:t xml:space="preserve"> </w:t>
      </w:r>
      <w:r>
        <w:rPr>
          <w:rFonts w:ascii="Times New Roman" w:hAnsi="Times New Roman" w:cs="Times New Roman"/>
          <w:sz w:val="24"/>
          <w:szCs w:val="28"/>
        </w:rPr>
        <w:t xml:space="preserve">and IL-1β in </w:t>
      </w:r>
      <w:r>
        <w:rPr>
          <w:rFonts w:hint="eastAsia" w:ascii="Times New Roman" w:hAnsi="Times New Roman" w:cs="Times New Roman"/>
          <w:sz w:val="24"/>
          <w:szCs w:val="28"/>
        </w:rPr>
        <w:t>UV</w:t>
      </w:r>
      <w:r>
        <w:rPr>
          <w:rFonts w:ascii="Times New Roman" w:hAnsi="Times New Roman" w:cs="Times New Roman"/>
          <w:sz w:val="24"/>
          <w:szCs w:val="28"/>
        </w:rPr>
        <w:t>-damaged skin tissue measured by ELISA</w:t>
      </w:r>
      <w:r>
        <w:rPr>
          <w:rFonts w:hint="eastAsia" w:ascii="Times New Roman" w:hAnsi="Times New Roman" w:cs="Times New Roman"/>
          <w:sz w:val="24"/>
          <w:szCs w:val="28"/>
        </w:rPr>
        <w:t xml:space="preserve"> </w:t>
      </w:r>
      <w:r>
        <w:rPr>
          <w:rFonts w:ascii="Times New Roman" w:hAnsi="Times New Roman" w:cs="Times New Roman"/>
          <w:sz w:val="24"/>
          <w:szCs w:val="28"/>
        </w:rPr>
        <w:t>(n = 3). Data are presented as mean ± SD. The value of n represents the number of independent animals.</w:t>
      </w:r>
      <w:r>
        <w:rPr>
          <w:rFonts w:hint="eastAsia" w:ascii="Times New Roman" w:hAnsi="Times New Roman" w:cs="Times New Roman"/>
          <w:sz w:val="24"/>
          <w:szCs w:val="28"/>
        </w:rPr>
        <w:t xml:space="preserve"> </w:t>
      </w:r>
      <w:r>
        <w:rPr>
          <w:rFonts w:ascii="Times New Roman" w:hAnsi="Times New Roman" w:cs="Times New Roman"/>
          <w:sz w:val="24"/>
          <w:szCs w:val="28"/>
        </w:rPr>
        <w:t>Significance was calculated versus the UV group unless otherwise indicated</w:t>
      </w:r>
      <w:r>
        <w:rPr>
          <w:rFonts w:hint="eastAsia" w:ascii="Times New Roman" w:hAnsi="Times New Roman" w:cs="Times New Roman"/>
          <w:sz w:val="24"/>
          <w:szCs w:val="28"/>
        </w:rPr>
        <w:t xml:space="preserve"> </w:t>
      </w:r>
      <w:r>
        <w:rPr>
          <w:rFonts w:ascii="Times New Roman" w:hAnsi="Times New Roman" w:cs="Times New Roman"/>
          <w:sz w:val="24"/>
          <w:szCs w:val="28"/>
        </w:rPr>
        <w:t>(a</w:t>
      </w:r>
      <w:r>
        <w:rPr>
          <w:rFonts w:hint="eastAsia" w:ascii="Times New Roman" w:hAnsi="Times New Roman" w:cs="Times New Roman"/>
          <w:sz w:val="24"/>
          <w:szCs w:val="28"/>
        </w:rPr>
        <w:t xml:space="preserve"> </w:t>
      </w:r>
      <w:r>
        <w:rPr>
          <w:rFonts w:ascii="Times New Roman" w:hAnsi="Times New Roman" w:cs="Times New Roman"/>
          <w:sz w:val="24"/>
          <w:szCs w:val="28"/>
        </w:rPr>
        <w:t>-</w:t>
      </w:r>
      <w:r>
        <w:rPr>
          <w:rFonts w:hint="eastAsia" w:ascii="Times New Roman" w:hAnsi="Times New Roman" w:cs="Times New Roman"/>
          <w:sz w:val="24"/>
          <w:szCs w:val="28"/>
        </w:rPr>
        <w:t xml:space="preserve"> </w:t>
      </w:r>
      <w:r>
        <w:rPr>
          <w:rFonts w:ascii="Times New Roman" w:hAnsi="Times New Roman" w:cs="Times New Roman"/>
          <w:sz w:val="24"/>
          <w:szCs w:val="28"/>
        </w:rPr>
        <w:t>c).</w:t>
      </w:r>
    </w:p>
    <w:p w14:paraId="2690F296">
      <w:pPr>
        <w:spacing w:after="0" w:line="360" w:lineRule="auto"/>
        <w:jc w:val="both"/>
        <w:rPr>
          <w:rFonts w:ascii="Times New Roman" w:hAnsi="Times New Roman" w:cs="Times New Roman"/>
          <w:sz w:val="24"/>
          <w:szCs w:val="28"/>
        </w:rPr>
      </w:pPr>
    </w:p>
    <w:p w14:paraId="21B72229">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14:ligatures w14:val="none"/>
        </w:rPr>
        <w:drawing>
          <wp:inline distT="0" distB="0" distL="0" distR="0">
            <wp:extent cx="5274310" cy="2546350"/>
            <wp:effectExtent l="0" t="0" r="2540" b="6350"/>
            <wp:docPr id="8792377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37758" name="图片 1"/>
                    <pic:cNvPicPr>
                      <a:picLocks noChangeAspect="1"/>
                    </pic:cNvPicPr>
                  </pic:nvPicPr>
                  <pic:blipFill>
                    <a:blip r:embed="rId14"/>
                    <a:stretch>
                      <a:fillRect/>
                    </a:stretch>
                  </pic:blipFill>
                  <pic:spPr>
                    <a:xfrm>
                      <a:off x="0" y="0"/>
                      <a:ext cx="5274310" cy="2546350"/>
                    </a:xfrm>
                    <a:prstGeom prst="rect">
                      <a:avLst/>
                    </a:prstGeom>
                  </pic:spPr>
                </pic:pic>
              </a:graphicData>
            </a:graphic>
          </wp:inline>
        </w:drawing>
      </w:r>
    </w:p>
    <w:p w14:paraId="09A6452E">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S8.</w:t>
      </w:r>
      <w:r>
        <w:t xml:space="preserve"> </w:t>
      </w:r>
      <w:r>
        <w:rPr>
          <w:rFonts w:ascii="Times New Roman" w:hAnsi="Times New Roman" w:cs="Times New Roman"/>
          <w:sz w:val="24"/>
          <w:szCs w:val="28"/>
        </w:rPr>
        <w:t>Representative fluorescence staining images showing ROS accumulation in the skin</w:t>
      </w:r>
      <w:r>
        <w:rPr>
          <w:rFonts w:hint="eastAsia" w:ascii="Times New Roman" w:hAnsi="Times New Roman" w:cs="Times New Roman"/>
          <w:sz w:val="24"/>
          <w:szCs w:val="28"/>
        </w:rPr>
        <w:t xml:space="preserve"> </w:t>
      </w:r>
      <w:r>
        <w:rPr>
          <w:rFonts w:ascii="Times New Roman" w:hAnsi="Times New Roman" w:cs="Times New Roman"/>
          <w:sz w:val="24"/>
          <w:szCs w:val="28"/>
        </w:rPr>
        <w:t>(n = 3). Data are presented as mean ± SD. The value of n represents the number of independent animals.</w:t>
      </w:r>
    </w:p>
    <w:p w14:paraId="4AB8B7B9">
      <w:pPr>
        <w:spacing w:after="0" w:line="360" w:lineRule="auto"/>
        <w:rPr>
          <w:rFonts w:ascii="Times New Roman" w:hAnsi="Times New Roman" w:cs="Times New Roman"/>
          <w:b/>
          <w:bCs/>
          <w:sz w:val="24"/>
          <w:szCs w:val="28"/>
        </w:rPr>
      </w:pPr>
    </w:p>
    <w:p w14:paraId="2B6D0F06">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14:ligatures w14:val="none"/>
        </w:rPr>
        <w:drawing>
          <wp:inline distT="0" distB="0" distL="0" distR="0">
            <wp:extent cx="5274310" cy="2061845"/>
            <wp:effectExtent l="0" t="0" r="2540" b="0"/>
            <wp:docPr id="12330949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94969" name="图片 1"/>
                    <pic:cNvPicPr>
                      <a:picLocks noChangeAspect="1"/>
                    </pic:cNvPicPr>
                  </pic:nvPicPr>
                  <pic:blipFill>
                    <a:blip r:embed="rId15"/>
                    <a:stretch>
                      <a:fillRect/>
                    </a:stretch>
                  </pic:blipFill>
                  <pic:spPr>
                    <a:xfrm>
                      <a:off x="0" y="0"/>
                      <a:ext cx="5274310" cy="2061845"/>
                    </a:xfrm>
                    <a:prstGeom prst="rect">
                      <a:avLst/>
                    </a:prstGeom>
                  </pic:spPr>
                </pic:pic>
              </a:graphicData>
            </a:graphic>
          </wp:inline>
        </w:drawing>
      </w:r>
    </w:p>
    <w:p w14:paraId="11E6125A">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S9.</w:t>
      </w:r>
      <w:r>
        <w:t xml:space="preserve"> </w:t>
      </w:r>
      <w:r>
        <w:rPr>
          <w:rFonts w:ascii="Times New Roman" w:hAnsi="Times New Roman" w:cs="Times New Roman"/>
          <w:sz w:val="24"/>
          <w:szCs w:val="28"/>
        </w:rPr>
        <w:t>TUNEL immunofluorescence (IF) image analysis.</w:t>
      </w:r>
      <w:r>
        <w:rPr>
          <w:rFonts w:hint="eastAsia" w:ascii="Times New Roman" w:hAnsi="Times New Roman" w:cs="Times New Roman"/>
          <w:sz w:val="24"/>
          <w:szCs w:val="28"/>
        </w:rPr>
        <w:t xml:space="preserve"> </w:t>
      </w:r>
      <w:r>
        <w:rPr>
          <w:rFonts w:ascii="Times New Roman" w:hAnsi="Times New Roman" w:cs="Times New Roman"/>
          <w:sz w:val="24"/>
          <w:szCs w:val="28"/>
        </w:rPr>
        <w:t>(a) Representative IF images of mouse dorsal skin after treatment, showing TUNEL (green) and DAPI (blue) staining (n = 3).</w:t>
      </w:r>
      <w:r>
        <w:rPr>
          <w:rFonts w:hint="eastAsia" w:ascii="Times New Roman" w:hAnsi="Times New Roman" w:cs="Times New Roman"/>
          <w:sz w:val="24"/>
          <w:szCs w:val="28"/>
        </w:rPr>
        <w:t xml:space="preserve"> </w:t>
      </w:r>
      <w:r>
        <w:rPr>
          <w:rFonts w:ascii="Times New Roman" w:hAnsi="Times New Roman" w:cs="Times New Roman"/>
          <w:sz w:val="24"/>
          <w:szCs w:val="28"/>
        </w:rPr>
        <w:t>(b) Statistical analysis of the mean fluorescence intensity of TUNEL-positive cells (n = 3). Data are presented as mean ± SD. The value of n represents the number of independent animals.</w:t>
      </w:r>
    </w:p>
    <w:p w14:paraId="425AD0E0">
      <w:pPr>
        <w:spacing w:after="0" w:line="360" w:lineRule="auto"/>
        <w:rPr>
          <w:rFonts w:ascii="Times New Roman" w:hAnsi="Times New Roman" w:cs="Times New Roman"/>
          <w:b/>
          <w:bCs/>
          <w:sz w:val="24"/>
          <w:szCs w:val="28"/>
        </w:rPr>
      </w:pPr>
    </w:p>
    <w:p w14:paraId="310BF479">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rPr>
        <w:drawing>
          <wp:inline distT="0" distB="0" distL="0" distR="0">
            <wp:extent cx="2858770" cy="1667510"/>
            <wp:effectExtent l="0" t="0" r="0" b="0"/>
            <wp:docPr id="1403305275" name="图片 12"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05275" name="图片 12" descr="图表, 折线图&#10;&#10;AI 生成的内容可能不正确。"/>
                    <pic:cNvPicPr>
                      <a:picLocks noChangeAspect="1"/>
                    </pic:cNvPicPr>
                  </pic:nvPicPr>
                  <pic:blipFill>
                    <a:blip r:embed="rId16">
                      <a:lum bright="-6000"/>
                    </a:blip>
                    <a:stretch>
                      <a:fillRect/>
                    </a:stretch>
                  </pic:blipFill>
                  <pic:spPr>
                    <a:xfrm>
                      <a:off x="0" y="0"/>
                      <a:ext cx="2870731" cy="1674725"/>
                    </a:xfrm>
                    <a:prstGeom prst="rect">
                      <a:avLst/>
                    </a:prstGeom>
                  </pic:spPr>
                </pic:pic>
              </a:graphicData>
            </a:graphic>
          </wp:inline>
        </w:drawing>
      </w:r>
    </w:p>
    <w:p w14:paraId="32AE8A4B">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S10.</w:t>
      </w:r>
      <w:r>
        <w:t xml:space="preserve"> </w:t>
      </w:r>
      <w:r>
        <w:rPr>
          <w:rFonts w:ascii="Times New Roman" w:hAnsi="Times New Roman" w:cs="Times New Roman"/>
          <w:sz w:val="24"/>
          <w:szCs w:val="28"/>
        </w:rPr>
        <w:t xml:space="preserve">Body weight change curves of mice during the treatment of skin photoaging (n = </w:t>
      </w:r>
      <w:r>
        <w:rPr>
          <w:rFonts w:hint="eastAsia" w:ascii="Times New Roman" w:hAnsi="Times New Roman" w:cs="Times New Roman"/>
          <w:sz w:val="24"/>
          <w:szCs w:val="28"/>
        </w:rPr>
        <w:t>7</w:t>
      </w:r>
      <w:r>
        <w:rPr>
          <w:rFonts w:ascii="Times New Roman" w:hAnsi="Times New Roman" w:cs="Times New Roman"/>
          <w:sz w:val="24"/>
          <w:szCs w:val="28"/>
        </w:rPr>
        <w:t>). Data are presented as mean ± SD. The value of n represents the number of independent animals.</w:t>
      </w:r>
    </w:p>
    <w:p w14:paraId="6CFC2BE5">
      <w:pPr>
        <w:spacing w:after="0" w:line="360" w:lineRule="auto"/>
        <w:rPr>
          <w:rFonts w:ascii="Times New Roman" w:hAnsi="Times New Roman" w:cs="Times New Roman"/>
          <w:b/>
          <w:bCs/>
          <w:sz w:val="24"/>
          <w:szCs w:val="28"/>
        </w:rPr>
      </w:pPr>
    </w:p>
    <w:p w14:paraId="212CE96D">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rPr>
        <w:drawing>
          <wp:inline distT="0" distB="0" distL="0" distR="0">
            <wp:extent cx="3869055" cy="2165350"/>
            <wp:effectExtent l="0" t="0" r="0" b="6350"/>
            <wp:docPr id="157097368" name="图片 13" descr="窗户外的景色&#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7368" name="图片 13" descr="窗户外的景色&#10;&#10;AI 生成的内容可能不正确。"/>
                    <pic:cNvPicPr>
                      <a:picLocks noChangeAspect="1"/>
                    </pic:cNvPicPr>
                  </pic:nvPicPr>
                  <pic:blipFill>
                    <a:blip r:embed="rId17"/>
                    <a:stretch>
                      <a:fillRect/>
                    </a:stretch>
                  </pic:blipFill>
                  <pic:spPr>
                    <a:xfrm>
                      <a:off x="0" y="0"/>
                      <a:ext cx="3872194" cy="2167328"/>
                    </a:xfrm>
                    <a:prstGeom prst="rect">
                      <a:avLst/>
                    </a:prstGeom>
                  </pic:spPr>
                </pic:pic>
              </a:graphicData>
            </a:graphic>
          </wp:inline>
        </w:drawing>
      </w:r>
    </w:p>
    <w:p w14:paraId="5303D08A">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S11.</w:t>
      </w:r>
      <w:r>
        <w:t xml:space="preserve"> </w:t>
      </w:r>
      <w:r>
        <w:rPr>
          <w:rFonts w:ascii="Times New Roman" w:hAnsi="Times New Roman" w:cs="Times New Roman"/>
          <w:sz w:val="24"/>
          <w:szCs w:val="28"/>
        </w:rPr>
        <w:t>Representative EVG staining images of photoaged mouse skin after treatment (n = 3). Data are presented as mean ± SD. The value of n represents the number of independent animals.</w:t>
      </w:r>
    </w:p>
    <w:p w14:paraId="54642515">
      <w:pPr>
        <w:spacing w:after="0" w:line="360" w:lineRule="auto"/>
        <w:jc w:val="both"/>
        <w:rPr>
          <w:rFonts w:ascii="Times New Roman" w:hAnsi="Times New Roman" w:cs="Times New Roman"/>
          <w:sz w:val="24"/>
          <w:szCs w:val="28"/>
        </w:rPr>
      </w:pPr>
    </w:p>
    <w:p w14:paraId="20EF8680">
      <w:pPr>
        <w:spacing w:after="0" w:line="360" w:lineRule="auto"/>
        <w:jc w:val="center"/>
        <w:rPr>
          <w:rFonts w:ascii="Times New Roman" w:hAnsi="Times New Roman" w:cs="Times New Roman"/>
          <w:b/>
          <w:bCs/>
          <w:sz w:val="24"/>
          <w:szCs w:val="28"/>
        </w:rPr>
      </w:pPr>
      <w:r>
        <w:rPr>
          <w:rFonts w:ascii="Times New Roman" w:hAnsi="Times New Roman" w:cs="Times New Roman"/>
          <w:b/>
          <w:bCs/>
          <w:sz w:val="24"/>
          <w:szCs w:val="28"/>
        </w:rPr>
        <w:drawing>
          <wp:inline distT="0" distB="0" distL="0" distR="0">
            <wp:extent cx="1972310" cy="2064385"/>
            <wp:effectExtent l="0" t="0" r="0" b="0"/>
            <wp:docPr id="67176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653" name="图片 14"/>
                    <pic:cNvPicPr>
                      <a:picLocks noChangeAspect="1"/>
                    </pic:cNvPicPr>
                  </pic:nvPicPr>
                  <pic:blipFill>
                    <a:blip r:embed="rId18"/>
                    <a:stretch>
                      <a:fillRect/>
                    </a:stretch>
                  </pic:blipFill>
                  <pic:spPr>
                    <a:xfrm>
                      <a:off x="0" y="0"/>
                      <a:ext cx="1976977" cy="2069207"/>
                    </a:xfrm>
                    <a:prstGeom prst="rect">
                      <a:avLst/>
                    </a:prstGeom>
                  </pic:spPr>
                </pic:pic>
              </a:graphicData>
            </a:graphic>
          </wp:inline>
        </w:drawing>
      </w:r>
    </w:p>
    <w:p w14:paraId="2007973F">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S12.</w:t>
      </w:r>
      <w:r>
        <w:t xml:space="preserve"> </w:t>
      </w:r>
      <w:r>
        <w:rPr>
          <w:rFonts w:ascii="Times New Roman" w:hAnsi="Times New Roman" w:cs="Times New Roman"/>
          <w:sz w:val="24"/>
          <w:szCs w:val="28"/>
        </w:rPr>
        <w:t>Complete blood count (CBC) analysis of mice after 8 weeks of treatment (n = 3). Data are presented as mean ± SD. The value of n represents the number of independent animals.</w:t>
      </w:r>
    </w:p>
    <w:p w14:paraId="5E420EF2">
      <w:pPr>
        <w:spacing w:after="0" w:line="360" w:lineRule="auto"/>
        <w:jc w:val="both"/>
        <w:rPr>
          <w:rFonts w:ascii="Times New Roman" w:hAnsi="Times New Roman" w:cs="Times New Roman"/>
          <w:sz w:val="24"/>
          <w:szCs w:val="28"/>
        </w:rPr>
      </w:pPr>
    </w:p>
    <w:p w14:paraId="2744498F">
      <w:pPr>
        <w:spacing w:after="0" w:line="360" w:lineRule="auto"/>
        <w:rPr>
          <w:rFonts w:ascii="Times New Roman" w:hAnsi="Times New Roman" w:cs="Times New Roman"/>
          <w:b/>
          <w:bCs/>
          <w:sz w:val="24"/>
          <w:szCs w:val="28"/>
        </w:rPr>
      </w:pPr>
    </w:p>
    <w:p w14:paraId="01C6BF28">
      <w:pPr>
        <w:spacing w:after="0" w:line="360" w:lineRule="auto"/>
        <w:jc w:val="center"/>
        <w:rPr>
          <w:rFonts w:ascii="Times New Roman" w:hAnsi="Times New Roman" w:cs="Times New Roman"/>
          <w:b/>
          <w:bCs/>
          <w:sz w:val="24"/>
          <w:szCs w:val="28"/>
        </w:rPr>
      </w:pPr>
      <w:r>
        <w:rPr>
          <w:rFonts w:hint="eastAsia" w:ascii="Times New Roman" w:hAnsi="Times New Roman" w:cs="Times New Roman"/>
          <w:b/>
          <w:bCs/>
          <w:sz w:val="24"/>
          <w:szCs w:val="28"/>
        </w:rPr>
        <w:drawing>
          <wp:inline distT="0" distB="0" distL="114300" distR="114300">
            <wp:extent cx="4573270" cy="2587625"/>
            <wp:effectExtent l="0" t="0" r="14605"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9"/>
                    <a:stretch>
                      <a:fillRect/>
                    </a:stretch>
                  </pic:blipFill>
                  <pic:spPr>
                    <a:xfrm>
                      <a:off x="0" y="0"/>
                      <a:ext cx="4573270" cy="2587625"/>
                    </a:xfrm>
                    <a:prstGeom prst="rect">
                      <a:avLst/>
                    </a:prstGeom>
                  </pic:spPr>
                </pic:pic>
              </a:graphicData>
            </a:graphic>
          </wp:inline>
        </w:drawing>
      </w:r>
    </w:p>
    <w:p w14:paraId="40A00A98">
      <w:pPr>
        <w:spacing w:line="360" w:lineRule="auto"/>
        <w:rPr>
          <w:rFonts w:ascii="Times New Roman" w:hAnsi="Times New Roman" w:cs="Times New Roman"/>
          <w:sz w:val="24"/>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 xml:space="preserve">S13. </w:t>
      </w:r>
      <w:r>
        <w:rPr>
          <w:rFonts w:hint="eastAsia" w:ascii="Times New Roman" w:hAnsi="Times New Roman" w:cs="Times New Roman"/>
          <w:sz w:val="24"/>
        </w:rPr>
        <w:t>Representative photos of the back skin of photoaged nude mice at 8 weeks after treatment</w:t>
      </w:r>
    </w:p>
    <w:p w14:paraId="56C33160">
      <w:pPr>
        <w:spacing w:after="0" w:line="360" w:lineRule="auto"/>
        <w:jc w:val="both"/>
        <w:rPr>
          <w:rFonts w:ascii="Times New Roman" w:hAnsi="Times New Roman" w:cs="Times New Roman"/>
          <w:b/>
          <w:bCs/>
          <w:sz w:val="24"/>
          <w:szCs w:val="28"/>
        </w:rPr>
      </w:pPr>
    </w:p>
    <w:p w14:paraId="194A1DA6">
      <w:pPr>
        <w:spacing w:after="0" w:line="360" w:lineRule="auto"/>
        <w:jc w:val="center"/>
        <w:rPr>
          <w:rFonts w:ascii="Times New Roman" w:hAnsi="Times New Roman" w:cs="Times New Roman"/>
          <w:b/>
          <w:bCs/>
          <w:sz w:val="24"/>
          <w:szCs w:val="28"/>
        </w:rPr>
      </w:pPr>
      <w:r>
        <w:rPr>
          <w:rFonts w:hint="eastAsia" w:ascii="Times New Roman" w:hAnsi="Times New Roman" w:cs="Times New Roman"/>
          <w:b/>
          <w:bCs/>
          <w:sz w:val="24"/>
          <w:szCs w:val="28"/>
        </w:rPr>
        <w:drawing>
          <wp:inline distT="0" distB="0" distL="114300" distR="114300">
            <wp:extent cx="2447290" cy="2493645"/>
            <wp:effectExtent l="0" t="0" r="0" b="0"/>
            <wp:docPr id="2" name="图片 2" descr="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16"/>
                    <pic:cNvPicPr>
                      <a:picLocks noChangeAspect="1"/>
                    </pic:cNvPicPr>
                  </pic:nvPicPr>
                  <pic:blipFill>
                    <a:blip r:embed="rId20"/>
                    <a:stretch>
                      <a:fillRect/>
                    </a:stretch>
                  </pic:blipFill>
                  <pic:spPr>
                    <a:xfrm>
                      <a:off x="0" y="0"/>
                      <a:ext cx="2447290" cy="2493645"/>
                    </a:xfrm>
                    <a:prstGeom prst="rect">
                      <a:avLst/>
                    </a:prstGeom>
                  </pic:spPr>
                </pic:pic>
              </a:graphicData>
            </a:graphic>
          </wp:inline>
        </w:drawing>
      </w:r>
    </w:p>
    <w:p w14:paraId="4B6020C0">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 xml:space="preserve">S14. </w:t>
      </w:r>
      <w:r>
        <w:rPr>
          <w:rFonts w:hint="eastAsia" w:ascii="Times New Roman" w:hAnsi="Times New Roman" w:cs="Times New Roman"/>
          <w:sz w:val="24"/>
        </w:rPr>
        <w:t>Quantitative analysis of live/dead staining after different treatments.</w:t>
      </w:r>
      <w:r>
        <w:rPr>
          <w:rFonts w:ascii="Times New Roman" w:hAnsi="Times New Roman" w:cs="Times New Roman"/>
          <w:sz w:val="24"/>
          <w:szCs w:val="28"/>
        </w:rPr>
        <w:t xml:space="preserve"> Data are presented as mean ± SD (n = 3 independent biological replicates)</w:t>
      </w:r>
      <w:r>
        <w:rPr>
          <w:rFonts w:hint="eastAsia" w:ascii="Times New Roman" w:hAnsi="Times New Roman" w:cs="Times New Roman"/>
          <w:sz w:val="24"/>
          <w:szCs w:val="28"/>
        </w:rPr>
        <w:t>.</w:t>
      </w:r>
    </w:p>
    <w:p w14:paraId="41D54F79">
      <w:pPr>
        <w:spacing w:after="0" w:line="360" w:lineRule="auto"/>
        <w:jc w:val="both"/>
        <w:rPr>
          <w:rFonts w:ascii="Times New Roman" w:hAnsi="Times New Roman" w:cs="Times New Roman"/>
          <w:sz w:val="24"/>
          <w:szCs w:val="28"/>
        </w:rPr>
      </w:pPr>
    </w:p>
    <w:p w14:paraId="2F56BA1D">
      <w:pPr>
        <w:spacing w:after="0" w:line="360" w:lineRule="auto"/>
        <w:jc w:val="both"/>
        <w:rPr>
          <w:rFonts w:ascii="Times New Roman" w:hAnsi="Times New Roman" w:cs="Times New Roman"/>
          <w:b/>
          <w:bCs/>
          <w:sz w:val="24"/>
          <w:szCs w:val="28"/>
        </w:rPr>
      </w:pPr>
      <w:r>
        <w:rPr>
          <w:rFonts w:ascii="Times New Roman" w:hAnsi="Times New Roman" w:cs="Times New Roman"/>
          <w:b/>
          <w:bCs/>
          <w:sz w:val="24"/>
          <w:szCs w:val="28"/>
          <w14:ligatures w14:val="none"/>
        </w:rPr>
        <w:drawing>
          <wp:inline distT="0" distB="0" distL="0" distR="0">
            <wp:extent cx="5274310" cy="2368550"/>
            <wp:effectExtent l="0" t="0" r="0" b="0"/>
            <wp:docPr id="1607096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9621" name="图片 2"/>
                    <pic:cNvPicPr>
                      <a:picLocks noChangeAspect="1"/>
                    </pic:cNvPicPr>
                  </pic:nvPicPr>
                  <pic:blipFill>
                    <a:blip r:embed="rId21"/>
                    <a:stretch>
                      <a:fillRect/>
                    </a:stretch>
                  </pic:blipFill>
                  <pic:spPr>
                    <a:xfrm>
                      <a:off x="0" y="0"/>
                      <a:ext cx="5274310" cy="2368550"/>
                    </a:xfrm>
                    <a:prstGeom prst="rect">
                      <a:avLst/>
                    </a:prstGeom>
                  </pic:spPr>
                </pic:pic>
              </a:graphicData>
            </a:graphic>
          </wp:inline>
        </w:drawing>
      </w:r>
    </w:p>
    <w:p w14:paraId="2D2EA641">
      <w:pPr>
        <w:spacing w:after="0" w:line="360" w:lineRule="auto"/>
        <w:jc w:val="both"/>
        <w:rPr>
          <w:rFonts w:ascii="Times New Roman" w:hAnsi="Times New Roman" w:cs="Times New Roman"/>
          <w:sz w:val="24"/>
          <w:szCs w:val="28"/>
        </w:rPr>
      </w:pPr>
      <w:r>
        <w:rPr>
          <w:rFonts w:ascii="Times New Roman" w:hAnsi="Times New Roman" w:cs="Times New Roman"/>
          <w:b/>
          <w:bCs/>
          <w:sz w:val="24"/>
          <w:szCs w:val="28"/>
        </w:rPr>
        <w:t xml:space="preserve">Fig. </w:t>
      </w:r>
      <w:r>
        <w:rPr>
          <w:rFonts w:hint="eastAsia" w:ascii="Times New Roman" w:hAnsi="Times New Roman" w:cs="Times New Roman"/>
          <w:b/>
          <w:bCs/>
          <w:sz w:val="24"/>
          <w:szCs w:val="28"/>
        </w:rPr>
        <w:t>S15.</w:t>
      </w:r>
      <w:r>
        <w:rPr>
          <w:rFonts w:hint="eastAsia"/>
        </w:rPr>
        <w:t xml:space="preserve"> </w:t>
      </w:r>
      <w:r>
        <w:rPr>
          <w:rFonts w:ascii="Times New Roman" w:hAnsi="Times New Roman" w:cs="Times New Roman"/>
          <w:sz w:val="24"/>
          <w:szCs w:val="28"/>
        </w:rPr>
        <w:t>Uncropped Western blot images corresponding to Figure 1f.</w:t>
      </w:r>
    </w:p>
    <w:p w14:paraId="71ACDC88">
      <w:pPr>
        <w:spacing w:after="0" w:line="360" w:lineRule="auto"/>
        <w:jc w:val="both"/>
        <w:rPr>
          <w:rFonts w:ascii="Times New Roman" w:hAnsi="Times New Roman" w:cs="Times New Roman"/>
          <w:sz w:val="24"/>
          <w:szCs w:val="28"/>
        </w:rPr>
      </w:pPr>
    </w:p>
    <w:p w14:paraId="0F955435">
      <w:pPr>
        <w:pStyle w:val="14"/>
        <w:spacing w:line="360" w:lineRule="auto"/>
        <w:ind w:firstLine="480" w:firstLineChars="200"/>
        <w:jc w:val="center"/>
        <w:rPr>
          <w:rFonts w:eastAsia="宋体"/>
          <w:color w:val="0070C0"/>
        </w:rPr>
      </w:pPr>
      <w:r>
        <w:rPr>
          <w:rFonts w:eastAsia="宋体"/>
          <w:color w:val="0070C0"/>
        </w:rPr>
        <w:drawing>
          <wp:inline distT="0" distB="0" distL="114300" distR="114300">
            <wp:extent cx="3051810" cy="1611630"/>
            <wp:effectExtent l="0" t="0" r="0" b="127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22"/>
                    <a:stretch>
                      <a:fillRect/>
                    </a:stretch>
                  </pic:blipFill>
                  <pic:spPr>
                    <a:xfrm>
                      <a:off x="0" y="0"/>
                      <a:ext cx="3051810" cy="1611630"/>
                    </a:xfrm>
                    <a:prstGeom prst="rect">
                      <a:avLst/>
                    </a:prstGeom>
                  </pic:spPr>
                </pic:pic>
              </a:graphicData>
            </a:graphic>
          </wp:inline>
        </w:drawing>
      </w:r>
    </w:p>
    <w:p w14:paraId="6ECC2009">
      <w:pPr>
        <w:pStyle w:val="14"/>
        <w:spacing w:line="360" w:lineRule="auto"/>
        <w:jc w:val="both"/>
        <w:rPr>
          <w:szCs w:val="28"/>
        </w:rPr>
      </w:pPr>
      <w:r>
        <w:rPr>
          <w:b/>
          <w:bCs/>
          <w:szCs w:val="28"/>
        </w:rPr>
        <w:t xml:space="preserve">Fig. </w:t>
      </w:r>
      <w:r>
        <w:rPr>
          <w:rFonts w:hint="eastAsia"/>
          <w:b/>
          <w:bCs/>
          <w:szCs w:val="28"/>
        </w:rPr>
        <w:t xml:space="preserve">S16. </w:t>
      </w:r>
      <w:r>
        <w:rPr>
          <w:szCs w:val="28"/>
        </w:rPr>
        <w:t>Representative photographs of the dorsal skin of BALB/c nude mice following</w:t>
      </w:r>
      <w:r>
        <w:rPr>
          <w:rFonts w:hint="eastAsia"/>
          <w:szCs w:val="28"/>
        </w:rPr>
        <w:t xml:space="preserve"> </w:t>
      </w:r>
      <w:r>
        <w:rPr>
          <w:szCs w:val="28"/>
        </w:rPr>
        <w:t>exposure to different UV irradiation doses during the preliminary MED determination.</w:t>
      </w:r>
    </w:p>
    <w:p w14:paraId="27F5EE9C">
      <w:pPr>
        <w:spacing w:after="0" w:line="360" w:lineRule="auto"/>
        <w:jc w:val="both"/>
        <w:rPr>
          <w:rFonts w:ascii="Times New Roman" w:hAnsi="Times New Roman" w:cs="Times New Roman"/>
          <w:sz w:val="24"/>
          <w:szCs w:val="28"/>
        </w:rPr>
      </w:pPr>
    </w:p>
    <w:p w14:paraId="20CF9B89">
      <w:pPr>
        <w:spacing w:after="0" w:line="360" w:lineRule="auto"/>
        <w:rPr>
          <w:rFonts w:hint="eastAsia"/>
        </w:rPr>
      </w:pPr>
      <w:r>
        <w:rPr>
          <w:rFonts w:hint="eastAsia"/>
        </w:rPr>
        <w:br w:type="page"/>
      </w:r>
    </w:p>
    <w:p w14:paraId="578E8779">
      <w:pPr>
        <w:jc w:val="center"/>
        <w:rPr>
          <w:rFonts w:ascii="Times New Roman" w:hAnsi="Times New Roman" w:cs="Times New Roman"/>
          <w:b/>
          <w:bCs/>
          <w:sz w:val="24"/>
          <w:szCs w:val="28"/>
        </w:rPr>
      </w:pPr>
      <w:r>
        <w:rPr>
          <w:rFonts w:ascii="Times New Roman" w:hAnsi="Times New Roman" w:cs="Times New Roman"/>
          <w:b/>
          <w:bCs/>
          <w:sz w:val="24"/>
          <w:szCs w:val="28"/>
        </w:rPr>
        <w:t>Table 1. Primer sequences for quantitative real-time PCR of differentially expressed genes (DEGs)</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435"/>
        <w:gridCol w:w="4697"/>
        <w:gridCol w:w="1736"/>
      </w:tblGrid>
      <w:tr w14:paraId="4F73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2" w:type="pct"/>
            <w:gridSpan w:val="2"/>
            <w:tcBorders>
              <w:top w:val="single" w:color="auto" w:sz="4" w:space="0"/>
              <w:left w:val="single" w:color="auto" w:sz="4" w:space="0"/>
              <w:bottom w:val="single" w:color="auto" w:sz="4" w:space="0"/>
              <w:right w:val="single" w:color="auto" w:sz="4" w:space="0"/>
            </w:tcBorders>
            <w:shd w:val="clear" w:color="auto" w:fill="FFFFFF"/>
          </w:tcPr>
          <w:p w14:paraId="11F00959">
            <w:pPr>
              <w:spacing w:after="0" w:line="279" w:lineRule="auto"/>
              <w:jc w:val="center"/>
              <w:rPr>
                <w:rFonts w:ascii="Times New Roman" w:hAnsi="Times New Roman" w:cs="Times New Roman"/>
                <w:b/>
                <w:sz w:val="24"/>
                <w:szCs w:val="28"/>
              </w:rPr>
            </w:pPr>
            <w:r>
              <w:rPr>
                <w:rFonts w:ascii="Times New Roman" w:hAnsi="Times New Roman" w:cs="Times New Roman"/>
                <w:b/>
                <w:sz w:val="24"/>
                <w:szCs w:val="28"/>
              </w:rPr>
              <w:t>Primer Name</w:t>
            </w:r>
          </w:p>
        </w:tc>
        <w:tc>
          <w:tcPr>
            <w:tcW w:w="2831" w:type="pct"/>
            <w:tcBorders>
              <w:top w:val="single" w:color="auto" w:sz="4" w:space="0"/>
              <w:left w:val="single" w:color="auto" w:sz="4" w:space="0"/>
              <w:bottom w:val="single" w:color="auto" w:sz="4" w:space="0"/>
              <w:right w:val="single" w:color="auto" w:sz="4" w:space="0"/>
            </w:tcBorders>
            <w:shd w:val="clear" w:color="auto" w:fill="FFFFFF"/>
          </w:tcPr>
          <w:p w14:paraId="40A34D62">
            <w:pPr>
              <w:spacing w:after="0" w:line="279" w:lineRule="auto"/>
              <w:jc w:val="center"/>
              <w:rPr>
                <w:rFonts w:ascii="Times New Roman" w:hAnsi="Times New Roman" w:cs="Times New Roman"/>
                <w:b/>
                <w:sz w:val="24"/>
                <w:szCs w:val="28"/>
              </w:rPr>
            </w:pPr>
            <w:r>
              <w:rPr>
                <w:rFonts w:ascii="Times New Roman" w:hAnsi="Times New Roman" w:cs="Times New Roman"/>
                <w:b/>
                <w:sz w:val="24"/>
                <w:szCs w:val="28"/>
              </w:rPr>
              <w:t>Primer Sequence (5' to 3')</w:t>
            </w:r>
          </w:p>
        </w:tc>
        <w:tc>
          <w:tcPr>
            <w:tcW w:w="1047" w:type="pct"/>
            <w:tcBorders>
              <w:top w:val="single" w:color="auto" w:sz="4" w:space="0"/>
              <w:left w:val="single" w:color="auto" w:sz="4" w:space="0"/>
              <w:bottom w:val="single" w:color="auto" w:sz="4" w:space="0"/>
              <w:right w:val="single" w:color="auto" w:sz="4" w:space="0"/>
            </w:tcBorders>
            <w:shd w:val="clear" w:color="auto" w:fill="FFFFFF"/>
          </w:tcPr>
          <w:p w14:paraId="53DC8F54">
            <w:pPr>
              <w:spacing w:after="0" w:line="279" w:lineRule="auto"/>
              <w:jc w:val="center"/>
              <w:rPr>
                <w:rFonts w:ascii="Times New Roman" w:hAnsi="Times New Roman" w:cs="Times New Roman"/>
                <w:b/>
                <w:sz w:val="24"/>
                <w:szCs w:val="28"/>
              </w:rPr>
            </w:pPr>
            <w:r>
              <w:rPr>
                <w:rFonts w:ascii="Times New Roman" w:hAnsi="Times New Roman" w:cs="Times New Roman"/>
                <w:b/>
                <w:sz w:val="24"/>
                <w:szCs w:val="28"/>
              </w:rPr>
              <w:t>Base Number</w:t>
            </w:r>
          </w:p>
        </w:tc>
      </w:tr>
      <w:tr w14:paraId="08FD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1" w:type="pct"/>
            <w:vMerge w:val="restart"/>
            <w:tcBorders>
              <w:top w:val="nil"/>
              <w:left w:val="single" w:color="auto" w:sz="4" w:space="0"/>
              <w:bottom w:val="single" w:color="auto" w:sz="4" w:space="0"/>
              <w:right w:val="single" w:color="auto" w:sz="4" w:space="0"/>
            </w:tcBorders>
            <w:shd w:val="clear" w:color="auto" w:fill="FFFFFF"/>
            <w:vAlign w:val="center"/>
          </w:tcPr>
          <w:p w14:paraId="18E289CB">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COL1A1</w:t>
            </w:r>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45CCF2AF">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F</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6286F76B">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CTCCCAGAACATCACCTATCACT</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6ECEA786">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23</w:t>
            </w:r>
          </w:p>
        </w:tc>
      </w:tr>
      <w:tr w14:paraId="57F1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tcBorders>
              <w:top w:val="nil"/>
              <w:left w:val="single" w:color="auto" w:sz="4" w:space="0"/>
              <w:bottom w:val="single" w:color="auto" w:sz="4" w:space="0"/>
              <w:right w:val="single" w:color="auto" w:sz="4" w:space="0"/>
            </w:tcBorders>
            <w:vAlign w:val="center"/>
          </w:tcPr>
          <w:p w14:paraId="074FEE87">
            <w:pPr>
              <w:spacing w:after="0" w:line="279" w:lineRule="auto"/>
              <w:jc w:val="center"/>
              <w:rPr>
                <w:rFonts w:ascii="Times New Roman" w:hAnsi="Times New Roman" w:cs="Times New Roman"/>
                <w:sz w:val="24"/>
                <w:szCs w:val="28"/>
              </w:rPr>
            </w:pPr>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207E6A97">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R</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2CCBE984">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GGAGGTCTTGGTGGTTTTGTATT</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25CA2B72">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23</w:t>
            </w:r>
          </w:p>
        </w:tc>
      </w:tr>
      <w:tr w14:paraId="44F9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1" w:type="pct"/>
            <w:vMerge w:val="restart"/>
            <w:tcBorders>
              <w:top w:val="nil"/>
              <w:left w:val="single" w:color="auto" w:sz="4" w:space="0"/>
              <w:bottom w:val="single" w:color="auto" w:sz="4" w:space="0"/>
              <w:right w:val="single" w:color="auto" w:sz="4" w:space="0"/>
            </w:tcBorders>
            <w:shd w:val="clear" w:color="auto" w:fill="FFFFFF"/>
            <w:vAlign w:val="center"/>
          </w:tcPr>
          <w:p w14:paraId="65FA072B">
            <w:pPr>
              <w:spacing w:after="0" w:line="279" w:lineRule="auto"/>
              <w:jc w:val="center"/>
              <w:rPr>
                <w:rFonts w:hint="eastAsia" w:ascii="Times New Roman" w:hAnsi="Times New Roman" w:cs="Times New Roman" w:eastAsiaTheme="minorEastAsia"/>
                <w:sz w:val="24"/>
                <w:szCs w:val="28"/>
                <w:lang w:val="en-US" w:eastAsia="zh-CN"/>
              </w:rPr>
            </w:pPr>
            <w:r>
              <w:rPr>
                <w:rFonts w:ascii="Times New Roman" w:hAnsi="Times New Roman" w:cs="Times New Roman"/>
                <w:sz w:val="24"/>
                <w:szCs w:val="28"/>
              </w:rPr>
              <w:t>COL</w:t>
            </w:r>
            <w:r>
              <w:rPr>
                <w:rFonts w:hint="eastAsia" w:ascii="Times New Roman" w:hAnsi="Times New Roman" w:cs="Times New Roman"/>
                <w:sz w:val="24"/>
                <w:szCs w:val="28"/>
                <w:lang w:val="en-US" w:eastAsia="zh-CN"/>
              </w:rPr>
              <w:t>3</w:t>
            </w:r>
            <w:r>
              <w:rPr>
                <w:rFonts w:ascii="Times New Roman" w:hAnsi="Times New Roman" w:cs="Times New Roman"/>
                <w:sz w:val="24"/>
                <w:szCs w:val="28"/>
              </w:rPr>
              <w:t>A</w:t>
            </w:r>
            <w:r>
              <w:rPr>
                <w:rFonts w:hint="eastAsia" w:ascii="Times New Roman" w:hAnsi="Times New Roman" w:cs="Times New Roman"/>
                <w:sz w:val="24"/>
                <w:szCs w:val="28"/>
                <w:lang w:val="en-US" w:eastAsia="zh-CN"/>
              </w:rPr>
              <w:t>1</w:t>
            </w:r>
            <w:bookmarkStart w:id="0" w:name="_GoBack"/>
            <w:bookmarkEnd w:id="0"/>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43F1DB8E">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F</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3080B5BF">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GTGGCAATGTAAAGAAGTCTCTGAAG</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54C92E16">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26</w:t>
            </w:r>
          </w:p>
        </w:tc>
      </w:tr>
      <w:tr w14:paraId="07C9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tcBorders>
              <w:top w:val="nil"/>
              <w:left w:val="single" w:color="auto" w:sz="4" w:space="0"/>
              <w:bottom w:val="single" w:color="auto" w:sz="4" w:space="0"/>
              <w:right w:val="single" w:color="auto" w:sz="4" w:space="0"/>
            </w:tcBorders>
            <w:vAlign w:val="center"/>
          </w:tcPr>
          <w:p w14:paraId="42871420">
            <w:pPr>
              <w:spacing w:after="0" w:line="279" w:lineRule="auto"/>
              <w:jc w:val="center"/>
              <w:rPr>
                <w:rFonts w:ascii="Times New Roman" w:hAnsi="Times New Roman" w:cs="Times New Roman"/>
                <w:sz w:val="24"/>
                <w:szCs w:val="28"/>
              </w:rPr>
            </w:pPr>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531BEDE2">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R</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7181E445">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GGGTGCGATATCTATGATGGGTAG</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1F1F1DDC">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24</w:t>
            </w:r>
          </w:p>
        </w:tc>
      </w:tr>
      <w:tr w14:paraId="705C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1" w:type="pct"/>
            <w:vMerge w:val="restart"/>
            <w:tcBorders>
              <w:top w:val="nil"/>
              <w:left w:val="single" w:color="auto" w:sz="4" w:space="0"/>
              <w:bottom w:val="single" w:color="auto" w:sz="4" w:space="0"/>
              <w:right w:val="single" w:color="auto" w:sz="4" w:space="0"/>
            </w:tcBorders>
            <w:shd w:val="clear" w:color="auto" w:fill="FFFFFF"/>
            <w:vAlign w:val="center"/>
          </w:tcPr>
          <w:p w14:paraId="4E7E6C9F">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GAPDH</w:t>
            </w:r>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6319E7A7">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F</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73D8CDFA">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CCTCGTCCCGTAGACAAAATG</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5F62E7A1">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21</w:t>
            </w:r>
          </w:p>
        </w:tc>
      </w:tr>
      <w:tr w14:paraId="508A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tcBorders>
              <w:top w:val="nil"/>
              <w:left w:val="single" w:color="auto" w:sz="4" w:space="0"/>
              <w:bottom w:val="single" w:color="auto" w:sz="4" w:space="0"/>
              <w:right w:val="single" w:color="auto" w:sz="4" w:space="0"/>
            </w:tcBorders>
            <w:vAlign w:val="center"/>
          </w:tcPr>
          <w:p w14:paraId="3965FBB4">
            <w:pPr>
              <w:spacing w:after="0" w:line="279" w:lineRule="auto"/>
              <w:jc w:val="center"/>
              <w:rPr>
                <w:rFonts w:ascii="Times New Roman" w:hAnsi="Times New Roman" w:cs="Times New Roman"/>
                <w:sz w:val="24"/>
                <w:szCs w:val="28"/>
              </w:rPr>
            </w:pPr>
          </w:p>
        </w:tc>
        <w:tc>
          <w:tcPr>
            <w:tcW w:w="262" w:type="pct"/>
            <w:tcBorders>
              <w:top w:val="single" w:color="auto" w:sz="4" w:space="0"/>
              <w:left w:val="single" w:color="auto" w:sz="4" w:space="0"/>
              <w:bottom w:val="single" w:color="auto" w:sz="4" w:space="0"/>
              <w:right w:val="single" w:color="auto" w:sz="4" w:space="0"/>
            </w:tcBorders>
            <w:shd w:val="clear" w:color="auto" w:fill="FFFFFF"/>
          </w:tcPr>
          <w:p w14:paraId="1875EF0D">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R</w:t>
            </w:r>
          </w:p>
        </w:tc>
        <w:tc>
          <w:tcPr>
            <w:tcW w:w="2831" w:type="pct"/>
            <w:tcBorders>
              <w:top w:val="single" w:color="auto" w:sz="4" w:space="0"/>
              <w:left w:val="single" w:color="auto" w:sz="4" w:space="0"/>
              <w:bottom w:val="single" w:color="auto" w:sz="4" w:space="0"/>
              <w:right w:val="single" w:color="auto" w:sz="4" w:space="0"/>
            </w:tcBorders>
            <w:shd w:val="clear" w:color="auto" w:fill="FFFFFF"/>
            <w:vAlign w:val="center"/>
          </w:tcPr>
          <w:p w14:paraId="7F608436">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TGAGGTCAATGAAGGGGTCGT</w:t>
            </w:r>
          </w:p>
        </w:tc>
        <w:tc>
          <w:tcPr>
            <w:tcW w:w="1047" w:type="pct"/>
            <w:tcBorders>
              <w:top w:val="single" w:color="auto" w:sz="4" w:space="0"/>
              <w:left w:val="single" w:color="auto" w:sz="4" w:space="0"/>
              <w:bottom w:val="single" w:color="auto" w:sz="4" w:space="0"/>
              <w:right w:val="single" w:color="auto" w:sz="4" w:space="0"/>
            </w:tcBorders>
            <w:shd w:val="clear" w:color="auto" w:fill="FFFFFF"/>
            <w:vAlign w:val="center"/>
          </w:tcPr>
          <w:p w14:paraId="34BCF830">
            <w:pPr>
              <w:spacing w:after="0" w:line="279" w:lineRule="auto"/>
              <w:jc w:val="center"/>
              <w:rPr>
                <w:rFonts w:ascii="Times New Roman" w:hAnsi="Times New Roman" w:cs="Times New Roman"/>
                <w:sz w:val="24"/>
                <w:szCs w:val="28"/>
              </w:rPr>
            </w:pPr>
            <w:r>
              <w:rPr>
                <w:rFonts w:ascii="Times New Roman" w:hAnsi="Times New Roman" w:cs="Times New Roman"/>
                <w:sz w:val="24"/>
                <w:szCs w:val="28"/>
              </w:rPr>
              <w:t>21</w:t>
            </w:r>
          </w:p>
        </w:tc>
      </w:tr>
    </w:tbl>
    <w:p w14:paraId="5F9D5F46">
      <w:pPr>
        <w:pStyle w:val="14"/>
        <w:widowControl/>
        <w:spacing w:after="0"/>
        <w:jc w:val="center"/>
        <w:rPr>
          <w:rFonts w:eastAsia="宋体"/>
        </w:rPr>
      </w:pPr>
    </w:p>
    <w:p w14:paraId="335CDB78">
      <w:pPr>
        <w:pStyle w:val="14"/>
        <w:widowControl/>
        <w:spacing w:after="0" w:line="360" w:lineRule="auto"/>
        <w:jc w:val="center"/>
        <w:rPr>
          <w:b/>
          <w:bCs/>
          <w:szCs w:val="28"/>
        </w:rPr>
      </w:pPr>
      <w:r>
        <w:rPr>
          <w:b/>
          <w:bCs/>
          <w:szCs w:val="28"/>
        </w:rPr>
        <w:t xml:space="preserve">Table </w:t>
      </w:r>
      <w:r>
        <w:rPr>
          <w:rFonts w:hint="eastAsia"/>
          <w:b/>
          <w:bCs/>
          <w:szCs w:val="28"/>
        </w:rPr>
        <w:t>2</w:t>
      </w:r>
      <w:r>
        <w:rPr>
          <w:b/>
          <w:bCs/>
          <w:szCs w:val="28"/>
        </w:rPr>
        <w:t>. Edema Degree Score</w:t>
      </w:r>
    </w:p>
    <w:tbl>
      <w:tblPr>
        <w:tblStyle w:val="17"/>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9"/>
        <w:gridCol w:w="1640"/>
      </w:tblGrid>
      <w:tr w14:paraId="3927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single" w:color="000000" w:sz="8" w:space="0"/>
              <w:left w:val="nil"/>
              <w:bottom w:val="single" w:color="000000" w:sz="8" w:space="0"/>
              <w:right w:val="nil"/>
            </w:tcBorders>
            <w:vAlign w:val="center"/>
          </w:tcPr>
          <w:p w14:paraId="0C5C58AC">
            <w:pPr>
              <w:pStyle w:val="14"/>
              <w:widowControl/>
              <w:spacing w:after="0"/>
              <w:jc w:val="center"/>
              <w:rPr>
                <w:rFonts w:hint="eastAsia" w:ascii="宋体" w:hAnsi="宋体" w:eastAsia="宋体" w:cs="宋体"/>
              </w:rPr>
            </w:pPr>
            <w:r>
              <w:rPr>
                <w:rFonts w:eastAsia="宋体"/>
                <w:b/>
                <w:bCs/>
              </w:rPr>
              <w:t>Skin reactions</w:t>
            </w:r>
          </w:p>
        </w:tc>
        <w:tc>
          <w:tcPr>
            <w:tcW w:w="1655" w:type="dxa"/>
            <w:tcBorders>
              <w:top w:val="single" w:color="000000" w:sz="8" w:space="0"/>
              <w:left w:val="nil"/>
              <w:bottom w:val="single" w:color="000000" w:sz="8" w:space="0"/>
              <w:right w:val="nil"/>
            </w:tcBorders>
            <w:vAlign w:val="center"/>
          </w:tcPr>
          <w:p w14:paraId="4DC27C4D">
            <w:pPr>
              <w:pStyle w:val="14"/>
              <w:widowControl/>
              <w:spacing w:after="0"/>
              <w:jc w:val="center"/>
              <w:rPr>
                <w:rFonts w:hint="eastAsia" w:ascii="宋体" w:hAnsi="宋体" w:eastAsia="宋体" w:cs="宋体"/>
              </w:rPr>
            </w:pPr>
            <w:r>
              <w:rPr>
                <w:rFonts w:eastAsia="宋体"/>
                <w:b/>
                <w:bCs/>
              </w:rPr>
              <w:t>Score</w:t>
            </w:r>
          </w:p>
        </w:tc>
      </w:tr>
      <w:tr w14:paraId="3461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single" w:color="000000" w:sz="8" w:space="0"/>
              <w:left w:val="nil"/>
              <w:bottom w:val="nil"/>
              <w:right w:val="nil"/>
            </w:tcBorders>
            <w:vAlign w:val="center"/>
          </w:tcPr>
          <w:p w14:paraId="3821B9EF">
            <w:pPr>
              <w:pStyle w:val="14"/>
              <w:widowControl/>
              <w:spacing w:after="0"/>
              <w:rPr>
                <w:rFonts w:eastAsia="宋体"/>
              </w:rPr>
            </w:pPr>
            <w:r>
              <w:rPr>
                <w:rFonts w:eastAsia="宋体"/>
              </w:rPr>
              <w:t>N</w:t>
            </w:r>
            <w:r>
              <w:rPr>
                <w:rFonts w:hint="eastAsia" w:eastAsia="宋体"/>
              </w:rPr>
              <w:t>o</w:t>
            </w:r>
            <w:r>
              <w:rPr>
                <w:rFonts w:eastAsia="宋体"/>
              </w:rPr>
              <w:t xml:space="preserve"> edema</w:t>
            </w:r>
          </w:p>
        </w:tc>
        <w:tc>
          <w:tcPr>
            <w:tcW w:w="1655" w:type="dxa"/>
            <w:tcBorders>
              <w:top w:val="single" w:color="000000" w:sz="8" w:space="0"/>
              <w:left w:val="nil"/>
              <w:bottom w:val="nil"/>
              <w:right w:val="nil"/>
            </w:tcBorders>
            <w:vAlign w:val="center"/>
          </w:tcPr>
          <w:p w14:paraId="00E6E164">
            <w:pPr>
              <w:pStyle w:val="14"/>
              <w:widowControl/>
              <w:spacing w:after="0"/>
              <w:jc w:val="center"/>
              <w:rPr>
                <w:rFonts w:eastAsia="宋体"/>
              </w:rPr>
            </w:pPr>
            <w:r>
              <w:rPr>
                <w:rFonts w:eastAsia="宋体"/>
              </w:rPr>
              <w:t>0</w:t>
            </w:r>
          </w:p>
        </w:tc>
      </w:tr>
      <w:tr w14:paraId="153A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18642ED7">
            <w:pPr>
              <w:pStyle w:val="14"/>
              <w:widowControl/>
              <w:spacing w:after="0"/>
              <w:rPr>
                <w:rFonts w:eastAsia="宋体"/>
              </w:rPr>
            </w:pPr>
            <w:r>
              <w:rPr>
                <w:rFonts w:eastAsia="宋体"/>
              </w:rPr>
              <w:t>Very slight edema (almost invisible)</w:t>
            </w:r>
          </w:p>
        </w:tc>
        <w:tc>
          <w:tcPr>
            <w:tcW w:w="1655" w:type="dxa"/>
            <w:tcBorders>
              <w:top w:val="nil"/>
              <w:left w:val="nil"/>
              <w:bottom w:val="nil"/>
              <w:right w:val="nil"/>
            </w:tcBorders>
            <w:vAlign w:val="center"/>
          </w:tcPr>
          <w:p w14:paraId="5665AA16">
            <w:pPr>
              <w:pStyle w:val="14"/>
              <w:widowControl/>
              <w:spacing w:after="0"/>
              <w:jc w:val="center"/>
              <w:rPr>
                <w:rFonts w:eastAsia="宋体"/>
              </w:rPr>
            </w:pPr>
            <w:r>
              <w:rPr>
                <w:rFonts w:eastAsia="宋体"/>
              </w:rPr>
              <w:t>1</w:t>
            </w:r>
          </w:p>
        </w:tc>
      </w:tr>
      <w:tr w14:paraId="3B9C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0F4E5E6B">
            <w:pPr>
              <w:pStyle w:val="14"/>
              <w:widowControl/>
              <w:spacing w:after="0"/>
              <w:rPr>
                <w:rFonts w:eastAsia="宋体"/>
              </w:rPr>
            </w:pPr>
            <w:r>
              <w:rPr>
                <w:rFonts w:eastAsia="宋体"/>
              </w:rPr>
              <w:t>Well-defined peripheral edema</w:t>
            </w:r>
          </w:p>
        </w:tc>
        <w:tc>
          <w:tcPr>
            <w:tcW w:w="1655" w:type="dxa"/>
            <w:tcBorders>
              <w:top w:val="nil"/>
              <w:left w:val="nil"/>
              <w:bottom w:val="nil"/>
              <w:right w:val="nil"/>
            </w:tcBorders>
            <w:vAlign w:val="center"/>
          </w:tcPr>
          <w:p w14:paraId="4C88EA97">
            <w:pPr>
              <w:pStyle w:val="14"/>
              <w:widowControl/>
              <w:spacing w:after="0"/>
              <w:jc w:val="center"/>
              <w:rPr>
                <w:rFonts w:eastAsia="宋体"/>
              </w:rPr>
            </w:pPr>
            <w:r>
              <w:rPr>
                <w:rFonts w:eastAsia="宋体"/>
              </w:rPr>
              <w:t>2</w:t>
            </w:r>
          </w:p>
        </w:tc>
      </w:tr>
      <w:tr w14:paraId="57E3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7C1279B9">
            <w:pPr>
              <w:pStyle w:val="14"/>
              <w:widowControl/>
              <w:spacing w:after="0"/>
              <w:rPr>
                <w:rFonts w:eastAsia="宋体"/>
              </w:rPr>
            </w:pPr>
            <w:r>
              <w:rPr>
                <w:rFonts w:eastAsia="宋体"/>
              </w:rPr>
              <w:t>Moderate edema (raised margin +1 mm)</w:t>
            </w:r>
          </w:p>
        </w:tc>
        <w:tc>
          <w:tcPr>
            <w:tcW w:w="1655" w:type="dxa"/>
            <w:tcBorders>
              <w:top w:val="nil"/>
              <w:left w:val="nil"/>
              <w:bottom w:val="nil"/>
              <w:right w:val="nil"/>
            </w:tcBorders>
            <w:vAlign w:val="center"/>
          </w:tcPr>
          <w:p w14:paraId="6BD4A5A4">
            <w:pPr>
              <w:pStyle w:val="14"/>
              <w:widowControl/>
              <w:spacing w:after="0"/>
              <w:jc w:val="center"/>
              <w:rPr>
                <w:rFonts w:eastAsia="宋体"/>
              </w:rPr>
            </w:pPr>
            <w:r>
              <w:rPr>
                <w:rFonts w:eastAsia="宋体"/>
              </w:rPr>
              <w:t>3</w:t>
            </w:r>
          </w:p>
        </w:tc>
      </w:tr>
      <w:tr w14:paraId="021F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643" w:type="dxa"/>
            <w:tcBorders>
              <w:top w:val="nil"/>
              <w:left w:val="nil"/>
              <w:bottom w:val="single" w:color="000000" w:sz="8" w:space="0"/>
              <w:right w:val="nil"/>
            </w:tcBorders>
            <w:vAlign w:val="center"/>
          </w:tcPr>
          <w:p w14:paraId="4BC35CEC">
            <w:pPr>
              <w:pStyle w:val="14"/>
              <w:widowControl/>
              <w:spacing w:after="0"/>
              <w:rPr>
                <w:rFonts w:hint="eastAsia" w:ascii="宋体" w:hAnsi="宋体" w:eastAsia="宋体" w:cs="宋体"/>
              </w:rPr>
            </w:pPr>
            <w:r>
              <w:rPr>
                <w:rFonts w:eastAsia="宋体"/>
              </w:rPr>
              <w:t>Severe edema (raised margin more than 1 mm and extendingbeyond the affected area)</w:t>
            </w:r>
          </w:p>
        </w:tc>
        <w:tc>
          <w:tcPr>
            <w:tcW w:w="1655" w:type="dxa"/>
            <w:tcBorders>
              <w:top w:val="nil"/>
              <w:left w:val="nil"/>
              <w:bottom w:val="single" w:color="000000" w:sz="8" w:space="0"/>
              <w:right w:val="nil"/>
            </w:tcBorders>
            <w:vAlign w:val="center"/>
          </w:tcPr>
          <w:p w14:paraId="20D0B795">
            <w:pPr>
              <w:pStyle w:val="14"/>
              <w:widowControl/>
              <w:spacing w:after="0"/>
              <w:jc w:val="center"/>
              <w:rPr>
                <w:rFonts w:eastAsia="宋体"/>
              </w:rPr>
            </w:pPr>
            <w:r>
              <w:rPr>
                <w:rFonts w:eastAsia="宋体"/>
              </w:rPr>
              <w:t>4</w:t>
            </w:r>
          </w:p>
        </w:tc>
      </w:tr>
    </w:tbl>
    <w:p w14:paraId="0F85F31A">
      <w:pPr>
        <w:pStyle w:val="14"/>
        <w:widowControl/>
        <w:spacing w:after="0"/>
        <w:jc w:val="center"/>
        <w:rPr>
          <w:rFonts w:eastAsia="宋体"/>
        </w:rPr>
      </w:pPr>
    </w:p>
    <w:p w14:paraId="20CBEB9D">
      <w:pPr>
        <w:pStyle w:val="14"/>
        <w:widowControl/>
        <w:spacing w:after="0" w:line="360" w:lineRule="auto"/>
        <w:jc w:val="center"/>
        <w:rPr>
          <w:b/>
          <w:bCs/>
          <w:szCs w:val="28"/>
        </w:rPr>
      </w:pPr>
      <w:r>
        <w:rPr>
          <w:b/>
          <w:bCs/>
          <w:szCs w:val="28"/>
        </w:rPr>
        <w:t xml:space="preserve">Table </w:t>
      </w:r>
      <w:r>
        <w:rPr>
          <w:rFonts w:hint="eastAsia"/>
          <w:b/>
          <w:bCs/>
          <w:szCs w:val="28"/>
        </w:rPr>
        <w:t>3</w:t>
      </w:r>
      <w:r>
        <w:rPr>
          <w:b/>
          <w:bCs/>
          <w:szCs w:val="28"/>
        </w:rPr>
        <w:t>.</w:t>
      </w:r>
      <w:r>
        <w:rPr>
          <w:rFonts w:hint="eastAsia"/>
          <w:b/>
          <w:bCs/>
          <w:szCs w:val="28"/>
        </w:rPr>
        <w:t xml:space="preserve"> Erythema</w:t>
      </w:r>
      <w:r>
        <w:rPr>
          <w:b/>
          <w:bCs/>
          <w:szCs w:val="28"/>
        </w:rPr>
        <w:t xml:space="preserve"> Degree Score</w:t>
      </w:r>
    </w:p>
    <w:tbl>
      <w:tblPr>
        <w:tblStyle w:val="17"/>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8"/>
        <w:gridCol w:w="1641"/>
      </w:tblGrid>
      <w:tr w14:paraId="218E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single" w:color="000000" w:sz="8" w:space="0"/>
              <w:left w:val="nil"/>
              <w:bottom w:val="single" w:color="000000" w:sz="8" w:space="0"/>
              <w:right w:val="nil"/>
            </w:tcBorders>
            <w:vAlign w:val="center"/>
          </w:tcPr>
          <w:p w14:paraId="4A1AB53C">
            <w:pPr>
              <w:pStyle w:val="14"/>
              <w:widowControl/>
              <w:spacing w:after="0"/>
              <w:jc w:val="center"/>
              <w:rPr>
                <w:rFonts w:hint="eastAsia" w:ascii="宋体" w:hAnsi="宋体" w:eastAsia="宋体" w:cs="宋体"/>
              </w:rPr>
            </w:pPr>
            <w:r>
              <w:rPr>
                <w:rFonts w:eastAsia="宋体"/>
                <w:b/>
                <w:bCs/>
              </w:rPr>
              <w:t>Skin reactions</w:t>
            </w:r>
          </w:p>
        </w:tc>
        <w:tc>
          <w:tcPr>
            <w:tcW w:w="1655" w:type="dxa"/>
            <w:tcBorders>
              <w:top w:val="single" w:color="000000" w:sz="8" w:space="0"/>
              <w:left w:val="nil"/>
              <w:bottom w:val="single" w:color="000000" w:sz="8" w:space="0"/>
              <w:right w:val="nil"/>
            </w:tcBorders>
            <w:vAlign w:val="center"/>
          </w:tcPr>
          <w:p w14:paraId="7DA79868">
            <w:pPr>
              <w:pStyle w:val="14"/>
              <w:widowControl/>
              <w:spacing w:after="0"/>
              <w:jc w:val="center"/>
              <w:rPr>
                <w:rFonts w:hint="eastAsia" w:ascii="宋体" w:hAnsi="宋体" w:eastAsia="宋体" w:cs="宋体"/>
              </w:rPr>
            </w:pPr>
            <w:r>
              <w:rPr>
                <w:rFonts w:eastAsia="宋体"/>
                <w:b/>
                <w:bCs/>
              </w:rPr>
              <w:t>Score</w:t>
            </w:r>
          </w:p>
        </w:tc>
      </w:tr>
      <w:tr w14:paraId="2CD5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single" w:color="000000" w:sz="8" w:space="0"/>
              <w:left w:val="nil"/>
              <w:bottom w:val="nil"/>
              <w:right w:val="nil"/>
            </w:tcBorders>
            <w:vAlign w:val="center"/>
          </w:tcPr>
          <w:p w14:paraId="7FE57E41">
            <w:pPr>
              <w:pStyle w:val="14"/>
              <w:widowControl/>
              <w:spacing w:after="0"/>
              <w:rPr>
                <w:rFonts w:eastAsia="宋体"/>
              </w:rPr>
            </w:pPr>
            <w:r>
              <w:rPr>
                <w:rFonts w:eastAsia="宋体"/>
              </w:rPr>
              <w:t>N</w:t>
            </w:r>
            <w:r>
              <w:rPr>
                <w:rFonts w:hint="eastAsia" w:eastAsia="宋体"/>
              </w:rPr>
              <w:t>o</w:t>
            </w:r>
            <w:r>
              <w:rPr>
                <w:rFonts w:eastAsia="宋体"/>
              </w:rPr>
              <w:t xml:space="preserve"> </w:t>
            </w:r>
            <w:r>
              <w:rPr>
                <w:rFonts w:hint="eastAsia" w:eastAsia="宋体"/>
              </w:rPr>
              <w:t>erythema</w:t>
            </w:r>
          </w:p>
        </w:tc>
        <w:tc>
          <w:tcPr>
            <w:tcW w:w="1655" w:type="dxa"/>
            <w:tcBorders>
              <w:top w:val="single" w:color="000000" w:sz="8" w:space="0"/>
              <w:left w:val="nil"/>
              <w:bottom w:val="nil"/>
              <w:right w:val="nil"/>
            </w:tcBorders>
            <w:vAlign w:val="center"/>
          </w:tcPr>
          <w:p w14:paraId="22297E0C">
            <w:pPr>
              <w:pStyle w:val="14"/>
              <w:widowControl/>
              <w:spacing w:after="0"/>
              <w:jc w:val="center"/>
              <w:rPr>
                <w:rFonts w:eastAsia="宋体"/>
              </w:rPr>
            </w:pPr>
            <w:r>
              <w:rPr>
                <w:rFonts w:eastAsia="宋体"/>
              </w:rPr>
              <w:t>0</w:t>
            </w:r>
          </w:p>
        </w:tc>
      </w:tr>
      <w:tr w14:paraId="3B19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11853F23">
            <w:pPr>
              <w:pStyle w:val="14"/>
              <w:widowControl/>
              <w:spacing w:after="0"/>
              <w:rPr>
                <w:rFonts w:eastAsia="宋体"/>
              </w:rPr>
            </w:pPr>
            <w:r>
              <w:rPr>
                <w:rFonts w:eastAsia="宋体"/>
              </w:rPr>
              <w:t>Very slight e</w:t>
            </w:r>
            <w:r>
              <w:rPr>
                <w:rFonts w:hint="eastAsia" w:eastAsia="宋体"/>
              </w:rPr>
              <w:t>rythema</w:t>
            </w:r>
            <w:r>
              <w:rPr>
                <w:rFonts w:eastAsia="宋体"/>
              </w:rPr>
              <w:t xml:space="preserve"> (</w:t>
            </w:r>
            <w:r>
              <w:rPr>
                <w:rFonts w:hint="eastAsia" w:eastAsia="宋体"/>
              </w:rPr>
              <w:t>barely</w:t>
            </w:r>
            <w:r>
              <w:rPr>
                <w:rFonts w:eastAsia="宋体"/>
              </w:rPr>
              <w:t xml:space="preserve"> visible)</w:t>
            </w:r>
          </w:p>
        </w:tc>
        <w:tc>
          <w:tcPr>
            <w:tcW w:w="1655" w:type="dxa"/>
            <w:tcBorders>
              <w:top w:val="nil"/>
              <w:left w:val="nil"/>
              <w:bottom w:val="nil"/>
              <w:right w:val="nil"/>
            </w:tcBorders>
            <w:vAlign w:val="center"/>
          </w:tcPr>
          <w:p w14:paraId="3FD3CADA">
            <w:pPr>
              <w:pStyle w:val="14"/>
              <w:widowControl/>
              <w:spacing w:after="0"/>
              <w:jc w:val="center"/>
              <w:rPr>
                <w:rFonts w:eastAsia="宋体"/>
              </w:rPr>
            </w:pPr>
            <w:r>
              <w:rPr>
                <w:rFonts w:eastAsia="宋体"/>
              </w:rPr>
              <w:t>1</w:t>
            </w:r>
          </w:p>
        </w:tc>
      </w:tr>
      <w:tr w14:paraId="3AF7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6A26086F">
            <w:pPr>
              <w:pStyle w:val="14"/>
              <w:widowControl/>
              <w:spacing w:after="0"/>
              <w:rPr>
                <w:rFonts w:eastAsia="宋体"/>
              </w:rPr>
            </w:pPr>
            <w:r>
              <w:rPr>
                <w:rFonts w:eastAsia="宋体"/>
              </w:rPr>
              <w:t>Clearly demarcated erythema</w:t>
            </w:r>
          </w:p>
        </w:tc>
        <w:tc>
          <w:tcPr>
            <w:tcW w:w="1655" w:type="dxa"/>
            <w:tcBorders>
              <w:top w:val="nil"/>
              <w:left w:val="nil"/>
              <w:bottom w:val="nil"/>
              <w:right w:val="nil"/>
            </w:tcBorders>
            <w:vAlign w:val="center"/>
          </w:tcPr>
          <w:p w14:paraId="501E7193">
            <w:pPr>
              <w:pStyle w:val="14"/>
              <w:widowControl/>
              <w:spacing w:after="0"/>
              <w:jc w:val="center"/>
              <w:rPr>
                <w:rFonts w:eastAsia="宋体"/>
              </w:rPr>
            </w:pPr>
            <w:r>
              <w:rPr>
                <w:rFonts w:eastAsia="宋体"/>
              </w:rPr>
              <w:t>2</w:t>
            </w:r>
          </w:p>
        </w:tc>
      </w:tr>
      <w:tr w14:paraId="7027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nil"/>
              <w:right w:val="nil"/>
            </w:tcBorders>
            <w:vAlign w:val="center"/>
          </w:tcPr>
          <w:p w14:paraId="56363E47">
            <w:pPr>
              <w:pStyle w:val="14"/>
              <w:widowControl/>
              <w:spacing w:after="0"/>
              <w:rPr>
                <w:rFonts w:eastAsia="宋体"/>
              </w:rPr>
            </w:pPr>
            <w:r>
              <w:rPr>
                <w:rFonts w:eastAsia="宋体"/>
              </w:rPr>
              <w:t>Moderate to severe erythema</w:t>
            </w:r>
          </w:p>
        </w:tc>
        <w:tc>
          <w:tcPr>
            <w:tcW w:w="1655" w:type="dxa"/>
            <w:tcBorders>
              <w:top w:val="nil"/>
              <w:left w:val="nil"/>
              <w:bottom w:val="nil"/>
              <w:right w:val="nil"/>
            </w:tcBorders>
            <w:vAlign w:val="center"/>
          </w:tcPr>
          <w:p w14:paraId="7A0014B6">
            <w:pPr>
              <w:pStyle w:val="14"/>
              <w:widowControl/>
              <w:spacing w:after="0"/>
              <w:jc w:val="center"/>
              <w:rPr>
                <w:rFonts w:eastAsia="宋体"/>
              </w:rPr>
            </w:pPr>
            <w:r>
              <w:rPr>
                <w:rFonts w:eastAsia="宋体"/>
              </w:rPr>
              <w:t>3</w:t>
            </w:r>
          </w:p>
        </w:tc>
      </w:tr>
      <w:tr w14:paraId="74DC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43" w:type="dxa"/>
            <w:tcBorders>
              <w:top w:val="nil"/>
              <w:left w:val="nil"/>
              <w:bottom w:val="single" w:color="000000" w:sz="8" w:space="0"/>
              <w:right w:val="nil"/>
            </w:tcBorders>
            <w:vAlign w:val="center"/>
          </w:tcPr>
          <w:p w14:paraId="391A504A">
            <w:pPr>
              <w:pStyle w:val="14"/>
              <w:widowControl/>
              <w:spacing w:after="0"/>
              <w:rPr>
                <w:rFonts w:hint="eastAsia" w:ascii="宋体" w:hAnsi="宋体" w:eastAsia="宋体" w:cs="宋体"/>
              </w:rPr>
            </w:pPr>
            <w:r>
              <w:rPr>
                <w:rFonts w:eastAsia="宋体"/>
              </w:rPr>
              <w:t xml:space="preserve">Severe </w:t>
            </w:r>
            <w:r>
              <w:rPr>
                <w:rFonts w:hint="eastAsia" w:eastAsia="宋体"/>
              </w:rPr>
              <w:t>erythema</w:t>
            </w:r>
            <w:r>
              <w:rPr>
                <w:rFonts w:eastAsia="宋体"/>
              </w:rPr>
              <w:t xml:space="preserve"> (beet-red) to slight crusting</w:t>
            </w:r>
          </w:p>
        </w:tc>
        <w:tc>
          <w:tcPr>
            <w:tcW w:w="1655" w:type="dxa"/>
            <w:tcBorders>
              <w:top w:val="nil"/>
              <w:left w:val="nil"/>
              <w:bottom w:val="single" w:color="000000" w:sz="8" w:space="0"/>
              <w:right w:val="nil"/>
            </w:tcBorders>
            <w:vAlign w:val="center"/>
          </w:tcPr>
          <w:p w14:paraId="41870BD0">
            <w:pPr>
              <w:pStyle w:val="14"/>
              <w:widowControl/>
              <w:spacing w:after="0"/>
              <w:jc w:val="center"/>
              <w:rPr>
                <w:rFonts w:eastAsia="宋体"/>
              </w:rPr>
            </w:pPr>
            <w:r>
              <w:rPr>
                <w:rFonts w:eastAsia="宋体"/>
              </w:rPr>
              <w:t>4</w:t>
            </w:r>
          </w:p>
        </w:tc>
      </w:tr>
    </w:tbl>
    <w:p w14:paraId="5C18EAF2">
      <w:pPr>
        <w:pStyle w:val="14"/>
        <w:widowControl/>
        <w:spacing w:after="0"/>
        <w:jc w:val="center"/>
        <w:rPr>
          <w:rFonts w:eastAsia="宋体"/>
        </w:rPr>
      </w:pPr>
    </w:p>
    <w:p w14:paraId="42FA254C">
      <w:pPr>
        <w:pStyle w:val="14"/>
        <w:widowControl/>
        <w:spacing w:after="0"/>
        <w:jc w:val="center"/>
        <w:rPr>
          <w:rFonts w:eastAsia="宋体"/>
        </w:rPr>
      </w:pPr>
    </w:p>
    <w:p w14:paraId="1175B738">
      <w:pPr>
        <w:pStyle w:val="14"/>
        <w:widowControl/>
        <w:spacing w:after="0"/>
        <w:jc w:val="center"/>
        <w:rPr>
          <w:rFonts w:eastAsia="宋体"/>
        </w:rPr>
      </w:pPr>
    </w:p>
    <w:p w14:paraId="6C029451">
      <w:pPr>
        <w:pStyle w:val="14"/>
        <w:widowControl/>
        <w:spacing w:after="0"/>
        <w:jc w:val="center"/>
        <w:rPr>
          <w:rFonts w:eastAsia="宋体"/>
          <w:highlight w:val="yellow"/>
        </w:rPr>
      </w:pPr>
    </w:p>
    <w:p w14:paraId="3A00D160">
      <w:pPr>
        <w:pStyle w:val="14"/>
        <w:widowControl/>
        <w:spacing w:after="0"/>
        <w:jc w:val="center"/>
        <w:rPr>
          <w:rFonts w:eastAsia="宋体"/>
          <w:highlight w:val="yellow"/>
        </w:rPr>
      </w:pPr>
    </w:p>
    <w:p w14:paraId="4C6D23B8">
      <w:pPr>
        <w:pStyle w:val="14"/>
        <w:widowControl/>
        <w:spacing w:after="0"/>
        <w:jc w:val="center"/>
        <w:rPr>
          <w:rFonts w:eastAsia="宋体"/>
          <w:highlight w:val="yellow"/>
        </w:rPr>
      </w:pPr>
    </w:p>
    <w:p w14:paraId="12002D80">
      <w:pPr>
        <w:pStyle w:val="14"/>
        <w:widowControl/>
        <w:spacing w:after="0"/>
        <w:jc w:val="center"/>
        <w:rPr>
          <w:rFonts w:eastAsia="宋体"/>
          <w:highlight w:val="yellow"/>
        </w:rPr>
      </w:pPr>
    </w:p>
    <w:p w14:paraId="2BDE514E">
      <w:pPr>
        <w:pStyle w:val="14"/>
        <w:widowControl/>
        <w:spacing w:after="0" w:line="360" w:lineRule="auto"/>
        <w:jc w:val="center"/>
        <w:rPr>
          <w:b/>
          <w:bCs/>
          <w:szCs w:val="28"/>
        </w:rPr>
      </w:pPr>
      <w:r>
        <w:rPr>
          <w:b/>
          <w:bCs/>
          <w:szCs w:val="28"/>
        </w:rPr>
        <w:t xml:space="preserve">Table </w:t>
      </w:r>
      <w:r>
        <w:rPr>
          <w:rFonts w:hint="eastAsia"/>
          <w:b/>
          <w:bCs/>
          <w:szCs w:val="28"/>
        </w:rPr>
        <w:t>4</w:t>
      </w:r>
      <w:r>
        <w:rPr>
          <w:b/>
          <w:bCs/>
          <w:szCs w:val="28"/>
        </w:rPr>
        <w:t>.</w:t>
      </w:r>
      <w:r>
        <w:rPr>
          <w:rFonts w:hint="eastAsia"/>
          <w:b/>
          <w:bCs/>
          <w:szCs w:val="28"/>
        </w:rPr>
        <w:t xml:space="preserve"> Irritation</w:t>
      </w:r>
      <w:r>
        <w:rPr>
          <w:b/>
          <w:bCs/>
          <w:szCs w:val="28"/>
        </w:rPr>
        <w:t xml:space="preserve"> Degree Score</w:t>
      </w:r>
    </w:p>
    <w:tbl>
      <w:tblPr>
        <w:tblStyle w:val="17"/>
        <w:tblW w:w="0" w:type="auto"/>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6"/>
        <w:gridCol w:w="3573"/>
      </w:tblGrid>
      <w:tr w14:paraId="7A7B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single" w:color="000000" w:sz="8" w:space="0"/>
              <w:left w:val="nil"/>
              <w:bottom w:val="single" w:color="000000" w:sz="8" w:space="0"/>
              <w:right w:val="nil"/>
            </w:tcBorders>
            <w:vAlign w:val="center"/>
          </w:tcPr>
          <w:p w14:paraId="0AE1F3F5">
            <w:pPr>
              <w:pStyle w:val="14"/>
              <w:widowControl/>
              <w:spacing w:after="0"/>
              <w:jc w:val="center"/>
              <w:rPr>
                <w:rFonts w:hint="eastAsia" w:ascii="宋体" w:hAnsi="宋体" w:eastAsia="宋体" w:cs="宋体"/>
              </w:rPr>
            </w:pPr>
            <w:r>
              <w:rPr>
                <w:rFonts w:hint="eastAsia" w:eastAsia="宋体"/>
                <w:b/>
                <w:bCs/>
              </w:rPr>
              <w:t>Evaluation</w:t>
            </w:r>
          </w:p>
        </w:tc>
        <w:tc>
          <w:tcPr>
            <w:tcW w:w="3619" w:type="dxa"/>
            <w:tcBorders>
              <w:top w:val="single" w:color="000000" w:sz="8" w:space="0"/>
              <w:left w:val="nil"/>
              <w:bottom w:val="single" w:color="000000" w:sz="8" w:space="0"/>
              <w:right w:val="nil"/>
            </w:tcBorders>
            <w:vAlign w:val="center"/>
          </w:tcPr>
          <w:p w14:paraId="1958B095">
            <w:pPr>
              <w:pStyle w:val="14"/>
              <w:widowControl/>
              <w:spacing w:after="0"/>
              <w:jc w:val="center"/>
              <w:rPr>
                <w:rFonts w:hint="eastAsia" w:ascii="宋体" w:hAnsi="宋体" w:eastAsia="宋体" w:cs="宋体"/>
              </w:rPr>
            </w:pPr>
            <w:r>
              <w:rPr>
                <w:rFonts w:eastAsia="宋体"/>
                <w:b/>
                <w:bCs/>
              </w:rPr>
              <w:t>Score</w:t>
            </w:r>
          </w:p>
        </w:tc>
      </w:tr>
      <w:tr w14:paraId="267E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single" w:color="000000" w:sz="8" w:space="0"/>
              <w:left w:val="nil"/>
              <w:bottom w:val="nil"/>
              <w:right w:val="nil"/>
            </w:tcBorders>
            <w:vAlign w:val="center"/>
          </w:tcPr>
          <w:p w14:paraId="5DF7BEC2">
            <w:pPr>
              <w:pStyle w:val="14"/>
              <w:widowControl/>
              <w:spacing w:after="0"/>
              <w:rPr>
                <w:rFonts w:eastAsia="宋体"/>
              </w:rPr>
            </w:pPr>
            <w:r>
              <w:rPr>
                <w:rFonts w:eastAsia="宋体"/>
              </w:rPr>
              <w:t>N</w:t>
            </w:r>
            <w:r>
              <w:rPr>
                <w:rFonts w:hint="eastAsia" w:eastAsia="宋体"/>
              </w:rPr>
              <w:t>o</w:t>
            </w:r>
            <w:r>
              <w:rPr>
                <w:rFonts w:eastAsia="宋体"/>
              </w:rPr>
              <w:t xml:space="preserve"> </w:t>
            </w:r>
            <w:r>
              <w:rPr>
                <w:rFonts w:hint="eastAsia" w:eastAsia="宋体"/>
              </w:rPr>
              <w:t>irritation</w:t>
            </w:r>
          </w:p>
        </w:tc>
        <w:tc>
          <w:tcPr>
            <w:tcW w:w="3619" w:type="dxa"/>
            <w:tcBorders>
              <w:top w:val="single" w:color="000000" w:sz="8" w:space="0"/>
              <w:left w:val="nil"/>
              <w:bottom w:val="nil"/>
              <w:right w:val="nil"/>
            </w:tcBorders>
            <w:vAlign w:val="center"/>
          </w:tcPr>
          <w:p w14:paraId="045E08A6">
            <w:pPr>
              <w:pStyle w:val="14"/>
              <w:widowControl/>
              <w:spacing w:after="0"/>
              <w:jc w:val="center"/>
              <w:rPr>
                <w:rFonts w:eastAsia="宋体"/>
              </w:rPr>
            </w:pPr>
            <w:r>
              <w:rPr>
                <w:rFonts w:eastAsia="宋体"/>
              </w:rPr>
              <w:t>0</w:t>
            </w:r>
            <w:r>
              <w:rPr>
                <w:rFonts w:hint="eastAsia" w:eastAsia="宋体"/>
              </w:rPr>
              <w:t>.0</w:t>
            </w:r>
          </w:p>
        </w:tc>
      </w:tr>
      <w:tr w14:paraId="3F60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nil"/>
              <w:left w:val="nil"/>
              <w:bottom w:val="nil"/>
              <w:right w:val="nil"/>
            </w:tcBorders>
            <w:vAlign w:val="center"/>
          </w:tcPr>
          <w:p w14:paraId="5CE3DEE3">
            <w:pPr>
              <w:pStyle w:val="14"/>
              <w:widowControl/>
              <w:spacing w:after="0"/>
              <w:rPr>
                <w:rFonts w:eastAsia="宋体"/>
              </w:rPr>
            </w:pPr>
            <w:r>
              <w:rPr>
                <w:rFonts w:eastAsia="宋体"/>
              </w:rPr>
              <w:t xml:space="preserve">Very slight </w:t>
            </w:r>
            <w:r>
              <w:rPr>
                <w:rFonts w:hint="eastAsia" w:eastAsia="宋体"/>
              </w:rPr>
              <w:t>irritation</w:t>
            </w:r>
          </w:p>
        </w:tc>
        <w:tc>
          <w:tcPr>
            <w:tcW w:w="3619" w:type="dxa"/>
            <w:tcBorders>
              <w:top w:val="nil"/>
              <w:left w:val="nil"/>
              <w:bottom w:val="nil"/>
              <w:right w:val="nil"/>
            </w:tcBorders>
            <w:vAlign w:val="center"/>
          </w:tcPr>
          <w:p w14:paraId="2CEA9B9C">
            <w:pPr>
              <w:pStyle w:val="14"/>
              <w:widowControl/>
              <w:spacing w:after="0"/>
              <w:jc w:val="center"/>
              <w:rPr>
                <w:rFonts w:eastAsia="宋体"/>
              </w:rPr>
            </w:pPr>
            <w:r>
              <w:rPr>
                <w:rFonts w:hint="eastAsia" w:eastAsia="宋体"/>
              </w:rPr>
              <w:t>0.</w:t>
            </w:r>
            <w:r>
              <w:rPr>
                <w:rFonts w:eastAsia="宋体"/>
              </w:rPr>
              <w:t>1</w:t>
            </w:r>
            <w:r>
              <w:rPr>
                <w:rFonts w:hint="eastAsia" w:eastAsia="宋体"/>
              </w:rPr>
              <w:t xml:space="preserve"> - 0.4</w:t>
            </w:r>
          </w:p>
        </w:tc>
      </w:tr>
      <w:tr w14:paraId="352B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nil"/>
              <w:left w:val="nil"/>
              <w:bottom w:val="nil"/>
              <w:right w:val="nil"/>
            </w:tcBorders>
            <w:vAlign w:val="center"/>
          </w:tcPr>
          <w:p w14:paraId="7160A81C">
            <w:pPr>
              <w:pStyle w:val="14"/>
              <w:widowControl/>
              <w:spacing w:after="0"/>
              <w:rPr>
                <w:rFonts w:eastAsia="宋体"/>
              </w:rPr>
            </w:pPr>
            <w:r>
              <w:rPr>
                <w:rFonts w:eastAsia="宋体"/>
              </w:rPr>
              <w:t>Slight</w:t>
            </w:r>
            <w:r>
              <w:rPr>
                <w:rFonts w:hint="eastAsia" w:eastAsia="宋体"/>
              </w:rPr>
              <w:t xml:space="preserve"> irritation</w:t>
            </w:r>
          </w:p>
        </w:tc>
        <w:tc>
          <w:tcPr>
            <w:tcW w:w="3619" w:type="dxa"/>
            <w:tcBorders>
              <w:top w:val="nil"/>
              <w:left w:val="nil"/>
              <w:bottom w:val="nil"/>
              <w:right w:val="nil"/>
            </w:tcBorders>
            <w:vAlign w:val="center"/>
          </w:tcPr>
          <w:p w14:paraId="241E3030">
            <w:pPr>
              <w:pStyle w:val="14"/>
              <w:widowControl/>
              <w:spacing w:after="0"/>
              <w:jc w:val="center"/>
              <w:rPr>
                <w:rFonts w:eastAsia="宋体"/>
              </w:rPr>
            </w:pPr>
            <w:r>
              <w:rPr>
                <w:rFonts w:hint="eastAsia" w:eastAsia="宋体"/>
              </w:rPr>
              <w:t>0.41 - 1.9</w:t>
            </w:r>
          </w:p>
        </w:tc>
      </w:tr>
      <w:tr w14:paraId="4058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nil"/>
              <w:left w:val="nil"/>
              <w:bottom w:val="nil"/>
              <w:right w:val="nil"/>
            </w:tcBorders>
            <w:vAlign w:val="center"/>
          </w:tcPr>
          <w:p w14:paraId="5AE3E0FD">
            <w:pPr>
              <w:pStyle w:val="14"/>
              <w:widowControl/>
              <w:spacing w:after="0"/>
              <w:rPr>
                <w:rFonts w:eastAsia="宋体"/>
              </w:rPr>
            </w:pPr>
            <w:r>
              <w:rPr>
                <w:rFonts w:eastAsia="宋体"/>
              </w:rPr>
              <w:t xml:space="preserve">Moderate </w:t>
            </w:r>
            <w:r>
              <w:rPr>
                <w:rFonts w:hint="eastAsia" w:eastAsia="宋体"/>
              </w:rPr>
              <w:t>irritation</w:t>
            </w:r>
          </w:p>
        </w:tc>
        <w:tc>
          <w:tcPr>
            <w:tcW w:w="3619" w:type="dxa"/>
            <w:tcBorders>
              <w:top w:val="nil"/>
              <w:left w:val="nil"/>
              <w:bottom w:val="nil"/>
              <w:right w:val="nil"/>
            </w:tcBorders>
            <w:vAlign w:val="center"/>
          </w:tcPr>
          <w:p w14:paraId="733B2DC9">
            <w:pPr>
              <w:pStyle w:val="14"/>
              <w:widowControl/>
              <w:spacing w:after="0"/>
              <w:jc w:val="center"/>
              <w:rPr>
                <w:rFonts w:eastAsia="宋体"/>
              </w:rPr>
            </w:pPr>
            <w:r>
              <w:rPr>
                <w:rFonts w:hint="eastAsia" w:eastAsia="宋体"/>
              </w:rPr>
              <w:t>2.0 - 4.9</w:t>
            </w:r>
          </w:p>
        </w:tc>
      </w:tr>
      <w:tr w14:paraId="4F2F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669" w:type="dxa"/>
            <w:tcBorders>
              <w:top w:val="nil"/>
              <w:left w:val="nil"/>
              <w:bottom w:val="single" w:color="000000" w:sz="8" w:space="0"/>
              <w:right w:val="nil"/>
            </w:tcBorders>
            <w:vAlign w:val="center"/>
          </w:tcPr>
          <w:p w14:paraId="1DC3CBFA">
            <w:pPr>
              <w:pStyle w:val="14"/>
              <w:widowControl/>
              <w:spacing w:after="0"/>
              <w:rPr>
                <w:rFonts w:hint="eastAsia" w:ascii="宋体" w:hAnsi="宋体" w:eastAsia="宋体" w:cs="宋体"/>
              </w:rPr>
            </w:pPr>
            <w:r>
              <w:rPr>
                <w:rFonts w:eastAsia="宋体"/>
              </w:rPr>
              <w:t xml:space="preserve">Severe </w:t>
            </w:r>
            <w:r>
              <w:rPr>
                <w:rFonts w:hint="eastAsia" w:eastAsia="宋体"/>
              </w:rPr>
              <w:t>irritation</w:t>
            </w:r>
          </w:p>
        </w:tc>
        <w:tc>
          <w:tcPr>
            <w:tcW w:w="3619" w:type="dxa"/>
            <w:tcBorders>
              <w:top w:val="nil"/>
              <w:left w:val="nil"/>
              <w:bottom w:val="single" w:color="000000" w:sz="8" w:space="0"/>
              <w:right w:val="nil"/>
            </w:tcBorders>
            <w:vAlign w:val="center"/>
          </w:tcPr>
          <w:p w14:paraId="7B74E984">
            <w:pPr>
              <w:pStyle w:val="14"/>
              <w:widowControl/>
              <w:spacing w:after="0"/>
              <w:jc w:val="center"/>
              <w:rPr>
                <w:rFonts w:eastAsia="宋体"/>
              </w:rPr>
            </w:pPr>
            <w:r>
              <w:rPr>
                <w:rFonts w:hint="eastAsia" w:eastAsia="宋体"/>
              </w:rPr>
              <w:t>5.0 - 8.0</w:t>
            </w:r>
          </w:p>
        </w:tc>
      </w:tr>
    </w:tbl>
    <w:p w14:paraId="6B64134A">
      <w:pPr>
        <w:pStyle w:val="14"/>
        <w:widowControl/>
        <w:spacing w:after="0"/>
        <w:jc w:val="center"/>
        <w:rPr>
          <w:rFonts w:eastAsia="宋体"/>
        </w:rPr>
      </w:pPr>
    </w:p>
    <w:p w14:paraId="7944FA8F">
      <w:pPr>
        <w:pStyle w:val="14"/>
        <w:widowControl/>
        <w:spacing w:after="0" w:line="360" w:lineRule="auto"/>
        <w:jc w:val="center"/>
        <w:rPr>
          <w:b/>
          <w:bCs/>
          <w:szCs w:val="28"/>
        </w:rPr>
      </w:pPr>
      <w:r>
        <w:rPr>
          <w:b/>
          <w:bCs/>
          <w:szCs w:val="28"/>
        </w:rPr>
        <w:t xml:space="preserve">Table </w:t>
      </w:r>
      <w:r>
        <w:rPr>
          <w:rFonts w:hint="eastAsia"/>
          <w:b/>
          <w:bCs/>
          <w:szCs w:val="28"/>
        </w:rPr>
        <w:t>5</w:t>
      </w:r>
      <w:r>
        <w:rPr>
          <w:b/>
          <w:bCs/>
          <w:szCs w:val="28"/>
        </w:rPr>
        <w:t>.</w:t>
      </w:r>
      <w:r>
        <w:rPr>
          <w:rFonts w:hint="eastAsia"/>
          <w:b/>
          <w:bCs/>
          <w:szCs w:val="28"/>
        </w:rPr>
        <w:t xml:space="preserve"> Irritation Test Results</w:t>
      </w:r>
    </w:p>
    <w:tbl>
      <w:tblPr>
        <w:tblStyle w:val="17"/>
        <w:tblW w:w="10657" w:type="dxa"/>
        <w:tblInd w:w="-1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13"/>
        <w:gridCol w:w="1188"/>
        <w:gridCol w:w="881"/>
        <w:gridCol w:w="1210"/>
        <w:gridCol w:w="881"/>
        <w:gridCol w:w="1167"/>
        <w:gridCol w:w="923"/>
        <w:gridCol w:w="1178"/>
        <w:gridCol w:w="1191"/>
      </w:tblGrid>
      <w:tr w14:paraId="5C10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125" w:type="dxa"/>
            <w:vMerge w:val="restart"/>
            <w:tcBorders>
              <w:top w:val="single" w:color="000000" w:sz="8" w:space="0"/>
              <w:left w:val="nil"/>
              <w:right w:val="nil"/>
            </w:tcBorders>
            <w:vAlign w:val="center"/>
          </w:tcPr>
          <w:p w14:paraId="664D49BE">
            <w:pPr>
              <w:pStyle w:val="14"/>
              <w:widowControl/>
              <w:spacing w:after="0"/>
              <w:jc w:val="center"/>
              <w:rPr>
                <w:rFonts w:hint="eastAsia" w:ascii="宋体" w:hAnsi="宋体" w:eastAsia="宋体" w:cs="宋体"/>
              </w:rPr>
            </w:pPr>
            <w:r>
              <w:rPr>
                <w:rFonts w:hint="eastAsia" w:eastAsia="宋体"/>
                <w:b/>
                <w:bCs/>
              </w:rPr>
              <w:t>Group</w:t>
            </w:r>
          </w:p>
        </w:tc>
        <w:tc>
          <w:tcPr>
            <w:tcW w:w="2101" w:type="dxa"/>
            <w:gridSpan w:val="2"/>
            <w:tcBorders>
              <w:top w:val="single" w:color="000000" w:sz="8" w:space="0"/>
              <w:left w:val="nil"/>
              <w:bottom w:val="single" w:color="000000" w:sz="8" w:space="0"/>
              <w:right w:val="nil"/>
            </w:tcBorders>
            <w:vAlign w:val="center"/>
          </w:tcPr>
          <w:p w14:paraId="3E12D95D">
            <w:pPr>
              <w:pStyle w:val="14"/>
              <w:widowControl/>
              <w:spacing w:after="0"/>
              <w:jc w:val="center"/>
              <w:rPr>
                <w:rFonts w:eastAsia="宋体"/>
                <w:b/>
                <w:bCs/>
                <w:sz w:val="22"/>
                <w:szCs w:val="22"/>
              </w:rPr>
            </w:pPr>
            <w:r>
              <w:rPr>
                <w:rFonts w:eastAsia="宋体"/>
                <w:b/>
                <w:bCs/>
              </w:rPr>
              <w:t>Day 1</w:t>
            </w:r>
          </w:p>
        </w:tc>
        <w:tc>
          <w:tcPr>
            <w:tcW w:w="2091" w:type="dxa"/>
            <w:gridSpan w:val="2"/>
            <w:tcBorders>
              <w:top w:val="single" w:color="000000" w:sz="8" w:space="0"/>
              <w:left w:val="nil"/>
              <w:bottom w:val="single" w:color="000000" w:sz="8" w:space="0"/>
              <w:right w:val="nil"/>
            </w:tcBorders>
            <w:vAlign w:val="center"/>
          </w:tcPr>
          <w:p w14:paraId="7429885E">
            <w:pPr>
              <w:pStyle w:val="14"/>
              <w:widowControl/>
              <w:spacing w:after="0"/>
              <w:jc w:val="center"/>
              <w:rPr>
                <w:rFonts w:eastAsia="宋体"/>
                <w:b/>
                <w:bCs/>
                <w:sz w:val="22"/>
                <w:szCs w:val="22"/>
              </w:rPr>
            </w:pPr>
            <w:r>
              <w:rPr>
                <w:rFonts w:eastAsia="宋体"/>
                <w:b/>
                <w:bCs/>
              </w:rPr>
              <w:t>Day 5</w:t>
            </w:r>
          </w:p>
        </w:tc>
        <w:tc>
          <w:tcPr>
            <w:tcW w:w="2048" w:type="dxa"/>
            <w:gridSpan w:val="2"/>
            <w:tcBorders>
              <w:top w:val="single" w:color="000000" w:sz="8" w:space="0"/>
              <w:left w:val="nil"/>
              <w:right w:val="nil"/>
            </w:tcBorders>
            <w:vAlign w:val="center"/>
          </w:tcPr>
          <w:p w14:paraId="78617834">
            <w:pPr>
              <w:pStyle w:val="14"/>
              <w:widowControl/>
              <w:spacing w:after="0"/>
              <w:jc w:val="center"/>
              <w:rPr>
                <w:rFonts w:eastAsia="宋体"/>
                <w:b/>
                <w:bCs/>
                <w:sz w:val="22"/>
                <w:szCs w:val="22"/>
              </w:rPr>
            </w:pPr>
            <w:r>
              <w:rPr>
                <w:rFonts w:eastAsia="宋体"/>
                <w:b/>
                <w:bCs/>
              </w:rPr>
              <w:t xml:space="preserve">Day </w:t>
            </w:r>
            <w:r>
              <w:rPr>
                <w:rFonts w:hint="eastAsia" w:eastAsia="宋体"/>
                <w:b/>
                <w:bCs/>
              </w:rPr>
              <w:t>10</w:t>
            </w:r>
          </w:p>
        </w:tc>
        <w:tc>
          <w:tcPr>
            <w:tcW w:w="2101" w:type="dxa"/>
            <w:gridSpan w:val="2"/>
            <w:tcBorders>
              <w:top w:val="single" w:color="000000" w:sz="8" w:space="0"/>
              <w:left w:val="nil"/>
              <w:right w:val="nil"/>
            </w:tcBorders>
            <w:vAlign w:val="center"/>
          </w:tcPr>
          <w:p w14:paraId="4E4D5F0C">
            <w:pPr>
              <w:pStyle w:val="14"/>
              <w:widowControl/>
              <w:spacing w:after="0"/>
              <w:jc w:val="center"/>
              <w:rPr>
                <w:rFonts w:eastAsia="宋体"/>
                <w:b/>
                <w:bCs/>
                <w:sz w:val="22"/>
                <w:szCs w:val="22"/>
              </w:rPr>
            </w:pPr>
            <w:r>
              <w:rPr>
                <w:rFonts w:eastAsia="宋体"/>
                <w:b/>
                <w:bCs/>
              </w:rPr>
              <w:t xml:space="preserve">Day </w:t>
            </w:r>
            <w:r>
              <w:rPr>
                <w:rFonts w:hint="eastAsia" w:eastAsia="宋体"/>
                <w:b/>
                <w:bCs/>
              </w:rPr>
              <w:t>15</w:t>
            </w:r>
          </w:p>
        </w:tc>
        <w:tc>
          <w:tcPr>
            <w:tcW w:w="1191" w:type="dxa"/>
            <w:vMerge w:val="restart"/>
            <w:tcBorders>
              <w:top w:val="single" w:color="000000" w:sz="8" w:space="0"/>
              <w:left w:val="nil"/>
              <w:right w:val="nil"/>
            </w:tcBorders>
            <w:vAlign w:val="center"/>
          </w:tcPr>
          <w:p w14:paraId="09442874">
            <w:pPr>
              <w:pStyle w:val="14"/>
              <w:widowControl/>
              <w:spacing w:after="0"/>
              <w:jc w:val="center"/>
              <w:rPr>
                <w:rFonts w:eastAsia="宋体"/>
                <w:b/>
                <w:bCs/>
              </w:rPr>
            </w:pPr>
            <w:r>
              <w:rPr>
                <w:rFonts w:hint="eastAsia" w:eastAsia="宋体"/>
                <w:b/>
                <w:bCs/>
              </w:rPr>
              <w:t>Irritant</w:t>
            </w:r>
          </w:p>
          <w:p w14:paraId="16D09C7F">
            <w:pPr>
              <w:pStyle w:val="14"/>
              <w:widowControl/>
              <w:spacing w:after="0"/>
              <w:jc w:val="center"/>
              <w:rPr>
                <w:rFonts w:eastAsia="宋体"/>
                <w:b/>
                <w:bCs/>
                <w:sz w:val="22"/>
                <w:szCs w:val="22"/>
              </w:rPr>
            </w:pPr>
            <w:r>
              <w:rPr>
                <w:rFonts w:hint="eastAsia" w:eastAsia="宋体"/>
                <w:b/>
                <w:bCs/>
              </w:rPr>
              <w:t>index</w:t>
            </w:r>
          </w:p>
        </w:tc>
      </w:tr>
      <w:tr w14:paraId="4C49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vMerge w:val="continue"/>
            <w:tcBorders>
              <w:left w:val="nil"/>
              <w:bottom w:val="single" w:color="000000" w:sz="8" w:space="0"/>
              <w:right w:val="nil"/>
            </w:tcBorders>
            <w:vAlign w:val="center"/>
          </w:tcPr>
          <w:p w14:paraId="7CBFBF91">
            <w:pPr>
              <w:pStyle w:val="14"/>
              <w:widowControl/>
              <w:spacing w:after="0"/>
              <w:jc w:val="center"/>
              <w:rPr>
                <w:rFonts w:eastAsia="宋体"/>
                <w:sz w:val="21"/>
                <w:szCs w:val="21"/>
              </w:rPr>
            </w:pPr>
          </w:p>
        </w:tc>
        <w:tc>
          <w:tcPr>
            <w:tcW w:w="913" w:type="dxa"/>
            <w:tcBorders>
              <w:top w:val="single" w:color="000000" w:sz="8" w:space="0"/>
              <w:left w:val="nil"/>
              <w:bottom w:val="single" w:color="000000" w:sz="8" w:space="0"/>
              <w:right w:val="nil"/>
            </w:tcBorders>
            <w:vAlign w:val="center"/>
          </w:tcPr>
          <w:p w14:paraId="63250CA5">
            <w:pPr>
              <w:pStyle w:val="14"/>
              <w:widowControl/>
              <w:spacing w:after="0"/>
              <w:jc w:val="center"/>
              <w:rPr>
                <w:rFonts w:eastAsia="宋体"/>
                <w:b/>
                <w:bCs/>
                <w:sz w:val="22"/>
                <w:szCs w:val="22"/>
              </w:rPr>
            </w:pPr>
            <w:r>
              <w:rPr>
                <w:rFonts w:hint="eastAsia" w:eastAsia="宋体"/>
                <w:b/>
                <w:bCs/>
                <w:sz w:val="22"/>
                <w:szCs w:val="22"/>
              </w:rPr>
              <w:t>Edema</w:t>
            </w:r>
          </w:p>
        </w:tc>
        <w:tc>
          <w:tcPr>
            <w:tcW w:w="1188" w:type="dxa"/>
            <w:tcBorders>
              <w:top w:val="single" w:color="000000" w:sz="8" w:space="0"/>
              <w:left w:val="nil"/>
              <w:bottom w:val="single" w:color="000000" w:sz="8" w:space="0"/>
              <w:right w:val="nil"/>
            </w:tcBorders>
            <w:vAlign w:val="center"/>
          </w:tcPr>
          <w:p w14:paraId="1F62F03B">
            <w:pPr>
              <w:pStyle w:val="14"/>
              <w:widowControl/>
              <w:spacing w:after="0"/>
              <w:jc w:val="center"/>
              <w:rPr>
                <w:rFonts w:eastAsia="宋体"/>
                <w:b/>
                <w:bCs/>
                <w:sz w:val="22"/>
                <w:szCs w:val="22"/>
              </w:rPr>
            </w:pPr>
            <w:r>
              <w:rPr>
                <w:rFonts w:hint="eastAsia" w:eastAsia="宋体"/>
                <w:b/>
                <w:bCs/>
                <w:sz w:val="22"/>
                <w:szCs w:val="22"/>
              </w:rPr>
              <w:t>Erythema</w:t>
            </w:r>
          </w:p>
        </w:tc>
        <w:tc>
          <w:tcPr>
            <w:tcW w:w="881" w:type="dxa"/>
            <w:tcBorders>
              <w:top w:val="single" w:color="000000" w:sz="8" w:space="0"/>
              <w:left w:val="nil"/>
              <w:bottom w:val="single" w:color="000000" w:sz="8" w:space="0"/>
              <w:right w:val="nil"/>
            </w:tcBorders>
            <w:vAlign w:val="center"/>
          </w:tcPr>
          <w:p w14:paraId="31A6DC8E">
            <w:pPr>
              <w:pStyle w:val="14"/>
              <w:widowControl/>
              <w:spacing w:after="0"/>
              <w:jc w:val="center"/>
              <w:rPr>
                <w:rFonts w:eastAsia="宋体"/>
                <w:b/>
                <w:bCs/>
                <w:kern w:val="0"/>
                <w:sz w:val="22"/>
                <w:szCs w:val="22"/>
                <w:lang w:bidi="ar"/>
              </w:rPr>
            </w:pPr>
            <w:r>
              <w:rPr>
                <w:rFonts w:hint="eastAsia" w:eastAsia="宋体"/>
                <w:b/>
                <w:bCs/>
                <w:sz w:val="22"/>
                <w:szCs w:val="22"/>
              </w:rPr>
              <w:t>Edema</w:t>
            </w:r>
          </w:p>
        </w:tc>
        <w:tc>
          <w:tcPr>
            <w:tcW w:w="1210" w:type="dxa"/>
            <w:tcBorders>
              <w:top w:val="single" w:color="000000" w:sz="8" w:space="0"/>
              <w:left w:val="nil"/>
              <w:bottom w:val="single" w:color="000000" w:sz="8" w:space="0"/>
              <w:right w:val="nil"/>
            </w:tcBorders>
            <w:vAlign w:val="center"/>
          </w:tcPr>
          <w:p w14:paraId="6967F43F">
            <w:pPr>
              <w:pStyle w:val="14"/>
              <w:widowControl/>
              <w:spacing w:after="0"/>
              <w:jc w:val="center"/>
              <w:rPr>
                <w:rFonts w:eastAsia="宋体"/>
                <w:b/>
                <w:bCs/>
                <w:kern w:val="0"/>
                <w:sz w:val="22"/>
                <w:szCs w:val="22"/>
                <w:lang w:bidi="ar"/>
              </w:rPr>
            </w:pPr>
            <w:r>
              <w:rPr>
                <w:rFonts w:hint="eastAsia" w:eastAsia="宋体"/>
                <w:b/>
                <w:bCs/>
                <w:sz w:val="22"/>
                <w:szCs w:val="22"/>
              </w:rPr>
              <w:t>Erythema</w:t>
            </w:r>
          </w:p>
        </w:tc>
        <w:tc>
          <w:tcPr>
            <w:tcW w:w="881" w:type="dxa"/>
            <w:tcBorders>
              <w:left w:val="nil"/>
              <w:right w:val="nil"/>
            </w:tcBorders>
            <w:vAlign w:val="center"/>
          </w:tcPr>
          <w:p w14:paraId="54120BB9">
            <w:pPr>
              <w:pStyle w:val="14"/>
              <w:widowControl/>
              <w:spacing w:after="0"/>
              <w:jc w:val="center"/>
              <w:rPr>
                <w:rFonts w:eastAsia="宋体"/>
                <w:b/>
                <w:bCs/>
                <w:kern w:val="0"/>
                <w:sz w:val="22"/>
                <w:szCs w:val="22"/>
                <w:lang w:bidi="ar"/>
              </w:rPr>
            </w:pPr>
            <w:r>
              <w:rPr>
                <w:rFonts w:hint="eastAsia" w:eastAsia="宋体"/>
                <w:b/>
                <w:bCs/>
                <w:sz w:val="22"/>
                <w:szCs w:val="22"/>
              </w:rPr>
              <w:t>Edema</w:t>
            </w:r>
          </w:p>
        </w:tc>
        <w:tc>
          <w:tcPr>
            <w:tcW w:w="1167" w:type="dxa"/>
            <w:tcBorders>
              <w:left w:val="nil"/>
              <w:right w:val="nil"/>
            </w:tcBorders>
            <w:vAlign w:val="center"/>
          </w:tcPr>
          <w:p w14:paraId="53589531">
            <w:pPr>
              <w:pStyle w:val="14"/>
              <w:widowControl/>
              <w:spacing w:after="0"/>
              <w:jc w:val="center"/>
              <w:rPr>
                <w:rFonts w:eastAsia="宋体"/>
                <w:b/>
                <w:bCs/>
                <w:sz w:val="22"/>
                <w:szCs w:val="22"/>
              </w:rPr>
            </w:pPr>
            <w:r>
              <w:rPr>
                <w:rFonts w:hint="eastAsia" w:eastAsia="宋体"/>
                <w:b/>
                <w:bCs/>
                <w:sz w:val="22"/>
                <w:szCs w:val="22"/>
              </w:rPr>
              <w:t>Erythema</w:t>
            </w:r>
          </w:p>
        </w:tc>
        <w:tc>
          <w:tcPr>
            <w:tcW w:w="923" w:type="dxa"/>
            <w:tcBorders>
              <w:left w:val="nil"/>
              <w:right w:val="nil"/>
            </w:tcBorders>
            <w:vAlign w:val="center"/>
          </w:tcPr>
          <w:p w14:paraId="0860629A">
            <w:pPr>
              <w:pStyle w:val="14"/>
              <w:widowControl/>
              <w:spacing w:after="0"/>
              <w:jc w:val="center"/>
              <w:rPr>
                <w:rFonts w:eastAsia="宋体"/>
                <w:b/>
                <w:bCs/>
                <w:kern w:val="0"/>
                <w:sz w:val="22"/>
                <w:szCs w:val="22"/>
                <w:lang w:bidi="ar"/>
              </w:rPr>
            </w:pPr>
            <w:r>
              <w:rPr>
                <w:rFonts w:hint="eastAsia" w:eastAsia="宋体"/>
                <w:b/>
                <w:bCs/>
                <w:sz w:val="22"/>
                <w:szCs w:val="22"/>
              </w:rPr>
              <w:t>Edema</w:t>
            </w:r>
          </w:p>
        </w:tc>
        <w:tc>
          <w:tcPr>
            <w:tcW w:w="1178" w:type="dxa"/>
            <w:tcBorders>
              <w:left w:val="nil"/>
              <w:right w:val="nil"/>
            </w:tcBorders>
            <w:vAlign w:val="center"/>
          </w:tcPr>
          <w:p w14:paraId="74B373B3">
            <w:pPr>
              <w:pStyle w:val="14"/>
              <w:widowControl/>
              <w:spacing w:after="0"/>
              <w:jc w:val="center"/>
              <w:rPr>
                <w:rFonts w:eastAsia="宋体"/>
                <w:b/>
                <w:bCs/>
                <w:kern w:val="0"/>
                <w:sz w:val="22"/>
                <w:szCs w:val="22"/>
                <w:lang w:bidi="ar"/>
              </w:rPr>
            </w:pPr>
            <w:r>
              <w:rPr>
                <w:rFonts w:hint="eastAsia" w:eastAsia="宋体"/>
                <w:b/>
                <w:bCs/>
                <w:sz w:val="22"/>
                <w:szCs w:val="22"/>
              </w:rPr>
              <w:t>Erythema</w:t>
            </w:r>
          </w:p>
        </w:tc>
        <w:tc>
          <w:tcPr>
            <w:tcW w:w="1191" w:type="dxa"/>
            <w:vMerge w:val="continue"/>
            <w:tcBorders>
              <w:left w:val="nil"/>
              <w:right w:val="nil"/>
            </w:tcBorders>
            <w:vAlign w:val="center"/>
          </w:tcPr>
          <w:p w14:paraId="236A9E5A">
            <w:pPr>
              <w:pStyle w:val="14"/>
              <w:widowControl/>
              <w:spacing w:after="0"/>
              <w:jc w:val="center"/>
              <w:rPr>
                <w:rFonts w:eastAsia="宋体"/>
                <w:sz w:val="21"/>
                <w:szCs w:val="21"/>
              </w:rPr>
            </w:pPr>
          </w:p>
        </w:tc>
      </w:tr>
      <w:tr w14:paraId="6FAB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tcBorders>
              <w:top w:val="single" w:color="000000" w:sz="8" w:space="0"/>
              <w:left w:val="nil"/>
              <w:bottom w:val="nil"/>
              <w:right w:val="nil"/>
            </w:tcBorders>
            <w:vAlign w:val="center"/>
          </w:tcPr>
          <w:p w14:paraId="4290B3ED">
            <w:pPr>
              <w:pStyle w:val="14"/>
              <w:widowControl/>
              <w:spacing w:after="0"/>
              <w:jc w:val="center"/>
              <w:rPr>
                <w:rFonts w:eastAsia="宋体"/>
                <w:sz w:val="21"/>
                <w:szCs w:val="21"/>
              </w:rPr>
            </w:pPr>
            <w:r>
              <w:rPr>
                <w:rFonts w:hint="eastAsia" w:eastAsia="宋体"/>
                <w:sz w:val="21"/>
                <w:szCs w:val="21"/>
              </w:rPr>
              <w:t>PBS-1</w:t>
            </w:r>
          </w:p>
        </w:tc>
        <w:tc>
          <w:tcPr>
            <w:tcW w:w="913" w:type="dxa"/>
            <w:tcBorders>
              <w:top w:val="single" w:color="000000" w:sz="8" w:space="0"/>
              <w:left w:val="nil"/>
              <w:bottom w:val="nil"/>
              <w:right w:val="nil"/>
            </w:tcBorders>
            <w:vAlign w:val="center"/>
          </w:tcPr>
          <w:p w14:paraId="445365B0">
            <w:pPr>
              <w:pStyle w:val="14"/>
              <w:widowControl/>
              <w:spacing w:after="0"/>
              <w:jc w:val="center"/>
              <w:rPr>
                <w:rFonts w:eastAsia="宋体"/>
              </w:rPr>
            </w:pPr>
            <w:r>
              <w:rPr>
                <w:rFonts w:hint="eastAsia" w:eastAsia="宋体"/>
              </w:rPr>
              <w:t>0</w:t>
            </w:r>
          </w:p>
        </w:tc>
        <w:tc>
          <w:tcPr>
            <w:tcW w:w="1188" w:type="dxa"/>
            <w:tcBorders>
              <w:top w:val="single" w:color="000000" w:sz="8" w:space="0"/>
              <w:left w:val="nil"/>
              <w:bottom w:val="nil"/>
              <w:right w:val="nil"/>
            </w:tcBorders>
            <w:vAlign w:val="center"/>
          </w:tcPr>
          <w:p w14:paraId="4E70DB91">
            <w:pPr>
              <w:pStyle w:val="14"/>
              <w:widowControl/>
              <w:spacing w:after="0"/>
              <w:jc w:val="center"/>
              <w:rPr>
                <w:rFonts w:eastAsia="宋体"/>
              </w:rPr>
            </w:pPr>
            <w:r>
              <w:rPr>
                <w:rFonts w:hint="eastAsia" w:eastAsia="宋体"/>
              </w:rPr>
              <w:t>0</w:t>
            </w:r>
          </w:p>
        </w:tc>
        <w:tc>
          <w:tcPr>
            <w:tcW w:w="881" w:type="dxa"/>
            <w:tcBorders>
              <w:top w:val="single" w:color="000000" w:sz="8" w:space="0"/>
              <w:left w:val="nil"/>
              <w:bottom w:val="nil"/>
              <w:right w:val="nil"/>
            </w:tcBorders>
            <w:vAlign w:val="center"/>
          </w:tcPr>
          <w:p w14:paraId="5AA42037">
            <w:pPr>
              <w:pStyle w:val="14"/>
              <w:widowControl/>
              <w:spacing w:after="0"/>
              <w:jc w:val="center"/>
              <w:rPr>
                <w:rFonts w:eastAsia="宋体"/>
                <w:kern w:val="0"/>
                <w:lang w:bidi="ar"/>
              </w:rPr>
            </w:pPr>
            <w:r>
              <w:rPr>
                <w:rFonts w:hint="eastAsia" w:eastAsia="宋体"/>
              </w:rPr>
              <w:t>0</w:t>
            </w:r>
          </w:p>
        </w:tc>
        <w:tc>
          <w:tcPr>
            <w:tcW w:w="1210" w:type="dxa"/>
            <w:tcBorders>
              <w:top w:val="single" w:color="000000" w:sz="8" w:space="0"/>
              <w:left w:val="nil"/>
              <w:bottom w:val="nil"/>
              <w:right w:val="nil"/>
            </w:tcBorders>
            <w:vAlign w:val="center"/>
          </w:tcPr>
          <w:p w14:paraId="6574D650">
            <w:pPr>
              <w:pStyle w:val="14"/>
              <w:widowControl/>
              <w:spacing w:after="0"/>
              <w:jc w:val="center"/>
              <w:rPr>
                <w:rFonts w:eastAsia="宋体"/>
                <w:kern w:val="0"/>
                <w:lang w:bidi="ar"/>
              </w:rPr>
            </w:pPr>
            <w:r>
              <w:rPr>
                <w:rFonts w:hint="eastAsia" w:eastAsia="宋体"/>
              </w:rPr>
              <w:t>0</w:t>
            </w:r>
          </w:p>
        </w:tc>
        <w:tc>
          <w:tcPr>
            <w:tcW w:w="881" w:type="dxa"/>
            <w:tcBorders>
              <w:top w:val="nil"/>
              <w:left w:val="nil"/>
              <w:bottom w:val="nil"/>
              <w:right w:val="nil"/>
            </w:tcBorders>
            <w:vAlign w:val="center"/>
          </w:tcPr>
          <w:p w14:paraId="4E4EB053">
            <w:pPr>
              <w:pStyle w:val="14"/>
              <w:widowControl/>
              <w:spacing w:after="0"/>
              <w:jc w:val="center"/>
              <w:rPr>
                <w:rFonts w:eastAsia="宋体"/>
                <w:kern w:val="0"/>
                <w:lang w:bidi="ar"/>
              </w:rPr>
            </w:pPr>
            <w:r>
              <w:rPr>
                <w:rFonts w:hint="eastAsia" w:eastAsia="宋体"/>
              </w:rPr>
              <w:t>0</w:t>
            </w:r>
          </w:p>
        </w:tc>
        <w:tc>
          <w:tcPr>
            <w:tcW w:w="1167" w:type="dxa"/>
            <w:tcBorders>
              <w:top w:val="nil"/>
              <w:left w:val="nil"/>
              <w:bottom w:val="nil"/>
              <w:right w:val="nil"/>
            </w:tcBorders>
            <w:vAlign w:val="center"/>
          </w:tcPr>
          <w:p w14:paraId="3BCF4442">
            <w:pPr>
              <w:pStyle w:val="14"/>
              <w:widowControl/>
              <w:spacing w:after="0"/>
              <w:jc w:val="center"/>
              <w:rPr>
                <w:rFonts w:eastAsia="宋体"/>
                <w:kern w:val="0"/>
                <w:lang w:bidi="ar"/>
              </w:rPr>
            </w:pPr>
            <w:r>
              <w:rPr>
                <w:rFonts w:hint="eastAsia" w:eastAsia="宋体"/>
              </w:rPr>
              <w:t>0</w:t>
            </w:r>
          </w:p>
        </w:tc>
        <w:tc>
          <w:tcPr>
            <w:tcW w:w="923" w:type="dxa"/>
            <w:tcBorders>
              <w:top w:val="nil"/>
              <w:left w:val="nil"/>
              <w:bottom w:val="nil"/>
              <w:right w:val="nil"/>
            </w:tcBorders>
            <w:vAlign w:val="center"/>
          </w:tcPr>
          <w:p w14:paraId="197A653B">
            <w:pPr>
              <w:pStyle w:val="14"/>
              <w:widowControl/>
              <w:spacing w:after="0"/>
              <w:jc w:val="center"/>
              <w:rPr>
                <w:rFonts w:eastAsia="宋体"/>
                <w:kern w:val="0"/>
                <w:lang w:bidi="ar"/>
              </w:rPr>
            </w:pPr>
            <w:r>
              <w:rPr>
                <w:rFonts w:hint="eastAsia" w:eastAsia="宋体"/>
              </w:rPr>
              <w:t>0</w:t>
            </w:r>
          </w:p>
        </w:tc>
        <w:tc>
          <w:tcPr>
            <w:tcW w:w="1178" w:type="dxa"/>
            <w:tcBorders>
              <w:top w:val="nil"/>
              <w:left w:val="nil"/>
              <w:bottom w:val="nil"/>
              <w:right w:val="nil"/>
            </w:tcBorders>
            <w:vAlign w:val="center"/>
          </w:tcPr>
          <w:p w14:paraId="078A4654">
            <w:pPr>
              <w:pStyle w:val="14"/>
              <w:widowControl/>
              <w:spacing w:after="0"/>
              <w:jc w:val="center"/>
              <w:rPr>
                <w:rFonts w:eastAsia="宋体"/>
                <w:kern w:val="0"/>
                <w:lang w:bidi="ar"/>
              </w:rPr>
            </w:pPr>
            <w:r>
              <w:rPr>
                <w:rFonts w:hint="eastAsia" w:eastAsia="宋体"/>
              </w:rPr>
              <w:t>0</w:t>
            </w:r>
          </w:p>
        </w:tc>
        <w:tc>
          <w:tcPr>
            <w:tcW w:w="1191" w:type="dxa"/>
            <w:tcBorders>
              <w:top w:val="nil"/>
              <w:left w:val="nil"/>
              <w:bottom w:val="nil"/>
              <w:right w:val="nil"/>
            </w:tcBorders>
            <w:vAlign w:val="center"/>
          </w:tcPr>
          <w:p w14:paraId="5EB8B957">
            <w:pPr>
              <w:pStyle w:val="14"/>
              <w:widowControl/>
              <w:spacing w:after="0"/>
              <w:jc w:val="center"/>
              <w:rPr>
                <w:rFonts w:eastAsia="宋体"/>
              </w:rPr>
            </w:pPr>
            <w:r>
              <w:rPr>
                <w:rFonts w:hint="eastAsia" w:eastAsia="宋体"/>
              </w:rPr>
              <w:t>0</w:t>
            </w:r>
          </w:p>
        </w:tc>
      </w:tr>
      <w:tr w14:paraId="38B7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tcBorders>
              <w:top w:val="nil"/>
              <w:left w:val="nil"/>
              <w:bottom w:val="nil"/>
              <w:right w:val="nil"/>
            </w:tcBorders>
            <w:vAlign w:val="center"/>
          </w:tcPr>
          <w:p w14:paraId="1228FB57">
            <w:pPr>
              <w:pStyle w:val="14"/>
              <w:widowControl/>
              <w:spacing w:after="0"/>
              <w:jc w:val="center"/>
              <w:rPr>
                <w:rFonts w:eastAsia="宋体"/>
                <w:kern w:val="0"/>
                <w:sz w:val="21"/>
                <w:szCs w:val="21"/>
                <w:lang w:bidi="ar"/>
              </w:rPr>
            </w:pPr>
            <w:r>
              <w:rPr>
                <w:rFonts w:hint="eastAsia" w:eastAsia="宋体"/>
                <w:sz w:val="21"/>
                <w:szCs w:val="21"/>
              </w:rPr>
              <w:t>PBS-2</w:t>
            </w:r>
          </w:p>
        </w:tc>
        <w:tc>
          <w:tcPr>
            <w:tcW w:w="913" w:type="dxa"/>
            <w:tcBorders>
              <w:top w:val="nil"/>
              <w:left w:val="nil"/>
              <w:bottom w:val="nil"/>
              <w:right w:val="nil"/>
            </w:tcBorders>
            <w:vAlign w:val="center"/>
          </w:tcPr>
          <w:p w14:paraId="493EE749">
            <w:pPr>
              <w:pStyle w:val="14"/>
              <w:widowControl/>
              <w:spacing w:after="0"/>
              <w:jc w:val="center"/>
              <w:rPr>
                <w:rFonts w:eastAsia="宋体"/>
              </w:rPr>
            </w:pPr>
            <w:r>
              <w:rPr>
                <w:rFonts w:hint="eastAsia" w:eastAsia="宋体"/>
              </w:rPr>
              <w:t>0</w:t>
            </w:r>
          </w:p>
        </w:tc>
        <w:tc>
          <w:tcPr>
            <w:tcW w:w="1188" w:type="dxa"/>
            <w:tcBorders>
              <w:top w:val="nil"/>
              <w:left w:val="nil"/>
              <w:bottom w:val="nil"/>
              <w:right w:val="nil"/>
            </w:tcBorders>
            <w:vAlign w:val="center"/>
          </w:tcPr>
          <w:p w14:paraId="0D3BBB95">
            <w:pPr>
              <w:pStyle w:val="14"/>
              <w:widowControl/>
              <w:spacing w:after="0"/>
              <w:jc w:val="center"/>
              <w:rPr>
                <w:rFonts w:eastAsia="宋体"/>
              </w:rPr>
            </w:pPr>
            <w:r>
              <w:rPr>
                <w:rFonts w:hint="eastAsia" w:eastAsia="宋体"/>
              </w:rPr>
              <w:t>0</w:t>
            </w:r>
          </w:p>
        </w:tc>
        <w:tc>
          <w:tcPr>
            <w:tcW w:w="881" w:type="dxa"/>
            <w:tcBorders>
              <w:top w:val="nil"/>
              <w:left w:val="nil"/>
              <w:bottom w:val="nil"/>
              <w:right w:val="nil"/>
            </w:tcBorders>
            <w:vAlign w:val="center"/>
          </w:tcPr>
          <w:p w14:paraId="4797F15C">
            <w:pPr>
              <w:pStyle w:val="14"/>
              <w:widowControl/>
              <w:spacing w:after="0"/>
              <w:jc w:val="center"/>
              <w:rPr>
                <w:rFonts w:eastAsia="宋体"/>
                <w:kern w:val="0"/>
                <w:lang w:bidi="ar"/>
              </w:rPr>
            </w:pPr>
            <w:r>
              <w:rPr>
                <w:rFonts w:hint="eastAsia" w:eastAsia="宋体"/>
              </w:rPr>
              <w:t>0</w:t>
            </w:r>
          </w:p>
        </w:tc>
        <w:tc>
          <w:tcPr>
            <w:tcW w:w="1210" w:type="dxa"/>
            <w:tcBorders>
              <w:top w:val="nil"/>
              <w:left w:val="nil"/>
              <w:bottom w:val="nil"/>
              <w:right w:val="nil"/>
            </w:tcBorders>
            <w:vAlign w:val="center"/>
          </w:tcPr>
          <w:p w14:paraId="2B133309">
            <w:pPr>
              <w:pStyle w:val="14"/>
              <w:widowControl/>
              <w:spacing w:after="0"/>
              <w:jc w:val="center"/>
              <w:rPr>
                <w:rFonts w:eastAsia="宋体"/>
                <w:kern w:val="0"/>
                <w:lang w:bidi="ar"/>
              </w:rPr>
            </w:pPr>
            <w:r>
              <w:rPr>
                <w:rFonts w:hint="eastAsia" w:eastAsia="宋体"/>
              </w:rPr>
              <w:t>0</w:t>
            </w:r>
          </w:p>
        </w:tc>
        <w:tc>
          <w:tcPr>
            <w:tcW w:w="881" w:type="dxa"/>
            <w:tcBorders>
              <w:top w:val="nil"/>
              <w:left w:val="nil"/>
              <w:bottom w:val="nil"/>
              <w:right w:val="nil"/>
            </w:tcBorders>
            <w:vAlign w:val="center"/>
          </w:tcPr>
          <w:p w14:paraId="1A99A73B">
            <w:pPr>
              <w:pStyle w:val="14"/>
              <w:widowControl/>
              <w:spacing w:after="0"/>
              <w:jc w:val="center"/>
              <w:rPr>
                <w:rFonts w:eastAsia="宋体"/>
                <w:kern w:val="0"/>
                <w:lang w:bidi="ar"/>
              </w:rPr>
            </w:pPr>
            <w:r>
              <w:rPr>
                <w:rFonts w:hint="eastAsia" w:eastAsia="宋体"/>
              </w:rPr>
              <w:t>0</w:t>
            </w:r>
          </w:p>
        </w:tc>
        <w:tc>
          <w:tcPr>
            <w:tcW w:w="1167" w:type="dxa"/>
            <w:tcBorders>
              <w:top w:val="nil"/>
              <w:left w:val="nil"/>
              <w:bottom w:val="nil"/>
              <w:right w:val="nil"/>
            </w:tcBorders>
            <w:vAlign w:val="center"/>
          </w:tcPr>
          <w:p w14:paraId="13B13670">
            <w:pPr>
              <w:pStyle w:val="14"/>
              <w:widowControl/>
              <w:spacing w:after="0"/>
              <w:jc w:val="center"/>
              <w:rPr>
                <w:rFonts w:eastAsia="宋体"/>
                <w:kern w:val="0"/>
                <w:lang w:bidi="ar"/>
              </w:rPr>
            </w:pPr>
            <w:r>
              <w:rPr>
                <w:rFonts w:hint="eastAsia" w:eastAsia="宋体"/>
              </w:rPr>
              <w:t>0</w:t>
            </w:r>
          </w:p>
        </w:tc>
        <w:tc>
          <w:tcPr>
            <w:tcW w:w="923" w:type="dxa"/>
            <w:tcBorders>
              <w:top w:val="nil"/>
              <w:left w:val="nil"/>
              <w:bottom w:val="nil"/>
              <w:right w:val="nil"/>
            </w:tcBorders>
            <w:vAlign w:val="center"/>
          </w:tcPr>
          <w:p w14:paraId="10821C6A">
            <w:pPr>
              <w:pStyle w:val="14"/>
              <w:widowControl/>
              <w:spacing w:after="0"/>
              <w:jc w:val="center"/>
              <w:rPr>
                <w:rFonts w:eastAsia="宋体"/>
                <w:kern w:val="0"/>
                <w:lang w:bidi="ar"/>
              </w:rPr>
            </w:pPr>
            <w:r>
              <w:rPr>
                <w:rFonts w:hint="eastAsia" w:eastAsia="宋体"/>
              </w:rPr>
              <w:t>0</w:t>
            </w:r>
          </w:p>
        </w:tc>
        <w:tc>
          <w:tcPr>
            <w:tcW w:w="1178" w:type="dxa"/>
            <w:tcBorders>
              <w:top w:val="nil"/>
              <w:left w:val="nil"/>
              <w:bottom w:val="nil"/>
              <w:right w:val="nil"/>
            </w:tcBorders>
            <w:vAlign w:val="center"/>
          </w:tcPr>
          <w:p w14:paraId="6A88CB0C">
            <w:pPr>
              <w:pStyle w:val="14"/>
              <w:widowControl/>
              <w:spacing w:after="0"/>
              <w:jc w:val="center"/>
              <w:rPr>
                <w:rFonts w:eastAsia="宋体"/>
                <w:kern w:val="0"/>
                <w:lang w:bidi="ar"/>
              </w:rPr>
            </w:pPr>
            <w:r>
              <w:rPr>
                <w:rFonts w:hint="eastAsia" w:eastAsia="宋体"/>
              </w:rPr>
              <w:t>0</w:t>
            </w:r>
          </w:p>
        </w:tc>
        <w:tc>
          <w:tcPr>
            <w:tcW w:w="1191" w:type="dxa"/>
            <w:tcBorders>
              <w:top w:val="nil"/>
              <w:left w:val="nil"/>
              <w:bottom w:val="nil"/>
              <w:right w:val="nil"/>
            </w:tcBorders>
            <w:vAlign w:val="center"/>
          </w:tcPr>
          <w:p w14:paraId="1CE28293">
            <w:pPr>
              <w:pStyle w:val="14"/>
              <w:widowControl/>
              <w:spacing w:after="0"/>
              <w:jc w:val="center"/>
              <w:rPr>
                <w:rFonts w:eastAsia="宋体"/>
              </w:rPr>
            </w:pPr>
            <w:r>
              <w:rPr>
                <w:rFonts w:hint="eastAsia" w:eastAsia="宋体"/>
              </w:rPr>
              <w:t>0</w:t>
            </w:r>
          </w:p>
        </w:tc>
      </w:tr>
      <w:tr w14:paraId="329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tcBorders>
              <w:top w:val="nil"/>
              <w:left w:val="nil"/>
              <w:bottom w:val="nil"/>
              <w:right w:val="nil"/>
            </w:tcBorders>
            <w:vAlign w:val="center"/>
          </w:tcPr>
          <w:p w14:paraId="042BCE10">
            <w:pPr>
              <w:pStyle w:val="14"/>
              <w:widowControl/>
              <w:spacing w:after="0"/>
              <w:jc w:val="center"/>
              <w:rPr>
                <w:rFonts w:eastAsia="宋体"/>
                <w:kern w:val="0"/>
                <w:sz w:val="21"/>
                <w:szCs w:val="21"/>
                <w:lang w:bidi="ar"/>
              </w:rPr>
            </w:pPr>
            <w:r>
              <w:rPr>
                <w:rFonts w:hint="eastAsia" w:eastAsia="宋体"/>
                <w:sz w:val="21"/>
                <w:szCs w:val="21"/>
              </w:rPr>
              <w:t>PBS-3</w:t>
            </w:r>
          </w:p>
        </w:tc>
        <w:tc>
          <w:tcPr>
            <w:tcW w:w="913" w:type="dxa"/>
            <w:tcBorders>
              <w:top w:val="nil"/>
              <w:left w:val="nil"/>
              <w:bottom w:val="nil"/>
              <w:right w:val="nil"/>
            </w:tcBorders>
            <w:vAlign w:val="center"/>
          </w:tcPr>
          <w:p w14:paraId="1F8CDD15">
            <w:pPr>
              <w:pStyle w:val="14"/>
              <w:widowControl/>
              <w:spacing w:after="0"/>
              <w:jc w:val="center"/>
              <w:rPr>
                <w:rFonts w:eastAsia="宋体"/>
              </w:rPr>
            </w:pPr>
            <w:r>
              <w:rPr>
                <w:rFonts w:hint="eastAsia" w:eastAsia="宋体"/>
              </w:rPr>
              <w:t>0</w:t>
            </w:r>
          </w:p>
        </w:tc>
        <w:tc>
          <w:tcPr>
            <w:tcW w:w="1188" w:type="dxa"/>
            <w:tcBorders>
              <w:top w:val="nil"/>
              <w:left w:val="nil"/>
              <w:bottom w:val="nil"/>
              <w:right w:val="nil"/>
            </w:tcBorders>
            <w:vAlign w:val="center"/>
          </w:tcPr>
          <w:p w14:paraId="7A0A3AFA">
            <w:pPr>
              <w:pStyle w:val="14"/>
              <w:widowControl/>
              <w:spacing w:after="0"/>
              <w:jc w:val="center"/>
              <w:rPr>
                <w:rFonts w:eastAsia="宋体"/>
              </w:rPr>
            </w:pPr>
            <w:r>
              <w:rPr>
                <w:rFonts w:hint="eastAsia" w:eastAsia="宋体"/>
              </w:rPr>
              <w:t>0</w:t>
            </w:r>
          </w:p>
        </w:tc>
        <w:tc>
          <w:tcPr>
            <w:tcW w:w="881" w:type="dxa"/>
            <w:tcBorders>
              <w:top w:val="nil"/>
              <w:left w:val="nil"/>
              <w:bottom w:val="nil"/>
              <w:right w:val="nil"/>
            </w:tcBorders>
            <w:vAlign w:val="center"/>
          </w:tcPr>
          <w:p w14:paraId="75858C8B">
            <w:pPr>
              <w:pStyle w:val="14"/>
              <w:widowControl/>
              <w:spacing w:after="0"/>
              <w:jc w:val="center"/>
              <w:rPr>
                <w:rFonts w:eastAsia="宋体"/>
                <w:kern w:val="0"/>
                <w:lang w:bidi="ar"/>
              </w:rPr>
            </w:pPr>
            <w:r>
              <w:rPr>
                <w:rFonts w:hint="eastAsia" w:eastAsia="宋体"/>
              </w:rPr>
              <w:t>0</w:t>
            </w:r>
          </w:p>
        </w:tc>
        <w:tc>
          <w:tcPr>
            <w:tcW w:w="1210" w:type="dxa"/>
            <w:tcBorders>
              <w:top w:val="nil"/>
              <w:left w:val="nil"/>
              <w:bottom w:val="nil"/>
              <w:right w:val="nil"/>
            </w:tcBorders>
            <w:vAlign w:val="center"/>
          </w:tcPr>
          <w:p w14:paraId="1F6D96ED">
            <w:pPr>
              <w:pStyle w:val="14"/>
              <w:widowControl/>
              <w:spacing w:after="0"/>
              <w:jc w:val="center"/>
              <w:rPr>
                <w:rFonts w:eastAsia="宋体"/>
                <w:kern w:val="0"/>
                <w:lang w:bidi="ar"/>
              </w:rPr>
            </w:pPr>
            <w:r>
              <w:rPr>
                <w:rFonts w:hint="eastAsia" w:eastAsia="宋体"/>
              </w:rPr>
              <w:t>0</w:t>
            </w:r>
          </w:p>
        </w:tc>
        <w:tc>
          <w:tcPr>
            <w:tcW w:w="881" w:type="dxa"/>
            <w:tcBorders>
              <w:top w:val="nil"/>
              <w:left w:val="nil"/>
              <w:bottom w:val="nil"/>
              <w:right w:val="nil"/>
            </w:tcBorders>
            <w:vAlign w:val="center"/>
          </w:tcPr>
          <w:p w14:paraId="4A43C143">
            <w:pPr>
              <w:pStyle w:val="14"/>
              <w:widowControl/>
              <w:spacing w:after="0"/>
              <w:jc w:val="center"/>
              <w:rPr>
                <w:rFonts w:eastAsia="宋体"/>
                <w:kern w:val="0"/>
                <w:lang w:bidi="ar"/>
              </w:rPr>
            </w:pPr>
            <w:r>
              <w:rPr>
                <w:rFonts w:hint="eastAsia" w:eastAsia="宋体"/>
              </w:rPr>
              <w:t>0</w:t>
            </w:r>
          </w:p>
        </w:tc>
        <w:tc>
          <w:tcPr>
            <w:tcW w:w="1167" w:type="dxa"/>
            <w:tcBorders>
              <w:top w:val="nil"/>
              <w:left w:val="nil"/>
              <w:bottom w:val="nil"/>
              <w:right w:val="nil"/>
            </w:tcBorders>
            <w:vAlign w:val="center"/>
          </w:tcPr>
          <w:p w14:paraId="245A05E7">
            <w:pPr>
              <w:pStyle w:val="14"/>
              <w:widowControl/>
              <w:spacing w:after="0"/>
              <w:jc w:val="center"/>
              <w:rPr>
                <w:rFonts w:eastAsia="宋体"/>
                <w:kern w:val="0"/>
                <w:lang w:bidi="ar"/>
              </w:rPr>
            </w:pPr>
            <w:r>
              <w:rPr>
                <w:rFonts w:hint="eastAsia" w:eastAsia="宋体"/>
              </w:rPr>
              <w:t>0</w:t>
            </w:r>
          </w:p>
        </w:tc>
        <w:tc>
          <w:tcPr>
            <w:tcW w:w="923" w:type="dxa"/>
            <w:tcBorders>
              <w:top w:val="nil"/>
              <w:left w:val="nil"/>
              <w:bottom w:val="nil"/>
              <w:right w:val="nil"/>
            </w:tcBorders>
            <w:vAlign w:val="center"/>
          </w:tcPr>
          <w:p w14:paraId="2CA12B3D">
            <w:pPr>
              <w:pStyle w:val="14"/>
              <w:widowControl/>
              <w:spacing w:after="0"/>
              <w:jc w:val="center"/>
              <w:rPr>
                <w:rFonts w:eastAsia="宋体"/>
                <w:kern w:val="0"/>
                <w:lang w:bidi="ar"/>
              </w:rPr>
            </w:pPr>
            <w:r>
              <w:rPr>
                <w:rFonts w:hint="eastAsia" w:eastAsia="宋体"/>
              </w:rPr>
              <w:t>0</w:t>
            </w:r>
          </w:p>
        </w:tc>
        <w:tc>
          <w:tcPr>
            <w:tcW w:w="1178" w:type="dxa"/>
            <w:tcBorders>
              <w:top w:val="nil"/>
              <w:left w:val="nil"/>
              <w:bottom w:val="nil"/>
              <w:right w:val="nil"/>
            </w:tcBorders>
            <w:vAlign w:val="center"/>
          </w:tcPr>
          <w:p w14:paraId="3E047F1A">
            <w:pPr>
              <w:pStyle w:val="14"/>
              <w:widowControl/>
              <w:spacing w:after="0"/>
              <w:jc w:val="center"/>
              <w:rPr>
                <w:rFonts w:eastAsia="宋体"/>
                <w:kern w:val="0"/>
                <w:lang w:bidi="ar"/>
              </w:rPr>
            </w:pPr>
            <w:r>
              <w:rPr>
                <w:rFonts w:hint="eastAsia" w:eastAsia="宋体"/>
              </w:rPr>
              <w:t>0</w:t>
            </w:r>
          </w:p>
        </w:tc>
        <w:tc>
          <w:tcPr>
            <w:tcW w:w="1191" w:type="dxa"/>
            <w:tcBorders>
              <w:top w:val="nil"/>
              <w:left w:val="nil"/>
              <w:bottom w:val="nil"/>
              <w:right w:val="nil"/>
            </w:tcBorders>
            <w:vAlign w:val="center"/>
          </w:tcPr>
          <w:p w14:paraId="4D8CEE46">
            <w:pPr>
              <w:pStyle w:val="14"/>
              <w:widowControl/>
              <w:spacing w:after="0"/>
              <w:jc w:val="center"/>
              <w:rPr>
                <w:rFonts w:eastAsia="宋体"/>
              </w:rPr>
            </w:pPr>
            <w:r>
              <w:rPr>
                <w:rFonts w:hint="eastAsia" w:eastAsia="宋体"/>
              </w:rPr>
              <w:t>0</w:t>
            </w:r>
          </w:p>
        </w:tc>
      </w:tr>
      <w:tr w14:paraId="7652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tcBorders>
              <w:top w:val="nil"/>
              <w:left w:val="nil"/>
              <w:bottom w:val="nil"/>
              <w:right w:val="nil"/>
            </w:tcBorders>
            <w:vAlign w:val="center"/>
          </w:tcPr>
          <w:p w14:paraId="69FB4BB2">
            <w:pPr>
              <w:pStyle w:val="14"/>
              <w:widowControl/>
              <w:spacing w:after="0"/>
              <w:jc w:val="center"/>
              <w:rPr>
                <w:rFonts w:eastAsia="宋体"/>
                <w:kern w:val="0"/>
                <w:sz w:val="21"/>
                <w:szCs w:val="21"/>
                <w:lang w:bidi="ar"/>
              </w:rPr>
            </w:pPr>
            <w:r>
              <w:rPr>
                <w:rFonts w:hint="eastAsia" w:eastAsia="宋体"/>
                <w:sz w:val="21"/>
                <w:szCs w:val="21"/>
              </w:rPr>
              <w:t>mN-Gel-1</w:t>
            </w:r>
          </w:p>
        </w:tc>
        <w:tc>
          <w:tcPr>
            <w:tcW w:w="913" w:type="dxa"/>
            <w:tcBorders>
              <w:top w:val="nil"/>
              <w:left w:val="nil"/>
              <w:bottom w:val="nil"/>
              <w:right w:val="nil"/>
            </w:tcBorders>
            <w:vAlign w:val="center"/>
          </w:tcPr>
          <w:p w14:paraId="6893CF77">
            <w:pPr>
              <w:pStyle w:val="14"/>
              <w:widowControl/>
              <w:spacing w:after="0"/>
              <w:jc w:val="center"/>
              <w:rPr>
                <w:rFonts w:eastAsia="宋体"/>
              </w:rPr>
            </w:pPr>
            <w:r>
              <w:rPr>
                <w:rFonts w:hint="eastAsia" w:eastAsia="宋体"/>
              </w:rPr>
              <w:t>0</w:t>
            </w:r>
          </w:p>
        </w:tc>
        <w:tc>
          <w:tcPr>
            <w:tcW w:w="1188" w:type="dxa"/>
            <w:tcBorders>
              <w:top w:val="nil"/>
              <w:left w:val="nil"/>
              <w:bottom w:val="nil"/>
              <w:right w:val="nil"/>
            </w:tcBorders>
            <w:vAlign w:val="center"/>
          </w:tcPr>
          <w:p w14:paraId="098B0657">
            <w:pPr>
              <w:pStyle w:val="14"/>
              <w:widowControl/>
              <w:spacing w:after="0"/>
              <w:jc w:val="center"/>
              <w:rPr>
                <w:rFonts w:eastAsia="宋体"/>
              </w:rPr>
            </w:pPr>
            <w:r>
              <w:rPr>
                <w:rFonts w:hint="eastAsia" w:eastAsia="宋体"/>
              </w:rPr>
              <w:t>0</w:t>
            </w:r>
          </w:p>
        </w:tc>
        <w:tc>
          <w:tcPr>
            <w:tcW w:w="881" w:type="dxa"/>
            <w:tcBorders>
              <w:top w:val="nil"/>
              <w:left w:val="nil"/>
              <w:bottom w:val="nil"/>
              <w:right w:val="nil"/>
            </w:tcBorders>
            <w:vAlign w:val="center"/>
          </w:tcPr>
          <w:p w14:paraId="357EDF9E">
            <w:pPr>
              <w:pStyle w:val="14"/>
              <w:widowControl/>
              <w:spacing w:after="0"/>
              <w:jc w:val="center"/>
              <w:rPr>
                <w:rFonts w:eastAsia="宋体"/>
                <w:kern w:val="0"/>
                <w:lang w:bidi="ar"/>
              </w:rPr>
            </w:pPr>
            <w:r>
              <w:rPr>
                <w:rFonts w:hint="eastAsia" w:eastAsia="宋体"/>
              </w:rPr>
              <w:t>0</w:t>
            </w:r>
          </w:p>
        </w:tc>
        <w:tc>
          <w:tcPr>
            <w:tcW w:w="1210" w:type="dxa"/>
            <w:tcBorders>
              <w:top w:val="nil"/>
              <w:left w:val="nil"/>
              <w:bottom w:val="nil"/>
              <w:right w:val="nil"/>
            </w:tcBorders>
            <w:vAlign w:val="center"/>
          </w:tcPr>
          <w:p w14:paraId="5F558A16">
            <w:pPr>
              <w:pStyle w:val="14"/>
              <w:widowControl/>
              <w:spacing w:after="0"/>
              <w:jc w:val="center"/>
              <w:rPr>
                <w:rFonts w:eastAsia="宋体"/>
                <w:kern w:val="0"/>
                <w:lang w:bidi="ar"/>
              </w:rPr>
            </w:pPr>
            <w:r>
              <w:rPr>
                <w:rFonts w:hint="eastAsia" w:eastAsia="宋体"/>
              </w:rPr>
              <w:t>0</w:t>
            </w:r>
          </w:p>
        </w:tc>
        <w:tc>
          <w:tcPr>
            <w:tcW w:w="881" w:type="dxa"/>
            <w:tcBorders>
              <w:top w:val="nil"/>
              <w:left w:val="nil"/>
              <w:bottom w:val="nil"/>
              <w:right w:val="nil"/>
            </w:tcBorders>
            <w:vAlign w:val="center"/>
          </w:tcPr>
          <w:p w14:paraId="6F9F5817">
            <w:pPr>
              <w:pStyle w:val="14"/>
              <w:widowControl/>
              <w:spacing w:after="0"/>
              <w:jc w:val="center"/>
              <w:rPr>
                <w:rFonts w:eastAsia="宋体"/>
                <w:kern w:val="0"/>
                <w:lang w:bidi="ar"/>
              </w:rPr>
            </w:pPr>
            <w:r>
              <w:rPr>
                <w:rFonts w:hint="eastAsia" w:eastAsia="宋体"/>
              </w:rPr>
              <w:t>0</w:t>
            </w:r>
          </w:p>
        </w:tc>
        <w:tc>
          <w:tcPr>
            <w:tcW w:w="1167" w:type="dxa"/>
            <w:tcBorders>
              <w:top w:val="nil"/>
              <w:left w:val="nil"/>
              <w:bottom w:val="nil"/>
              <w:right w:val="nil"/>
            </w:tcBorders>
            <w:vAlign w:val="center"/>
          </w:tcPr>
          <w:p w14:paraId="4F034BFD">
            <w:pPr>
              <w:pStyle w:val="14"/>
              <w:widowControl/>
              <w:spacing w:after="0"/>
              <w:jc w:val="center"/>
              <w:rPr>
                <w:rFonts w:eastAsia="宋体"/>
                <w:kern w:val="0"/>
                <w:lang w:bidi="ar"/>
              </w:rPr>
            </w:pPr>
            <w:r>
              <w:rPr>
                <w:rFonts w:hint="eastAsia" w:eastAsia="宋体"/>
              </w:rPr>
              <w:t>0</w:t>
            </w:r>
          </w:p>
        </w:tc>
        <w:tc>
          <w:tcPr>
            <w:tcW w:w="923" w:type="dxa"/>
            <w:tcBorders>
              <w:top w:val="nil"/>
              <w:left w:val="nil"/>
              <w:bottom w:val="nil"/>
              <w:right w:val="nil"/>
            </w:tcBorders>
            <w:vAlign w:val="center"/>
          </w:tcPr>
          <w:p w14:paraId="4C86F676">
            <w:pPr>
              <w:pStyle w:val="14"/>
              <w:widowControl/>
              <w:spacing w:after="0"/>
              <w:jc w:val="center"/>
              <w:rPr>
                <w:rFonts w:eastAsia="宋体"/>
                <w:kern w:val="0"/>
                <w:lang w:bidi="ar"/>
              </w:rPr>
            </w:pPr>
            <w:r>
              <w:rPr>
                <w:rFonts w:hint="eastAsia" w:eastAsia="宋体"/>
              </w:rPr>
              <w:t>0</w:t>
            </w:r>
          </w:p>
        </w:tc>
        <w:tc>
          <w:tcPr>
            <w:tcW w:w="1178" w:type="dxa"/>
            <w:tcBorders>
              <w:top w:val="nil"/>
              <w:left w:val="nil"/>
              <w:bottom w:val="nil"/>
              <w:right w:val="nil"/>
            </w:tcBorders>
            <w:vAlign w:val="center"/>
          </w:tcPr>
          <w:p w14:paraId="70A9E6A1">
            <w:pPr>
              <w:pStyle w:val="14"/>
              <w:widowControl/>
              <w:spacing w:after="0"/>
              <w:jc w:val="center"/>
              <w:rPr>
                <w:rFonts w:eastAsia="宋体"/>
                <w:kern w:val="0"/>
                <w:lang w:bidi="ar"/>
              </w:rPr>
            </w:pPr>
            <w:r>
              <w:rPr>
                <w:rFonts w:hint="eastAsia" w:eastAsia="宋体"/>
              </w:rPr>
              <w:t>0</w:t>
            </w:r>
          </w:p>
        </w:tc>
        <w:tc>
          <w:tcPr>
            <w:tcW w:w="1191" w:type="dxa"/>
            <w:tcBorders>
              <w:top w:val="nil"/>
              <w:left w:val="nil"/>
              <w:bottom w:val="nil"/>
              <w:right w:val="nil"/>
            </w:tcBorders>
            <w:vAlign w:val="center"/>
          </w:tcPr>
          <w:p w14:paraId="41019F8E">
            <w:pPr>
              <w:pStyle w:val="14"/>
              <w:widowControl/>
              <w:spacing w:after="0"/>
              <w:jc w:val="center"/>
              <w:rPr>
                <w:rFonts w:eastAsia="宋体"/>
              </w:rPr>
            </w:pPr>
            <w:r>
              <w:rPr>
                <w:rFonts w:hint="eastAsia" w:eastAsia="宋体"/>
              </w:rPr>
              <w:t>0</w:t>
            </w:r>
          </w:p>
        </w:tc>
      </w:tr>
      <w:tr w14:paraId="7248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25" w:type="dxa"/>
            <w:tcBorders>
              <w:top w:val="nil"/>
              <w:left w:val="nil"/>
              <w:bottom w:val="nil"/>
              <w:right w:val="nil"/>
            </w:tcBorders>
            <w:vAlign w:val="center"/>
          </w:tcPr>
          <w:p w14:paraId="65A1B4CD">
            <w:pPr>
              <w:pStyle w:val="14"/>
              <w:widowControl/>
              <w:spacing w:after="0"/>
              <w:jc w:val="center"/>
              <w:rPr>
                <w:rFonts w:hint="eastAsia" w:ascii="宋体" w:hAnsi="宋体" w:eastAsia="宋体" w:cs="宋体"/>
                <w:kern w:val="0"/>
                <w:lang w:bidi="ar"/>
              </w:rPr>
            </w:pPr>
            <w:r>
              <w:rPr>
                <w:rFonts w:hint="eastAsia" w:eastAsia="宋体"/>
                <w:sz w:val="21"/>
                <w:szCs w:val="21"/>
              </w:rPr>
              <w:t>mN-Gel-2</w:t>
            </w:r>
          </w:p>
        </w:tc>
        <w:tc>
          <w:tcPr>
            <w:tcW w:w="913" w:type="dxa"/>
            <w:tcBorders>
              <w:top w:val="nil"/>
              <w:left w:val="nil"/>
              <w:bottom w:val="nil"/>
              <w:right w:val="nil"/>
            </w:tcBorders>
            <w:vAlign w:val="center"/>
          </w:tcPr>
          <w:p w14:paraId="07A20DFE">
            <w:pPr>
              <w:pStyle w:val="14"/>
              <w:widowControl/>
              <w:spacing w:after="0"/>
              <w:jc w:val="center"/>
              <w:rPr>
                <w:rFonts w:eastAsia="宋体"/>
              </w:rPr>
            </w:pPr>
            <w:r>
              <w:rPr>
                <w:rFonts w:hint="eastAsia" w:eastAsia="宋体"/>
              </w:rPr>
              <w:t>0</w:t>
            </w:r>
          </w:p>
        </w:tc>
        <w:tc>
          <w:tcPr>
            <w:tcW w:w="1188" w:type="dxa"/>
            <w:tcBorders>
              <w:top w:val="nil"/>
              <w:left w:val="nil"/>
              <w:bottom w:val="nil"/>
              <w:right w:val="nil"/>
            </w:tcBorders>
            <w:vAlign w:val="center"/>
          </w:tcPr>
          <w:p w14:paraId="6EFF83DD">
            <w:pPr>
              <w:pStyle w:val="14"/>
              <w:widowControl/>
              <w:spacing w:after="0"/>
              <w:jc w:val="center"/>
              <w:rPr>
                <w:rFonts w:eastAsia="宋体"/>
              </w:rPr>
            </w:pPr>
            <w:r>
              <w:rPr>
                <w:rFonts w:hint="eastAsia" w:eastAsia="宋体"/>
              </w:rPr>
              <w:t>0</w:t>
            </w:r>
          </w:p>
        </w:tc>
        <w:tc>
          <w:tcPr>
            <w:tcW w:w="881" w:type="dxa"/>
            <w:tcBorders>
              <w:top w:val="nil"/>
              <w:left w:val="nil"/>
              <w:bottom w:val="nil"/>
              <w:right w:val="nil"/>
            </w:tcBorders>
            <w:vAlign w:val="center"/>
          </w:tcPr>
          <w:p w14:paraId="5B72B722">
            <w:pPr>
              <w:pStyle w:val="14"/>
              <w:widowControl/>
              <w:spacing w:after="0"/>
              <w:jc w:val="center"/>
              <w:rPr>
                <w:rFonts w:eastAsia="宋体"/>
                <w:kern w:val="0"/>
                <w:lang w:bidi="ar"/>
              </w:rPr>
            </w:pPr>
            <w:r>
              <w:rPr>
                <w:rFonts w:hint="eastAsia" w:eastAsia="宋体"/>
              </w:rPr>
              <w:t>0</w:t>
            </w:r>
          </w:p>
        </w:tc>
        <w:tc>
          <w:tcPr>
            <w:tcW w:w="1210" w:type="dxa"/>
            <w:tcBorders>
              <w:top w:val="nil"/>
              <w:left w:val="nil"/>
              <w:bottom w:val="nil"/>
              <w:right w:val="nil"/>
            </w:tcBorders>
            <w:vAlign w:val="center"/>
          </w:tcPr>
          <w:p w14:paraId="5AE88B4F">
            <w:pPr>
              <w:pStyle w:val="14"/>
              <w:widowControl/>
              <w:spacing w:after="0"/>
              <w:jc w:val="center"/>
              <w:rPr>
                <w:rFonts w:eastAsia="宋体"/>
                <w:kern w:val="0"/>
                <w:lang w:bidi="ar"/>
              </w:rPr>
            </w:pPr>
            <w:r>
              <w:rPr>
                <w:rFonts w:hint="eastAsia" w:eastAsia="宋体"/>
              </w:rPr>
              <w:t>0</w:t>
            </w:r>
          </w:p>
        </w:tc>
        <w:tc>
          <w:tcPr>
            <w:tcW w:w="881" w:type="dxa"/>
            <w:tcBorders>
              <w:top w:val="nil"/>
              <w:left w:val="nil"/>
              <w:bottom w:val="nil"/>
              <w:right w:val="nil"/>
            </w:tcBorders>
            <w:vAlign w:val="center"/>
          </w:tcPr>
          <w:p w14:paraId="26354E7C">
            <w:pPr>
              <w:pStyle w:val="14"/>
              <w:widowControl/>
              <w:spacing w:after="0"/>
              <w:jc w:val="center"/>
              <w:rPr>
                <w:rFonts w:eastAsia="宋体"/>
              </w:rPr>
            </w:pPr>
            <w:r>
              <w:rPr>
                <w:rFonts w:hint="eastAsia" w:eastAsia="宋体"/>
              </w:rPr>
              <w:t>0</w:t>
            </w:r>
          </w:p>
        </w:tc>
        <w:tc>
          <w:tcPr>
            <w:tcW w:w="1167" w:type="dxa"/>
            <w:tcBorders>
              <w:top w:val="nil"/>
              <w:left w:val="nil"/>
              <w:bottom w:val="nil"/>
              <w:right w:val="nil"/>
            </w:tcBorders>
            <w:vAlign w:val="center"/>
          </w:tcPr>
          <w:p w14:paraId="6610BD64">
            <w:pPr>
              <w:pStyle w:val="14"/>
              <w:widowControl/>
              <w:spacing w:after="0"/>
              <w:jc w:val="center"/>
              <w:rPr>
                <w:rFonts w:eastAsia="宋体"/>
              </w:rPr>
            </w:pPr>
            <w:r>
              <w:rPr>
                <w:rFonts w:hint="eastAsia" w:eastAsia="宋体"/>
              </w:rPr>
              <w:t>0</w:t>
            </w:r>
          </w:p>
        </w:tc>
        <w:tc>
          <w:tcPr>
            <w:tcW w:w="923" w:type="dxa"/>
            <w:tcBorders>
              <w:top w:val="nil"/>
              <w:left w:val="nil"/>
              <w:bottom w:val="nil"/>
              <w:right w:val="nil"/>
            </w:tcBorders>
            <w:vAlign w:val="center"/>
          </w:tcPr>
          <w:p w14:paraId="2B3E9712">
            <w:pPr>
              <w:pStyle w:val="14"/>
              <w:widowControl/>
              <w:spacing w:after="0"/>
              <w:jc w:val="center"/>
              <w:rPr>
                <w:rFonts w:eastAsia="宋体"/>
              </w:rPr>
            </w:pPr>
            <w:r>
              <w:rPr>
                <w:rFonts w:hint="eastAsia" w:eastAsia="宋体"/>
              </w:rPr>
              <w:t>0</w:t>
            </w:r>
          </w:p>
        </w:tc>
        <w:tc>
          <w:tcPr>
            <w:tcW w:w="1178" w:type="dxa"/>
            <w:tcBorders>
              <w:top w:val="nil"/>
              <w:left w:val="nil"/>
              <w:bottom w:val="nil"/>
              <w:right w:val="nil"/>
            </w:tcBorders>
            <w:vAlign w:val="center"/>
          </w:tcPr>
          <w:p w14:paraId="1B365D0A">
            <w:pPr>
              <w:pStyle w:val="14"/>
              <w:widowControl/>
              <w:spacing w:after="0"/>
              <w:jc w:val="center"/>
              <w:rPr>
                <w:rFonts w:eastAsia="宋体"/>
              </w:rPr>
            </w:pPr>
            <w:r>
              <w:rPr>
                <w:rFonts w:hint="eastAsia" w:eastAsia="宋体"/>
              </w:rPr>
              <w:t>0</w:t>
            </w:r>
          </w:p>
        </w:tc>
        <w:tc>
          <w:tcPr>
            <w:tcW w:w="1191" w:type="dxa"/>
            <w:tcBorders>
              <w:top w:val="nil"/>
              <w:left w:val="nil"/>
              <w:bottom w:val="nil"/>
              <w:right w:val="nil"/>
            </w:tcBorders>
            <w:vAlign w:val="center"/>
          </w:tcPr>
          <w:p w14:paraId="0F9C17C3">
            <w:pPr>
              <w:pStyle w:val="14"/>
              <w:widowControl/>
              <w:spacing w:after="0"/>
              <w:jc w:val="center"/>
              <w:rPr>
                <w:rFonts w:eastAsia="宋体"/>
              </w:rPr>
            </w:pPr>
            <w:r>
              <w:rPr>
                <w:rFonts w:hint="eastAsia" w:eastAsia="宋体"/>
              </w:rPr>
              <w:t>0</w:t>
            </w:r>
          </w:p>
        </w:tc>
      </w:tr>
      <w:tr w14:paraId="2DB6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25" w:type="dxa"/>
            <w:tcBorders>
              <w:top w:val="nil"/>
              <w:left w:val="nil"/>
              <w:bottom w:val="single" w:color="000000" w:sz="8" w:space="0"/>
              <w:right w:val="nil"/>
            </w:tcBorders>
            <w:vAlign w:val="center"/>
          </w:tcPr>
          <w:p w14:paraId="58D0CC83">
            <w:pPr>
              <w:pStyle w:val="14"/>
              <w:widowControl/>
              <w:spacing w:after="0"/>
              <w:jc w:val="center"/>
              <w:rPr>
                <w:rFonts w:eastAsia="宋体"/>
                <w:kern w:val="0"/>
                <w:sz w:val="21"/>
                <w:szCs w:val="21"/>
                <w:lang w:bidi="ar"/>
              </w:rPr>
            </w:pPr>
            <w:r>
              <w:rPr>
                <w:rFonts w:hint="eastAsia" w:eastAsia="宋体"/>
                <w:sz w:val="21"/>
                <w:szCs w:val="21"/>
              </w:rPr>
              <w:t>mN-Gel-3</w:t>
            </w:r>
          </w:p>
        </w:tc>
        <w:tc>
          <w:tcPr>
            <w:tcW w:w="913" w:type="dxa"/>
            <w:tcBorders>
              <w:top w:val="nil"/>
              <w:left w:val="nil"/>
              <w:bottom w:val="single" w:color="000000" w:sz="8" w:space="0"/>
              <w:right w:val="nil"/>
            </w:tcBorders>
            <w:vAlign w:val="center"/>
          </w:tcPr>
          <w:p w14:paraId="5D42A31E">
            <w:pPr>
              <w:pStyle w:val="14"/>
              <w:widowControl/>
              <w:spacing w:after="0"/>
              <w:jc w:val="center"/>
              <w:rPr>
                <w:rFonts w:eastAsia="宋体"/>
                <w:kern w:val="0"/>
                <w:lang w:bidi="ar"/>
              </w:rPr>
            </w:pPr>
            <w:r>
              <w:rPr>
                <w:rFonts w:hint="eastAsia" w:eastAsia="宋体"/>
                <w:kern w:val="0"/>
                <w:lang w:bidi="ar"/>
              </w:rPr>
              <w:t>0</w:t>
            </w:r>
          </w:p>
        </w:tc>
        <w:tc>
          <w:tcPr>
            <w:tcW w:w="1188" w:type="dxa"/>
            <w:tcBorders>
              <w:top w:val="nil"/>
              <w:left w:val="nil"/>
              <w:bottom w:val="single" w:color="000000" w:sz="8" w:space="0"/>
              <w:right w:val="nil"/>
            </w:tcBorders>
            <w:vAlign w:val="center"/>
          </w:tcPr>
          <w:p w14:paraId="60789475">
            <w:pPr>
              <w:pStyle w:val="14"/>
              <w:widowControl/>
              <w:spacing w:after="0"/>
              <w:jc w:val="center"/>
              <w:rPr>
                <w:rFonts w:eastAsia="宋体"/>
              </w:rPr>
            </w:pPr>
            <w:r>
              <w:rPr>
                <w:rFonts w:hint="eastAsia" w:eastAsia="宋体"/>
              </w:rPr>
              <w:t>0</w:t>
            </w:r>
          </w:p>
        </w:tc>
        <w:tc>
          <w:tcPr>
            <w:tcW w:w="881" w:type="dxa"/>
            <w:tcBorders>
              <w:top w:val="nil"/>
              <w:left w:val="nil"/>
              <w:bottom w:val="single" w:color="000000" w:sz="8" w:space="0"/>
              <w:right w:val="nil"/>
            </w:tcBorders>
            <w:vAlign w:val="center"/>
          </w:tcPr>
          <w:p w14:paraId="0CE42F30">
            <w:pPr>
              <w:pStyle w:val="14"/>
              <w:widowControl/>
              <w:spacing w:after="0"/>
              <w:jc w:val="center"/>
              <w:rPr>
                <w:rFonts w:eastAsia="宋体"/>
                <w:kern w:val="0"/>
                <w:lang w:bidi="ar"/>
              </w:rPr>
            </w:pPr>
            <w:r>
              <w:rPr>
                <w:rFonts w:hint="eastAsia" w:eastAsia="宋体"/>
                <w:kern w:val="0"/>
                <w:lang w:bidi="ar"/>
              </w:rPr>
              <w:t>0</w:t>
            </w:r>
          </w:p>
        </w:tc>
        <w:tc>
          <w:tcPr>
            <w:tcW w:w="1210" w:type="dxa"/>
            <w:tcBorders>
              <w:top w:val="nil"/>
              <w:left w:val="nil"/>
              <w:bottom w:val="single" w:color="000000" w:sz="8" w:space="0"/>
              <w:right w:val="nil"/>
            </w:tcBorders>
            <w:vAlign w:val="center"/>
          </w:tcPr>
          <w:p w14:paraId="28F30062">
            <w:pPr>
              <w:pStyle w:val="14"/>
              <w:widowControl/>
              <w:spacing w:after="0"/>
              <w:jc w:val="center"/>
              <w:rPr>
                <w:rFonts w:eastAsia="宋体"/>
                <w:kern w:val="0"/>
                <w:lang w:bidi="ar"/>
              </w:rPr>
            </w:pPr>
            <w:r>
              <w:rPr>
                <w:rFonts w:hint="eastAsia" w:eastAsia="宋体"/>
              </w:rPr>
              <w:t>0</w:t>
            </w:r>
          </w:p>
        </w:tc>
        <w:tc>
          <w:tcPr>
            <w:tcW w:w="881" w:type="dxa"/>
            <w:tcBorders>
              <w:top w:val="nil"/>
              <w:left w:val="nil"/>
              <w:bottom w:val="single" w:color="000000" w:sz="8" w:space="0"/>
              <w:right w:val="nil"/>
            </w:tcBorders>
            <w:vAlign w:val="center"/>
          </w:tcPr>
          <w:p w14:paraId="0D626F12">
            <w:pPr>
              <w:pStyle w:val="14"/>
              <w:widowControl/>
              <w:spacing w:after="0"/>
              <w:jc w:val="center"/>
              <w:rPr>
                <w:rFonts w:eastAsia="宋体"/>
              </w:rPr>
            </w:pPr>
            <w:r>
              <w:rPr>
                <w:rFonts w:hint="eastAsia" w:eastAsia="宋体"/>
              </w:rPr>
              <w:t>0</w:t>
            </w:r>
          </w:p>
        </w:tc>
        <w:tc>
          <w:tcPr>
            <w:tcW w:w="1167" w:type="dxa"/>
            <w:tcBorders>
              <w:top w:val="nil"/>
              <w:left w:val="nil"/>
              <w:bottom w:val="single" w:color="000000" w:sz="8" w:space="0"/>
              <w:right w:val="nil"/>
            </w:tcBorders>
            <w:vAlign w:val="center"/>
          </w:tcPr>
          <w:p w14:paraId="144BB340">
            <w:pPr>
              <w:pStyle w:val="14"/>
              <w:widowControl/>
              <w:spacing w:after="0"/>
              <w:jc w:val="center"/>
              <w:rPr>
                <w:rFonts w:eastAsia="宋体"/>
              </w:rPr>
            </w:pPr>
            <w:r>
              <w:rPr>
                <w:rFonts w:hint="eastAsia" w:eastAsia="宋体"/>
              </w:rPr>
              <w:t>0</w:t>
            </w:r>
          </w:p>
        </w:tc>
        <w:tc>
          <w:tcPr>
            <w:tcW w:w="923" w:type="dxa"/>
            <w:tcBorders>
              <w:top w:val="nil"/>
              <w:left w:val="nil"/>
              <w:bottom w:val="single" w:color="000000" w:sz="8" w:space="0"/>
              <w:right w:val="nil"/>
            </w:tcBorders>
            <w:vAlign w:val="center"/>
          </w:tcPr>
          <w:p w14:paraId="37284A15">
            <w:pPr>
              <w:pStyle w:val="14"/>
              <w:widowControl/>
              <w:spacing w:after="0"/>
              <w:jc w:val="center"/>
              <w:rPr>
                <w:rFonts w:eastAsia="宋体"/>
              </w:rPr>
            </w:pPr>
            <w:r>
              <w:rPr>
                <w:rFonts w:hint="eastAsia" w:eastAsia="宋体"/>
              </w:rPr>
              <w:t>0</w:t>
            </w:r>
          </w:p>
        </w:tc>
        <w:tc>
          <w:tcPr>
            <w:tcW w:w="1178" w:type="dxa"/>
            <w:tcBorders>
              <w:top w:val="nil"/>
              <w:left w:val="nil"/>
              <w:bottom w:val="single" w:color="000000" w:sz="8" w:space="0"/>
              <w:right w:val="nil"/>
            </w:tcBorders>
            <w:vAlign w:val="center"/>
          </w:tcPr>
          <w:p w14:paraId="1FAEEB70">
            <w:pPr>
              <w:pStyle w:val="14"/>
              <w:widowControl/>
              <w:spacing w:after="0"/>
              <w:jc w:val="center"/>
              <w:rPr>
                <w:rFonts w:eastAsia="宋体"/>
              </w:rPr>
            </w:pPr>
            <w:r>
              <w:rPr>
                <w:rFonts w:hint="eastAsia" w:eastAsia="宋体"/>
              </w:rPr>
              <w:t>0</w:t>
            </w:r>
          </w:p>
        </w:tc>
        <w:tc>
          <w:tcPr>
            <w:tcW w:w="1191" w:type="dxa"/>
            <w:tcBorders>
              <w:top w:val="nil"/>
              <w:left w:val="nil"/>
              <w:bottom w:val="single" w:color="000000" w:sz="8" w:space="0"/>
              <w:right w:val="nil"/>
            </w:tcBorders>
            <w:vAlign w:val="center"/>
          </w:tcPr>
          <w:p w14:paraId="148AD911">
            <w:pPr>
              <w:pStyle w:val="14"/>
              <w:widowControl/>
              <w:spacing w:after="0"/>
              <w:jc w:val="center"/>
              <w:rPr>
                <w:rFonts w:eastAsia="宋体"/>
              </w:rPr>
            </w:pPr>
            <w:r>
              <w:rPr>
                <w:rFonts w:hint="eastAsia" w:eastAsia="宋体"/>
              </w:rPr>
              <w:t>0</w:t>
            </w:r>
          </w:p>
        </w:tc>
      </w:tr>
    </w:tbl>
    <w:p w14:paraId="414B0DE9">
      <w:pPr>
        <w:rPr>
          <w:rFonts w:hint="eastAsia"/>
          <w:b/>
          <w:bCs/>
        </w:rPr>
      </w:pPr>
      <w:r>
        <w:rPr>
          <w:b/>
          <w:bCs/>
        </w:rPr>
        <w:br w:type="page"/>
      </w:r>
    </w:p>
    <w:p w14:paraId="77618DBD">
      <w:pPr>
        <w:spacing w:after="0" w:line="240" w:lineRule="auto"/>
        <w:jc w:val="both"/>
        <w:rPr>
          <w:rFonts w:ascii="Times New Roman" w:hAnsi="Times New Roman" w:cs="Times New Roman"/>
          <w:b/>
          <w:bCs/>
          <w:sz w:val="24"/>
          <w:szCs w:val="28"/>
        </w:rPr>
      </w:pPr>
      <w:r>
        <w:rPr>
          <w:rFonts w:ascii="Times New Roman" w:hAnsi="Times New Roman" w:cs="Times New Roman"/>
          <w:b/>
          <w:bCs/>
          <w:sz w:val="24"/>
          <w:szCs w:val="28"/>
        </w:rPr>
        <w:t>References</w:t>
      </w:r>
    </w:p>
    <w:p w14:paraId="748793A7">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ADDIN EN.REFLIST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tab/>
      </w:r>
      <w:r>
        <w:rPr>
          <w:rFonts w:ascii="Times New Roman" w:hAnsi="Times New Roman" w:cs="Times New Roman"/>
          <w:sz w:val="21"/>
          <w:szCs w:val="21"/>
        </w:rPr>
        <w:t xml:space="preserve">Xing H, Peng H, Yang Y, Lv K, Zhou S, Pan X, Wang J, Hu Y, Li G, Ma D: </w:t>
      </w:r>
      <w:r>
        <w:rPr>
          <w:rFonts w:ascii="Times New Roman" w:hAnsi="Times New Roman" w:cs="Times New Roman"/>
          <w:b/>
          <w:sz w:val="21"/>
          <w:szCs w:val="21"/>
        </w:rPr>
        <w:t>Nitric oxide synergizes minoxidil delivered by transdermal hyaluronic acid liposomes for multimodal androgenetic-alopecia therapy.</w:t>
      </w:r>
      <w:r>
        <w:rPr>
          <w:rFonts w:ascii="Times New Roman" w:hAnsi="Times New Roman" w:cs="Times New Roman"/>
          <w:sz w:val="21"/>
          <w:szCs w:val="21"/>
        </w:rPr>
        <w:t xml:space="preserve"> </w:t>
      </w:r>
      <w:r>
        <w:rPr>
          <w:rFonts w:ascii="Times New Roman" w:hAnsi="Times New Roman" w:cs="Times New Roman"/>
          <w:i/>
          <w:sz w:val="21"/>
          <w:szCs w:val="21"/>
        </w:rPr>
        <w:t xml:space="preserve">Bioactive materials </w:t>
      </w:r>
      <w:r>
        <w:rPr>
          <w:rFonts w:ascii="Times New Roman" w:hAnsi="Times New Roman" w:cs="Times New Roman"/>
          <w:sz w:val="21"/>
          <w:szCs w:val="21"/>
        </w:rPr>
        <w:t xml:space="preserve">2024, </w:t>
      </w:r>
      <w:r>
        <w:rPr>
          <w:rFonts w:ascii="Times New Roman" w:hAnsi="Times New Roman" w:cs="Times New Roman"/>
          <w:b/>
          <w:sz w:val="21"/>
          <w:szCs w:val="21"/>
        </w:rPr>
        <w:t>32:</w:t>
      </w:r>
      <w:r>
        <w:rPr>
          <w:rFonts w:ascii="Times New Roman" w:hAnsi="Times New Roman" w:cs="Times New Roman"/>
          <w:sz w:val="21"/>
          <w:szCs w:val="21"/>
        </w:rPr>
        <w:t>190–205.</w:t>
      </w:r>
    </w:p>
    <w:p w14:paraId="10386196">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ab/>
      </w:r>
      <w:r>
        <w:rPr>
          <w:rFonts w:ascii="Times New Roman" w:hAnsi="Times New Roman" w:cs="Times New Roman"/>
          <w:sz w:val="21"/>
          <w:szCs w:val="21"/>
        </w:rPr>
        <w:t xml:space="preserve">Ikeyama K, Fuziwara S, Denda M: </w:t>
      </w:r>
      <w:r>
        <w:rPr>
          <w:rFonts w:ascii="Times New Roman" w:hAnsi="Times New Roman" w:cs="Times New Roman"/>
          <w:b/>
          <w:sz w:val="21"/>
          <w:szCs w:val="21"/>
        </w:rPr>
        <w:t>Topical application of neuronal nitric oxide synthase inhibitor accelerates cutaneous barrier recovery and prevents epidermal hyperplasia induced by barrier disruption.</w:t>
      </w:r>
      <w:r>
        <w:rPr>
          <w:rFonts w:ascii="Times New Roman" w:hAnsi="Times New Roman" w:cs="Times New Roman"/>
          <w:sz w:val="21"/>
          <w:szCs w:val="21"/>
        </w:rPr>
        <w:t xml:space="preserve"> </w:t>
      </w:r>
      <w:r>
        <w:rPr>
          <w:rFonts w:ascii="Times New Roman" w:hAnsi="Times New Roman" w:cs="Times New Roman"/>
          <w:i/>
          <w:sz w:val="21"/>
          <w:szCs w:val="21"/>
        </w:rPr>
        <w:t xml:space="preserve">Journal of investigative dermatology </w:t>
      </w:r>
      <w:r>
        <w:rPr>
          <w:rFonts w:ascii="Times New Roman" w:hAnsi="Times New Roman" w:cs="Times New Roman"/>
          <w:sz w:val="21"/>
          <w:szCs w:val="21"/>
        </w:rPr>
        <w:t xml:space="preserve">2007, </w:t>
      </w:r>
      <w:r>
        <w:rPr>
          <w:rFonts w:ascii="Times New Roman" w:hAnsi="Times New Roman" w:cs="Times New Roman"/>
          <w:b/>
          <w:sz w:val="21"/>
          <w:szCs w:val="21"/>
        </w:rPr>
        <w:t>127:</w:t>
      </w:r>
      <w:r>
        <w:rPr>
          <w:rFonts w:ascii="Times New Roman" w:hAnsi="Times New Roman" w:cs="Times New Roman"/>
          <w:sz w:val="21"/>
          <w:szCs w:val="21"/>
        </w:rPr>
        <w:t>1713–1719.</w:t>
      </w:r>
    </w:p>
    <w:p w14:paraId="5E046AF7">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sz w:val="21"/>
          <w:szCs w:val="21"/>
        </w:rPr>
        <w:tab/>
      </w:r>
      <w:r>
        <w:rPr>
          <w:rFonts w:ascii="Times New Roman" w:hAnsi="Times New Roman" w:cs="Times New Roman"/>
          <w:sz w:val="21"/>
          <w:szCs w:val="21"/>
        </w:rPr>
        <w:t xml:space="preserve">Kobayashi M, Shu S, Marunaka K, Matsunaga T, Ikari A: </w:t>
      </w:r>
      <w:r>
        <w:rPr>
          <w:rFonts w:ascii="Times New Roman" w:hAnsi="Times New Roman" w:cs="Times New Roman"/>
          <w:b/>
          <w:sz w:val="21"/>
          <w:szCs w:val="21"/>
        </w:rPr>
        <w:t>Weak ultraviolet B enhances the mislocalization of claudin-1 mediated by nitric oxide and peroxynitrite production in human keratinocyte-derived HaCaT cells.</w:t>
      </w:r>
      <w:r>
        <w:rPr>
          <w:rFonts w:ascii="Times New Roman" w:hAnsi="Times New Roman" w:cs="Times New Roman"/>
          <w:sz w:val="21"/>
          <w:szCs w:val="21"/>
        </w:rPr>
        <w:t xml:space="preserve"> </w:t>
      </w:r>
      <w:r>
        <w:rPr>
          <w:rFonts w:ascii="Times New Roman" w:hAnsi="Times New Roman" w:cs="Times New Roman"/>
          <w:i/>
          <w:sz w:val="21"/>
          <w:szCs w:val="21"/>
        </w:rPr>
        <w:t xml:space="preserve">International journal of molecular sciences </w:t>
      </w:r>
      <w:r>
        <w:rPr>
          <w:rFonts w:ascii="Times New Roman" w:hAnsi="Times New Roman" w:cs="Times New Roman"/>
          <w:sz w:val="21"/>
          <w:szCs w:val="21"/>
        </w:rPr>
        <w:t xml:space="preserve">2020, </w:t>
      </w:r>
      <w:r>
        <w:rPr>
          <w:rFonts w:ascii="Times New Roman" w:hAnsi="Times New Roman" w:cs="Times New Roman"/>
          <w:b/>
          <w:sz w:val="21"/>
          <w:szCs w:val="21"/>
        </w:rPr>
        <w:t>21:</w:t>
      </w:r>
      <w:r>
        <w:rPr>
          <w:rFonts w:ascii="Times New Roman" w:hAnsi="Times New Roman" w:cs="Times New Roman"/>
          <w:sz w:val="21"/>
          <w:szCs w:val="21"/>
        </w:rPr>
        <w:t>7138.</w:t>
      </w:r>
    </w:p>
    <w:p w14:paraId="6A887DC3">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sz w:val="21"/>
          <w:szCs w:val="21"/>
        </w:rPr>
        <w:tab/>
      </w:r>
      <w:r>
        <w:rPr>
          <w:rFonts w:ascii="Times New Roman" w:hAnsi="Times New Roman" w:cs="Times New Roman"/>
          <w:sz w:val="21"/>
          <w:szCs w:val="21"/>
        </w:rPr>
        <w:t xml:space="preserve">De Jager T, Cockrell A, Du Plessis S: </w:t>
      </w:r>
      <w:r>
        <w:rPr>
          <w:rFonts w:ascii="Times New Roman" w:hAnsi="Times New Roman" w:cs="Times New Roman"/>
          <w:b/>
          <w:sz w:val="21"/>
          <w:szCs w:val="21"/>
        </w:rPr>
        <w:t>Ultraviolet light induced generation of reactive oxygen species.</w:t>
      </w:r>
      <w:r>
        <w:rPr>
          <w:rFonts w:ascii="Times New Roman" w:hAnsi="Times New Roman" w:cs="Times New Roman"/>
          <w:sz w:val="21"/>
          <w:szCs w:val="21"/>
        </w:rPr>
        <w:t xml:space="preserve"> </w:t>
      </w:r>
      <w:r>
        <w:rPr>
          <w:rFonts w:ascii="Times New Roman" w:hAnsi="Times New Roman" w:cs="Times New Roman"/>
          <w:i/>
          <w:sz w:val="21"/>
          <w:szCs w:val="21"/>
        </w:rPr>
        <w:t xml:space="preserve">Ultraviolet light in human health, diseases and environment </w:t>
      </w:r>
      <w:r>
        <w:rPr>
          <w:rFonts w:ascii="Times New Roman" w:hAnsi="Times New Roman" w:cs="Times New Roman"/>
          <w:sz w:val="21"/>
          <w:szCs w:val="21"/>
        </w:rPr>
        <w:t>2017</w:t>
      </w:r>
      <w:r>
        <w:rPr>
          <w:rFonts w:ascii="Times New Roman" w:hAnsi="Times New Roman" w:cs="Times New Roman"/>
          <w:b/>
          <w:sz w:val="21"/>
          <w:szCs w:val="21"/>
        </w:rPr>
        <w:t>:</w:t>
      </w:r>
      <w:r>
        <w:rPr>
          <w:rFonts w:ascii="Times New Roman" w:hAnsi="Times New Roman" w:cs="Times New Roman"/>
          <w:sz w:val="21"/>
          <w:szCs w:val="21"/>
        </w:rPr>
        <w:t>15–23.</w:t>
      </w:r>
    </w:p>
    <w:p w14:paraId="114DA199">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t>5.</w:t>
      </w:r>
      <w:r>
        <w:rPr>
          <w:rFonts w:ascii="Times New Roman" w:hAnsi="Times New Roman" w:cs="Times New Roman"/>
          <w:sz w:val="21"/>
          <w:szCs w:val="21"/>
        </w:rPr>
        <w:tab/>
      </w:r>
      <w:r>
        <w:rPr>
          <w:rFonts w:ascii="Times New Roman" w:hAnsi="Times New Roman" w:cs="Times New Roman"/>
          <w:sz w:val="21"/>
          <w:szCs w:val="21"/>
        </w:rPr>
        <w:t xml:space="preserve">Tang X, Yang T, Yu D, Xiong H, Zhang S: </w:t>
      </w:r>
      <w:r>
        <w:rPr>
          <w:rFonts w:ascii="Times New Roman" w:hAnsi="Times New Roman" w:cs="Times New Roman"/>
          <w:b/>
          <w:sz w:val="21"/>
          <w:szCs w:val="21"/>
        </w:rPr>
        <w:t>Current insights and future perspectives of ultraviolet radiation (UV) exposure: Friends and foes to the skin and beyond the skin.</w:t>
      </w:r>
      <w:r>
        <w:rPr>
          <w:rFonts w:ascii="Times New Roman" w:hAnsi="Times New Roman" w:cs="Times New Roman"/>
          <w:sz w:val="21"/>
          <w:szCs w:val="21"/>
        </w:rPr>
        <w:t xml:space="preserve"> </w:t>
      </w:r>
      <w:r>
        <w:rPr>
          <w:rFonts w:ascii="Times New Roman" w:hAnsi="Times New Roman" w:cs="Times New Roman"/>
          <w:i/>
          <w:sz w:val="21"/>
          <w:szCs w:val="21"/>
        </w:rPr>
        <w:t xml:space="preserve">Environment international </w:t>
      </w:r>
      <w:r>
        <w:rPr>
          <w:rFonts w:ascii="Times New Roman" w:hAnsi="Times New Roman" w:cs="Times New Roman"/>
          <w:sz w:val="21"/>
          <w:szCs w:val="21"/>
        </w:rPr>
        <w:t xml:space="preserve">2024, </w:t>
      </w:r>
      <w:r>
        <w:rPr>
          <w:rFonts w:ascii="Times New Roman" w:hAnsi="Times New Roman" w:cs="Times New Roman"/>
          <w:b/>
          <w:sz w:val="21"/>
          <w:szCs w:val="21"/>
        </w:rPr>
        <w:t>185:</w:t>
      </w:r>
      <w:r>
        <w:rPr>
          <w:rFonts w:ascii="Times New Roman" w:hAnsi="Times New Roman" w:cs="Times New Roman"/>
          <w:sz w:val="21"/>
          <w:szCs w:val="21"/>
        </w:rPr>
        <w:t>108535.</w:t>
      </w:r>
    </w:p>
    <w:p w14:paraId="6A3D1271">
      <w:pPr>
        <w:pStyle w:val="42"/>
        <w:spacing w:after="0"/>
        <w:ind w:left="720" w:hanging="720"/>
        <w:jc w:val="both"/>
        <w:rPr>
          <w:rFonts w:ascii="Times New Roman" w:hAnsi="Times New Roman" w:cs="Times New Roman"/>
          <w:sz w:val="21"/>
          <w:szCs w:val="21"/>
        </w:rPr>
      </w:pPr>
      <w:r>
        <w:rPr>
          <w:rFonts w:ascii="Times New Roman" w:hAnsi="Times New Roman" w:cs="Times New Roman"/>
          <w:sz w:val="21"/>
          <w:szCs w:val="21"/>
        </w:rPr>
        <w:t>6.</w:t>
      </w:r>
      <w:r>
        <w:rPr>
          <w:rFonts w:ascii="Times New Roman" w:hAnsi="Times New Roman" w:cs="Times New Roman"/>
          <w:sz w:val="21"/>
          <w:szCs w:val="21"/>
        </w:rPr>
        <w:tab/>
      </w:r>
      <w:r>
        <w:rPr>
          <w:rFonts w:ascii="Times New Roman" w:hAnsi="Times New Roman" w:cs="Times New Roman"/>
          <w:sz w:val="21"/>
          <w:szCs w:val="21"/>
        </w:rPr>
        <w:t xml:space="preserve">Dare RG, Nakamura CV, Ximenes VF, Lautenschlager SO: </w:t>
      </w:r>
      <w:r>
        <w:rPr>
          <w:rFonts w:ascii="Times New Roman" w:hAnsi="Times New Roman" w:cs="Times New Roman"/>
          <w:b/>
          <w:sz w:val="21"/>
          <w:szCs w:val="21"/>
        </w:rPr>
        <w:t>Tannic acid, a promising anti-photoaging agent: Evidences of its antioxidant and anti-wrinkle potentials, and its ability to prevent photodamage and MMP-1 expression in L929 fibroblasts exposed to UVB.</w:t>
      </w:r>
      <w:r>
        <w:rPr>
          <w:rFonts w:ascii="Times New Roman" w:hAnsi="Times New Roman" w:cs="Times New Roman"/>
          <w:sz w:val="21"/>
          <w:szCs w:val="21"/>
        </w:rPr>
        <w:t xml:space="preserve"> </w:t>
      </w:r>
      <w:r>
        <w:rPr>
          <w:rFonts w:ascii="Times New Roman" w:hAnsi="Times New Roman" w:cs="Times New Roman"/>
          <w:i/>
          <w:sz w:val="21"/>
          <w:szCs w:val="21"/>
        </w:rPr>
        <w:t xml:space="preserve">Free Radical Biology and Medicine </w:t>
      </w:r>
      <w:r>
        <w:rPr>
          <w:rFonts w:ascii="Times New Roman" w:hAnsi="Times New Roman" w:cs="Times New Roman"/>
          <w:sz w:val="21"/>
          <w:szCs w:val="21"/>
        </w:rPr>
        <w:t xml:space="preserve">2020, </w:t>
      </w:r>
      <w:r>
        <w:rPr>
          <w:rFonts w:ascii="Times New Roman" w:hAnsi="Times New Roman" w:cs="Times New Roman"/>
          <w:b/>
          <w:sz w:val="21"/>
          <w:szCs w:val="21"/>
        </w:rPr>
        <w:t>160:</w:t>
      </w:r>
      <w:r>
        <w:rPr>
          <w:rFonts w:ascii="Times New Roman" w:hAnsi="Times New Roman" w:cs="Times New Roman"/>
          <w:sz w:val="21"/>
          <w:szCs w:val="21"/>
        </w:rPr>
        <w:t>342–355.</w:t>
      </w:r>
    </w:p>
    <w:p w14:paraId="43F96B2B">
      <w:pPr>
        <w:pStyle w:val="42"/>
        <w:ind w:left="720" w:hanging="720"/>
        <w:jc w:val="both"/>
        <w:rPr>
          <w:rFonts w:ascii="Times New Roman" w:hAnsi="Times New Roman" w:cs="Times New Roman"/>
          <w:sz w:val="21"/>
          <w:szCs w:val="21"/>
        </w:rPr>
      </w:pPr>
      <w:r>
        <w:rPr>
          <w:rFonts w:ascii="Times New Roman" w:hAnsi="Times New Roman" w:cs="Times New Roman"/>
          <w:sz w:val="21"/>
          <w:szCs w:val="21"/>
        </w:rPr>
        <w:t>7.</w:t>
      </w:r>
      <w:r>
        <w:rPr>
          <w:rFonts w:ascii="Times New Roman" w:hAnsi="Times New Roman" w:cs="Times New Roman"/>
          <w:sz w:val="21"/>
          <w:szCs w:val="21"/>
        </w:rPr>
        <w:tab/>
      </w:r>
      <w:r>
        <w:rPr>
          <w:rFonts w:ascii="Times New Roman" w:hAnsi="Times New Roman" w:cs="Times New Roman"/>
          <w:sz w:val="21"/>
          <w:szCs w:val="21"/>
        </w:rPr>
        <w:t xml:space="preserve">Qi S, Hao L, Yue J, Zong Y, Zhang G: </w:t>
      </w:r>
      <w:r>
        <w:rPr>
          <w:rFonts w:ascii="Times New Roman" w:hAnsi="Times New Roman" w:cs="Times New Roman"/>
          <w:b/>
          <w:sz w:val="21"/>
          <w:szCs w:val="21"/>
        </w:rPr>
        <w:t>Exogenous nitric oxide negatively regulates the S‐nitrosylation p38 mitogen‐activated protein kinase activation during cerebral ischaemia and reperfusion.</w:t>
      </w:r>
      <w:r>
        <w:rPr>
          <w:rFonts w:ascii="Times New Roman" w:hAnsi="Times New Roman" w:cs="Times New Roman"/>
          <w:sz w:val="21"/>
          <w:szCs w:val="21"/>
        </w:rPr>
        <w:t xml:space="preserve"> </w:t>
      </w:r>
      <w:r>
        <w:rPr>
          <w:rFonts w:ascii="Times New Roman" w:hAnsi="Times New Roman" w:cs="Times New Roman"/>
          <w:i/>
          <w:sz w:val="21"/>
          <w:szCs w:val="21"/>
        </w:rPr>
        <w:t xml:space="preserve">Neuropathology and Applied Neurobiology </w:t>
      </w:r>
      <w:r>
        <w:rPr>
          <w:rFonts w:ascii="Times New Roman" w:hAnsi="Times New Roman" w:cs="Times New Roman"/>
          <w:sz w:val="21"/>
          <w:szCs w:val="21"/>
        </w:rPr>
        <w:t xml:space="preserve">2013, </w:t>
      </w:r>
      <w:r>
        <w:rPr>
          <w:rFonts w:ascii="Times New Roman" w:hAnsi="Times New Roman" w:cs="Times New Roman"/>
          <w:b/>
          <w:sz w:val="21"/>
          <w:szCs w:val="21"/>
        </w:rPr>
        <w:t>39:</w:t>
      </w:r>
      <w:r>
        <w:rPr>
          <w:rFonts w:ascii="Times New Roman" w:hAnsi="Times New Roman" w:cs="Times New Roman"/>
          <w:sz w:val="21"/>
          <w:szCs w:val="21"/>
        </w:rPr>
        <w:t>284–297.</w:t>
      </w:r>
    </w:p>
    <w:p w14:paraId="52911C99">
      <w:pPr>
        <w:spacing w:line="240" w:lineRule="auto"/>
        <w:jc w:val="both"/>
        <w:rPr>
          <w:rFonts w:ascii="Times New Roman" w:hAnsi="Times New Roman" w:cs="Times New Roman"/>
          <w:sz w:val="21"/>
          <w:szCs w:val="21"/>
        </w:rPr>
      </w:pPr>
      <w:r>
        <w:rPr>
          <w:rFonts w:ascii="Times New Roman" w:hAnsi="Times New Roman" w:cs="Times New Roman"/>
          <w:sz w:val="21"/>
          <w:szCs w:val="21"/>
        </w:rPr>
        <w:fldChar w:fldCharType="end"/>
      </w:r>
    </w:p>
    <w:sectPr>
      <w:footerReference r:id="rId5" w:type="default"/>
      <w:pgSz w:w="11906" w:h="16838"/>
      <w:pgMar w:top="1440" w:right="1800" w:bottom="1440" w:left="1800" w:header="737" w:footer="737"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530914"/>
    </w:sdtPr>
    <w:sdtContent>
      <w:p w14:paraId="6D42D2E8">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7A1EEA4">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FC116A"/>
    <w:multiLevelType w:val="singleLevel"/>
    <w:tmpl w:val="CAFC116A"/>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nobiotechnolog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psfzvxvsdd27ezwd85rpxdatvvrweav9et&quot;&gt;我的EndNote库&lt;record-ids&gt;&lt;item&gt;1&lt;/item&gt;&lt;item&gt;50&lt;/item&gt;&lt;/record-ids&gt;&lt;/item&gt;&lt;/Libraries&gt;"/>
  </w:docVars>
  <w:rsids>
    <w:rsidRoot w:val="00BE65B1"/>
    <w:rsid w:val="00000DFF"/>
    <w:rsid w:val="000556D6"/>
    <w:rsid w:val="000E3754"/>
    <w:rsid w:val="00103EC8"/>
    <w:rsid w:val="00131DD6"/>
    <w:rsid w:val="00154127"/>
    <w:rsid w:val="001611A1"/>
    <w:rsid w:val="001A294D"/>
    <w:rsid w:val="001D1D57"/>
    <w:rsid w:val="001E15B1"/>
    <w:rsid w:val="001E1A8A"/>
    <w:rsid w:val="00217539"/>
    <w:rsid w:val="00226A66"/>
    <w:rsid w:val="00233FDC"/>
    <w:rsid w:val="00242A31"/>
    <w:rsid w:val="002A271E"/>
    <w:rsid w:val="00315ACB"/>
    <w:rsid w:val="00326B74"/>
    <w:rsid w:val="0033281B"/>
    <w:rsid w:val="00336735"/>
    <w:rsid w:val="00380A9D"/>
    <w:rsid w:val="003A7990"/>
    <w:rsid w:val="003C0E6D"/>
    <w:rsid w:val="003C1BF8"/>
    <w:rsid w:val="0041366E"/>
    <w:rsid w:val="00454452"/>
    <w:rsid w:val="004A136B"/>
    <w:rsid w:val="004D3F35"/>
    <w:rsid w:val="004E3B62"/>
    <w:rsid w:val="005139CC"/>
    <w:rsid w:val="00561C44"/>
    <w:rsid w:val="00580E8C"/>
    <w:rsid w:val="00591010"/>
    <w:rsid w:val="005D4749"/>
    <w:rsid w:val="006341F8"/>
    <w:rsid w:val="0064157F"/>
    <w:rsid w:val="00660183"/>
    <w:rsid w:val="006D185A"/>
    <w:rsid w:val="006F4F12"/>
    <w:rsid w:val="007004AA"/>
    <w:rsid w:val="00764870"/>
    <w:rsid w:val="007736D8"/>
    <w:rsid w:val="007961EF"/>
    <w:rsid w:val="0079686D"/>
    <w:rsid w:val="007A26A2"/>
    <w:rsid w:val="007C33A8"/>
    <w:rsid w:val="007D16BA"/>
    <w:rsid w:val="007D6F46"/>
    <w:rsid w:val="008363AE"/>
    <w:rsid w:val="008A4A58"/>
    <w:rsid w:val="008F4FE6"/>
    <w:rsid w:val="0090641D"/>
    <w:rsid w:val="00930A8D"/>
    <w:rsid w:val="00934A1C"/>
    <w:rsid w:val="009A1358"/>
    <w:rsid w:val="009A3209"/>
    <w:rsid w:val="009A52AB"/>
    <w:rsid w:val="009A76AB"/>
    <w:rsid w:val="00AB58BC"/>
    <w:rsid w:val="00AD5D98"/>
    <w:rsid w:val="00AF022D"/>
    <w:rsid w:val="00AF77BE"/>
    <w:rsid w:val="00B62AC3"/>
    <w:rsid w:val="00B86D4D"/>
    <w:rsid w:val="00BB5BD9"/>
    <w:rsid w:val="00BD564C"/>
    <w:rsid w:val="00BE65B1"/>
    <w:rsid w:val="00BF522D"/>
    <w:rsid w:val="00C53FF8"/>
    <w:rsid w:val="00C607A8"/>
    <w:rsid w:val="00CA3A36"/>
    <w:rsid w:val="00CD30C0"/>
    <w:rsid w:val="00D17F23"/>
    <w:rsid w:val="00D816F0"/>
    <w:rsid w:val="00DD3A47"/>
    <w:rsid w:val="00DF1BD8"/>
    <w:rsid w:val="00E316A8"/>
    <w:rsid w:val="00E33CD8"/>
    <w:rsid w:val="00E3415C"/>
    <w:rsid w:val="00E3435D"/>
    <w:rsid w:val="00E75925"/>
    <w:rsid w:val="00E82AEC"/>
    <w:rsid w:val="00EC0C85"/>
    <w:rsid w:val="00EC32D9"/>
    <w:rsid w:val="00ED64DC"/>
    <w:rsid w:val="00ED748B"/>
    <w:rsid w:val="00EF5AD6"/>
    <w:rsid w:val="00F32DE9"/>
    <w:rsid w:val="00F575F1"/>
    <w:rsid w:val="00FB4DB5"/>
    <w:rsid w:val="00FF12D1"/>
    <w:rsid w:val="0A262E26"/>
    <w:rsid w:val="0B666AA6"/>
    <w:rsid w:val="184A67C5"/>
    <w:rsid w:val="1D4425E6"/>
    <w:rsid w:val="224769B2"/>
    <w:rsid w:val="228757E3"/>
    <w:rsid w:val="22DA5F63"/>
    <w:rsid w:val="25FD2210"/>
    <w:rsid w:val="2C282209"/>
    <w:rsid w:val="315B14C8"/>
    <w:rsid w:val="31D97D46"/>
    <w:rsid w:val="3C166B0B"/>
    <w:rsid w:val="3C8529F4"/>
    <w:rsid w:val="3E586A4F"/>
    <w:rsid w:val="444518BC"/>
    <w:rsid w:val="44DB04F7"/>
    <w:rsid w:val="4758546A"/>
    <w:rsid w:val="491E7521"/>
    <w:rsid w:val="4DE51BBA"/>
    <w:rsid w:val="4F69451B"/>
    <w:rsid w:val="56463787"/>
    <w:rsid w:val="62DA1707"/>
    <w:rsid w:val="63490171"/>
    <w:rsid w:val="63AB64D8"/>
    <w:rsid w:val="7D950A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rFonts w:ascii="Times New Roman" w:hAnsi="Times New Roman" w:cs="Times New Roman"/>
      <w:sz w:val="24"/>
    </w:rPr>
  </w:style>
  <w:style w:type="paragraph" w:styleId="15">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line number"/>
    <w:basedOn w:val="18"/>
    <w:semiHidden/>
    <w:unhideWhenUsed/>
    <w:qFormat/>
    <w:uiPriority w:val="99"/>
  </w:style>
  <w:style w:type="character" w:customStyle="1" w:styleId="20">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8"/>
    <w:link w:val="5"/>
    <w:semiHidden/>
    <w:qFormat/>
    <w:uiPriority w:val="9"/>
    <w:rPr>
      <w:rFonts w:cstheme="majorBidi"/>
      <w:color w:val="104862" w:themeColor="accent1" w:themeShade="BF"/>
      <w:sz w:val="28"/>
      <w:szCs w:val="28"/>
    </w:rPr>
  </w:style>
  <w:style w:type="character" w:customStyle="1" w:styleId="24">
    <w:name w:val="标题 5 字符"/>
    <w:basedOn w:val="18"/>
    <w:link w:val="6"/>
    <w:semiHidden/>
    <w:qFormat/>
    <w:uiPriority w:val="9"/>
    <w:rPr>
      <w:rFonts w:cstheme="majorBidi"/>
      <w:color w:val="104862" w:themeColor="accent1" w:themeShade="BF"/>
      <w:sz w:val="24"/>
    </w:rPr>
  </w:style>
  <w:style w:type="character" w:customStyle="1" w:styleId="25">
    <w:name w:val="标题 6 字符"/>
    <w:basedOn w:val="18"/>
    <w:link w:val="7"/>
    <w:semiHidden/>
    <w:qFormat/>
    <w:uiPriority w:val="9"/>
    <w:rPr>
      <w:rFonts w:cstheme="majorBidi"/>
      <w:b/>
      <w:bCs/>
      <w:color w:val="104862"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8"/>
    <w:link w:val="35"/>
    <w:qFormat/>
    <w:uiPriority w:val="30"/>
    <w:rPr>
      <w:i/>
      <w:iCs/>
      <w:color w:val="104862" w:themeColor="accent1" w:themeShade="BF"/>
    </w:rPr>
  </w:style>
  <w:style w:type="character" w:customStyle="1" w:styleId="37">
    <w:name w:val="明显参考1"/>
    <w:basedOn w:val="18"/>
    <w:qFormat/>
    <w:uiPriority w:val="32"/>
    <w:rPr>
      <w:b/>
      <w:bCs/>
      <w:smallCaps/>
      <w:color w:val="104862" w:themeColor="accent1" w:themeShade="BF"/>
      <w:spacing w:val="5"/>
    </w:rPr>
  </w:style>
  <w:style w:type="character" w:customStyle="1" w:styleId="38">
    <w:name w:val="页眉 字符"/>
    <w:basedOn w:val="18"/>
    <w:link w:val="12"/>
    <w:qFormat/>
    <w:uiPriority w:val="99"/>
    <w:rPr>
      <w:sz w:val="18"/>
      <w:szCs w:val="18"/>
    </w:rPr>
  </w:style>
  <w:style w:type="character" w:customStyle="1" w:styleId="39">
    <w:name w:val="页脚 字符"/>
    <w:basedOn w:val="18"/>
    <w:link w:val="11"/>
    <w:qFormat/>
    <w:uiPriority w:val="99"/>
    <w:rPr>
      <w:sz w:val="18"/>
      <w:szCs w:val="18"/>
    </w:rPr>
  </w:style>
  <w:style w:type="paragraph" w:customStyle="1" w:styleId="40">
    <w:name w:val="EndNote Bibliography Title"/>
    <w:basedOn w:val="1"/>
    <w:link w:val="41"/>
    <w:qFormat/>
    <w:uiPriority w:val="0"/>
    <w:pPr>
      <w:spacing w:after="0"/>
      <w:jc w:val="center"/>
    </w:pPr>
    <w:rPr>
      <w:rFonts w:ascii="等线" w:hAnsi="等线" w:eastAsia="等线"/>
    </w:rPr>
  </w:style>
  <w:style w:type="character" w:customStyle="1" w:styleId="41">
    <w:name w:val="EndNote Bibliography Title 字符"/>
    <w:basedOn w:val="18"/>
    <w:link w:val="40"/>
    <w:qFormat/>
    <w:uiPriority w:val="0"/>
    <w:rPr>
      <w:rFonts w:ascii="等线" w:hAnsi="等线" w:eastAsia="等线" w:cstheme="minorBidi"/>
      <w:kern w:val="2"/>
      <w:sz w:val="22"/>
      <w:szCs w:val="24"/>
      <w14:ligatures w14:val="standardContextual"/>
    </w:rPr>
  </w:style>
  <w:style w:type="paragraph" w:customStyle="1" w:styleId="42">
    <w:name w:val="EndNote Bibliography"/>
    <w:basedOn w:val="1"/>
    <w:link w:val="43"/>
    <w:qFormat/>
    <w:uiPriority w:val="0"/>
    <w:pPr>
      <w:spacing w:line="240" w:lineRule="auto"/>
      <w:jc w:val="center"/>
    </w:pPr>
    <w:rPr>
      <w:rFonts w:ascii="等线" w:hAnsi="等线" w:eastAsia="等线"/>
    </w:rPr>
  </w:style>
  <w:style w:type="character" w:customStyle="1" w:styleId="43">
    <w:name w:val="EndNote Bibliography 字符"/>
    <w:basedOn w:val="18"/>
    <w:link w:val="42"/>
    <w:qFormat/>
    <w:uiPriority w:val="0"/>
    <w:rPr>
      <w:rFonts w:ascii="等线" w:hAnsi="等线" w:eastAsia="等线" w:cstheme="minorBidi"/>
      <w:kern w:val="2"/>
      <w:sz w:val="22"/>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6.tiff"/><Relationship Id="rId21" Type="http://schemas.openxmlformats.org/officeDocument/2006/relationships/image" Target="media/image15.tiff"/><Relationship Id="rId20" Type="http://schemas.openxmlformats.org/officeDocument/2006/relationships/image" Target="media/image14.tiff"/><Relationship Id="rId2" Type="http://schemas.openxmlformats.org/officeDocument/2006/relationships/settings" Target="settings.xml"/><Relationship Id="rId19" Type="http://schemas.openxmlformats.org/officeDocument/2006/relationships/image" Target="media/image13.tiff"/><Relationship Id="rId18" Type="http://schemas.openxmlformats.org/officeDocument/2006/relationships/image" Target="media/image12.tiff"/><Relationship Id="rId17" Type="http://schemas.openxmlformats.org/officeDocument/2006/relationships/image" Target="media/image11.tiff"/><Relationship Id="rId16" Type="http://schemas.openxmlformats.org/officeDocument/2006/relationships/image" Target="media/image10.tiff"/><Relationship Id="rId15" Type="http://schemas.openxmlformats.org/officeDocument/2006/relationships/image" Target="media/image9.tiff"/><Relationship Id="rId14" Type="http://schemas.openxmlformats.org/officeDocument/2006/relationships/image" Target="media/image8.tiff"/><Relationship Id="rId13" Type="http://schemas.openxmlformats.org/officeDocument/2006/relationships/image" Target="media/image7.tiff"/><Relationship Id="rId12" Type="http://schemas.openxmlformats.org/officeDocument/2006/relationships/image" Target="media/image6.tiff"/><Relationship Id="rId11" Type="http://schemas.openxmlformats.org/officeDocument/2006/relationships/image" Target="media/image5.tiff"/><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836A4-ADB1-4981-A8DF-A806F0C536C9}">
  <ds:schemaRefs/>
</ds:datastoreItem>
</file>

<file path=docProps/app.xml><?xml version="1.0" encoding="utf-8"?>
<Properties xmlns="http://schemas.openxmlformats.org/officeDocument/2006/extended-properties" xmlns:vt="http://schemas.openxmlformats.org/officeDocument/2006/docPropsVTypes">
  <Template>Normal</Template>
  <Pages>15</Pages>
  <Words>2032</Words>
  <Characters>10949</Characters>
  <Lines>589</Lines>
  <Paragraphs>344</Paragraphs>
  <TotalTime>11</TotalTime>
  <ScaleCrop>false</ScaleCrop>
  <LinksUpToDate>false</LinksUpToDate>
  <CharactersWithSpaces>12802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2026-02-05T14:08:00Z</dcterms:created>
  <dc:creator>冬娜 谢</dc:creator>
  <cp:lastModifiedBy>Xie Dongna</cp:lastModifiedBy>
  <dcterms:modified xsi:type="dcterms:W3CDTF">2026-09-12T09:47:00Z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eyJoZGlkIjoiYzQxNmI3Zjg2YTZiYWNlNzVjNDgwMWFhZmY0Y2QxZDMiLCJ1c2VySWQiOiI4MjcxNTcxODUifQ==</vt:lpwstr>
  </property>
  <property fmtid="{D5CDD505-2E9C-101B-9397-08002B2CF9AE}" pid="3" name="KSOProductBuildVer">
    <vt:lpwstr>2052-12.1.0.28505</vt:lpwstr>
  </property>
  <property fmtid="{D5CDD505-2E9C-101B-9397-08002B2CF9AE}" pid="4" name="ICV">
    <vt:lpwstr>0F46CEE70AC843CE8C7373D4B7E8435D_12</vt:lpwstr>
  </property>
</Properties>
</file>