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ABA" w:rsidRPr="00AB1438" w:rsidRDefault="00AB1438">
      <w:pPr>
        <w:pStyle w:val="NormalWeb"/>
        <w:widowControl/>
        <w:jc w:val="center"/>
        <w:rPr>
          <w:rFonts w:ascii="Times New Roman" w:eastAsia="方正仿宋_GBK" w:hAnsi="Times New Roman"/>
          <w:b/>
          <w:bCs/>
          <w:color w:val="000000" w:themeColor="text1"/>
          <w:kern w:val="2"/>
          <w:sz w:val="30"/>
          <w:szCs w:val="30"/>
        </w:rPr>
      </w:pPr>
      <w:r w:rsidRPr="00AB1438">
        <w:rPr>
          <w:rFonts w:ascii="Times New Roman" w:eastAsia="方正仿宋_GBK" w:hAnsi="Times New Roman"/>
          <w:b/>
          <w:bCs/>
          <w:color w:val="000000" w:themeColor="text1"/>
          <w:kern w:val="2"/>
          <w:sz w:val="30"/>
          <w:szCs w:val="30"/>
        </w:rPr>
        <w:t>Microarray Chip Based on Surface-Enhanced Raman Scattering-Chiral Anisotropy for Ultrasensitive Detection of Aβ42 as an Alzheimer’s Disease-Associated Serum Biomarker</w:t>
      </w:r>
    </w:p>
    <w:p w:rsidR="008B2ABA" w:rsidRPr="00AB1438" w:rsidRDefault="00AB1438">
      <w:pPr>
        <w:spacing w:line="480" w:lineRule="auto"/>
        <w:rPr>
          <w:rFonts w:ascii="Times New Roman" w:hAnsi="Times New Roman" w:cs="Times New Roman"/>
          <w:color w:val="000000" w:themeColor="text1"/>
          <w:sz w:val="24"/>
          <w:szCs w:val="24"/>
        </w:rPr>
      </w:pPr>
      <w:r w:rsidRPr="00AB1438">
        <w:rPr>
          <w:rFonts w:ascii="Times New Roman" w:hAnsi="Times New Roman" w:cs="Times New Roman" w:hint="eastAsia"/>
          <w:color w:val="000000" w:themeColor="text1"/>
          <w:sz w:val="24"/>
          <w:szCs w:val="24"/>
        </w:rPr>
        <w:t>Zixun Wang</w:t>
      </w:r>
      <w:r w:rsidRPr="00AB1438">
        <w:rPr>
          <w:rFonts w:ascii="Times New Roman" w:hAnsi="Times New Roman" w:cs="Times New Roman" w:hint="eastAsia"/>
          <w:color w:val="000000" w:themeColor="text1"/>
          <w:sz w:val="24"/>
          <w:szCs w:val="24"/>
          <w:vertAlign w:val="superscript"/>
        </w:rPr>
        <w:t>1</w:t>
      </w:r>
      <w:r w:rsidRPr="00AB1438">
        <w:rPr>
          <w:rFonts w:ascii="Times New Roman" w:hAnsi="Times New Roman" w:cs="Times New Roman" w:hint="eastAsia"/>
          <w:color w:val="000000" w:themeColor="text1"/>
          <w:sz w:val="24"/>
          <w:szCs w:val="24"/>
        </w:rPr>
        <w:t>, Yinan Wang</w:t>
      </w:r>
      <w:r w:rsidRPr="00AB1438">
        <w:rPr>
          <w:rFonts w:ascii="Times New Roman" w:hAnsi="Times New Roman" w:cs="Times New Roman" w:hint="eastAsia"/>
          <w:color w:val="000000" w:themeColor="text1"/>
          <w:sz w:val="24"/>
          <w:szCs w:val="24"/>
          <w:vertAlign w:val="superscript"/>
        </w:rPr>
        <w:t>2</w:t>
      </w:r>
      <w:r w:rsidRPr="00AB1438">
        <w:rPr>
          <w:rFonts w:ascii="Times New Roman" w:hAnsi="Times New Roman" w:cs="Times New Roman" w:hint="eastAsia"/>
          <w:color w:val="000000" w:themeColor="text1"/>
          <w:sz w:val="24"/>
          <w:szCs w:val="24"/>
        </w:rPr>
        <w:t xml:space="preserve">, </w:t>
      </w:r>
      <w:r w:rsidRPr="00AB1438">
        <w:rPr>
          <w:rFonts w:ascii="Times New Roman" w:hAnsi="Times New Roman" w:cs="Times New Roman"/>
          <w:color w:val="000000" w:themeColor="text1"/>
          <w:sz w:val="24"/>
          <w:szCs w:val="24"/>
        </w:rPr>
        <w:t>C</w:t>
      </w:r>
      <w:r w:rsidRPr="00AB1438">
        <w:rPr>
          <w:rFonts w:ascii="Times New Roman" w:hAnsi="Times New Roman" w:cs="Times New Roman" w:hint="eastAsia"/>
          <w:color w:val="000000" w:themeColor="text1"/>
          <w:sz w:val="24"/>
          <w:szCs w:val="24"/>
        </w:rPr>
        <w:t>a</w:t>
      </w:r>
      <w:r w:rsidRPr="00AB1438">
        <w:rPr>
          <w:rFonts w:ascii="Times New Roman" w:hAnsi="Times New Roman" w:cs="Times New Roman"/>
          <w:color w:val="000000" w:themeColor="text1"/>
          <w:sz w:val="24"/>
          <w:szCs w:val="24"/>
        </w:rPr>
        <w:t>ili Bi</w:t>
      </w:r>
      <w:r w:rsidRPr="00AB1438">
        <w:rPr>
          <w:rFonts w:ascii="Times New Roman" w:hAnsi="Times New Roman" w:cs="Times New Roman"/>
          <w:color w:val="000000" w:themeColor="text1"/>
          <w:sz w:val="24"/>
          <w:szCs w:val="24"/>
          <w:vertAlign w:val="superscript"/>
        </w:rPr>
        <w:t>3</w:t>
      </w:r>
      <w:r w:rsidRPr="00AB1438">
        <w:rPr>
          <w:rFonts w:ascii="Times New Roman" w:hAnsi="Times New Roman" w:cs="Times New Roman" w:hint="eastAsia"/>
          <w:color w:val="000000" w:themeColor="text1"/>
          <w:sz w:val="24"/>
          <w:szCs w:val="24"/>
        </w:rPr>
        <w:t>, Yangfan Zhou</w:t>
      </w:r>
      <w:r w:rsidRPr="00AB1438">
        <w:rPr>
          <w:rFonts w:ascii="Times New Roman" w:hAnsi="Times New Roman" w:cs="Times New Roman" w:hint="eastAsia"/>
          <w:color w:val="000000" w:themeColor="text1"/>
          <w:sz w:val="24"/>
          <w:szCs w:val="24"/>
          <w:vertAlign w:val="superscript"/>
        </w:rPr>
        <w:t>3</w:t>
      </w:r>
      <w:r w:rsidRPr="00AB1438">
        <w:rPr>
          <w:rFonts w:ascii="Times New Roman" w:hAnsi="Times New Roman" w:cs="Times New Roman" w:hint="eastAsia"/>
          <w:color w:val="000000" w:themeColor="text1"/>
          <w:sz w:val="24"/>
          <w:szCs w:val="24"/>
        </w:rPr>
        <w:t>,</w:t>
      </w:r>
      <w:r w:rsidRPr="00AB1438">
        <w:rPr>
          <w:rFonts w:ascii="Times New Roman" w:hAnsi="Times New Roman" w:cs="Times New Roman"/>
          <w:color w:val="000000" w:themeColor="text1"/>
          <w:sz w:val="24"/>
          <w:szCs w:val="24"/>
        </w:rPr>
        <w:t xml:space="preserve"> Tao</w:t>
      </w:r>
      <w:r w:rsidRPr="00AB1438">
        <w:rPr>
          <w:rFonts w:ascii="Times New Roman" w:hAnsi="Times New Roman" w:cs="Times New Roman" w:hint="eastAsia"/>
          <w:color w:val="000000" w:themeColor="text1"/>
          <w:sz w:val="24"/>
          <w:szCs w:val="24"/>
        </w:rPr>
        <w:t xml:space="preserve"> </w:t>
      </w:r>
      <w:r w:rsidRPr="00AB1438">
        <w:rPr>
          <w:rFonts w:ascii="Times New Roman" w:hAnsi="Times New Roman" w:cs="Times New Roman"/>
          <w:color w:val="000000" w:themeColor="text1"/>
          <w:sz w:val="24"/>
          <w:szCs w:val="24"/>
        </w:rPr>
        <w:t>Zhu</w:t>
      </w:r>
      <w:r w:rsidRPr="00AB1438">
        <w:rPr>
          <w:rFonts w:ascii="Times New Roman" w:hAnsi="Times New Roman" w:cs="Times New Roman"/>
          <w:color w:val="000000" w:themeColor="text1"/>
          <w:sz w:val="24"/>
          <w:szCs w:val="24"/>
          <w:vertAlign w:val="superscript"/>
        </w:rPr>
        <w:t>3</w:t>
      </w:r>
      <w:r w:rsidRPr="00AB1438">
        <w:rPr>
          <w:rFonts w:ascii="Times New Roman" w:hAnsi="Times New Roman" w:cs="Times New Roman" w:hint="eastAsia"/>
          <w:color w:val="000000" w:themeColor="text1"/>
          <w:sz w:val="24"/>
          <w:szCs w:val="24"/>
        </w:rPr>
        <w:t>, Xing Jin</w:t>
      </w:r>
      <w:r w:rsidRPr="00AB1438">
        <w:rPr>
          <w:rFonts w:ascii="Times New Roman" w:hAnsi="Times New Roman" w:cs="Times New Roman"/>
          <w:color w:val="000000" w:themeColor="text1"/>
          <w:sz w:val="24"/>
          <w:szCs w:val="24"/>
          <w:vertAlign w:val="superscript"/>
        </w:rPr>
        <w:t>2</w:t>
      </w:r>
      <w:r w:rsidRPr="00AB1438">
        <w:rPr>
          <w:rFonts w:ascii="Times New Roman" w:hAnsi="Times New Roman" w:cs="Times New Roman" w:hint="eastAsia"/>
          <w:color w:val="000000" w:themeColor="text1"/>
          <w:sz w:val="24"/>
          <w:szCs w:val="24"/>
          <w:vertAlign w:val="superscript"/>
        </w:rPr>
        <w:t>*</w:t>
      </w:r>
    </w:p>
    <w:p w:rsidR="008B2ABA" w:rsidRPr="00AB1438" w:rsidRDefault="008B2ABA">
      <w:pPr>
        <w:spacing w:line="480" w:lineRule="auto"/>
        <w:rPr>
          <w:rFonts w:ascii="Segoe UI" w:eastAsia="Segoe UI" w:hAnsi="Segoe UI" w:cs="Segoe UI"/>
          <w:color w:val="000000" w:themeColor="text1"/>
          <w:sz w:val="24"/>
          <w:szCs w:val="24"/>
          <w:shd w:val="clear" w:color="auto" w:fill="FFFFFF"/>
        </w:rPr>
      </w:pPr>
    </w:p>
    <w:p w:rsidR="008B2ABA" w:rsidRPr="00AB1438" w:rsidRDefault="00AB1438">
      <w:pPr>
        <w:spacing w:line="480" w:lineRule="auto"/>
        <w:rPr>
          <w:rFonts w:ascii="Times New Roman" w:hAnsi="Times New Roman" w:cs="Times New Roman"/>
          <w:color w:val="000000" w:themeColor="text1"/>
          <w:sz w:val="24"/>
          <w:szCs w:val="24"/>
        </w:rPr>
      </w:pPr>
      <w:r w:rsidRPr="00AB1438">
        <w:rPr>
          <w:rFonts w:ascii="Times New Roman" w:hAnsi="Times New Roman" w:cs="Times New Roman" w:hint="eastAsia"/>
          <w:color w:val="000000" w:themeColor="text1"/>
          <w:sz w:val="24"/>
          <w:szCs w:val="24"/>
          <w:vertAlign w:val="superscript"/>
        </w:rPr>
        <w:t>1</w:t>
      </w:r>
      <w:r w:rsidRPr="00AB1438">
        <w:rPr>
          <w:rFonts w:ascii="Times New Roman" w:hAnsi="Times New Roman" w:cs="Times New Roman" w:hint="eastAsia"/>
          <w:color w:val="000000" w:themeColor="text1"/>
          <w:sz w:val="24"/>
          <w:szCs w:val="24"/>
        </w:rPr>
        <w:t xml:space="preserve">The First </w:t>
      </w:r>
      <w:r w:rsidRPr="00AB1438">
        <w:rPr>
          <w:rFonts w:ascii="Times New Roman" w:hAnsi="Times New Roman" w:cs="Times New Roman" w:hint="eastAsia"/>
          <w:color w:val="000000" w:themeColor="text1"/>
          <w:sz w:val="24"/>
          <w:szCs w:val="24"/>
        </w:rPr>
        <w:t>School of Clinical Medicine, Faculty of Medicine, Yangzhou University, Yangzhou, 225003, PR China.</w:t>
      </w:r>
      <w:bookmarkStart w:id="0" w:name="_GoBack"/>
      <w:bookmarkEnd w:id="0"/>
    </w:p>
    <w:p w:rsidR="008B2ABA" w:rsidRPr="00AB1438" w:rsidRDefault="00AB1438">
      <w:pPr>
        <w:spacing w:line="480" w:lineRule="auto"/>
        <w:rPr>
          <w:rFonts w:ascii="Times New Roman" w:hAnsi="Times New Roman" w:cs="Times New Roman"/>
          <w:color w:val="000000" w:themeColor="text1"/>
          <w:sz w:val="24"/>
          <w:szCs w:val="24"/>
        </w:rPr>
      </w:pPr>
      <w:r w:rsidRPr="00AB1438">
        <w:rPr>
          <w:rFonts w:ascii="Times New Roman" w:hAnsi="Times New Roman" w:cs="Times New Roman" w:hint="eastAsia"/>
          <w:color w:val="000000" w:themeColor="text1"/>
          <w:sz w:val="24"/>
          <w:szCs w:val="24"/>
          <w:vertAlign w:val="superscript"/>
        </w:rPr>
        <w:t>2</w:t>
      </w:r>
      <w:r w:rsidRPr="00AB1438">
        <w:rPr>
          <w:rFonts w:ascii="Times New Roman" w:hAnsi="Times New Roman" w:cs="Times New Roman" w:hint="eastAsia"/>
          <w:color w:val="000000" w:themeColor="text1"/>
          <w:sz w:val="24"/>
          <w:szCs w:val="24"/>
        </w:rPr>
        <w:t xml:space="preserve">Department of Laboratory Medicine, The Affiliated Hospital of Yangzhou University, Yangzhou University, Yangzhou, </w:t>
      </w:r>
      <w:r w:rsidRPr="00AB1438">
        <w:rPr>
          <w:rFonts w:ascii="Times New Roman" w:hAnsi="Times New Roman" w:cs="Times New Roman"/>
          <w:color w:val="000000" w:themeColor="text1"/>
          <w:sz w:val="24"/>
          <w:szCs w:val="24"/>
        </w:rPr>
        <w:t>225009</w:t>
      </w:r>
      <w:r w:rsidRPr="00AB1438">
        <w:rPr>
          <w:rFonts w:ascii="Times New Roman" w:hAnsi="Times New Roman" w:cs="Times New Roman" w:hint="eastAsia"/>
          <w:color w:val="000000" w:themeColor="text1"/>
          <w:sz w:val="24"/>
          <w:szCs w:val="24"/>
        </w:rPr>
        <w:t>,</w:t>
      </w:r>
      <w:r w:rsidRPr="00AB1438">
        <w:rPr>
          <w:rFonts w:ascii="Times New Roman" w:hAnsi="Times New Roman" w:cs="Times New Roman"/>
          <w:color w:val="000000" w:themeColor="text1"/>
          <w:sz w:val="24"/>
          <w:szCs w:val="24"/>
        </w:rPr>
        <w:t xml:space="preserve"> </w:t>
      </w:r>
      <w:r w:rsidRPr="00AB1438">
        <w:rPr>
          <w:rFonts w:ascii="Times New Roman" w:hAnsi="Times New Roman" w:cs="Times New Roman" w:hint="eastAsia"/>
          <w:color w:val="000000" w:themeColor="text1"/>
          <w:sz w:val="24"/>
          <w:szCs w:val="24"/>
        </w:rPr>
        <w:t>PR China</w:t>
      </w:r>
    </w:p>
    <w:p w:rsidR="008B2ABA" w:rsidRPr="00AB1438" w:rsidRDefault="00AB1438">
      <w:pPr>
        <w:spacing w:line="480" w:lineRule="auto"/>
        <w:rPr>
          <w:rFonts w:ascii="Times New Roman" w:hAnsi="Times New Roman" w:cs="Times New Roman"/>
          <w:color w:val="000000" w:themeColor="text1"/>
          <w:sz w:val="24"/>
          <w:szCs w:val="24"/>
        </w:rPr>
      </w:pPr>
      <w:r w:rsidRPr="00AB1438">
        <w:rPr>
          <w:rFonts w:ascii="Times New Roman" w:hAnsi="Times New Roman" w:cs="Times New Roman" w:hint="eastAsia"/>
          <w:color w:val="000000" w:themeColor="text1"/>
          <w:sz w:val="24"/>
          <w:szCs w:val="24"/>
          <w:vertAlign w:val="superscript"/>
        </w:rPr>
        <w:t>3</w:t>
      </w:r>
      <w:r w:rsidRPr="00AB1438">
        <w:rPr>
          <w:rFonts w:ascii="Times New Roman" w:hAnsi="Times New Roman" w:cs="Times New Roman"/>
          <w:color w:val="000000" w:themeColor="text1"/>
          <w:sz w:val="24"/>
          <w:szCs w:val="24"/>
        </w:rPr>
        <w:t xml:space="preserve">School of Basic Medical </w:t>
      </w:r>
      <w:r w:rsidRPr="00AB1438">
        <w:rPr>
          <w:rFonts w:ascii="Times New Roman" w:hAnsi="Times New Roman" w:cs="Times New Roman"/>
          <w:color w:val="000000" w:themeColor="text1"/>
          <w:sz w:val="24"/>
          <w:szCs w:val="24"/>
        </w:rPr>
        <w:t>Sciences &amp; School of Public Health, Faculty of Medicine, Yangzhou University</w:t>
      </w:r>
      <w:r w:rsidRPr="00AB1438">
        <w:rPr>
          <w:rFonts w:ascii="Times New Roman" w:hAnsi="Times New Roman" w:cs="Times New Roman" w:hint="eastAsia"/>
          <w:color w:val="000000" w:themeColor="text1"/>
          <w:sz w:val="24"/>
          <w:szCs w:val="24"/>
        </w:rPr>
        <w:t>, Jiangsu Key Laboratory of Integrated Traditional Chinese and Western Medicine for Prevention and Treatment of Senile Diseases, Yangzhou, 225001, PR China</w:t>
      </w:r>
    </w:p>
    <w:p w:rsidR="008B2ABA" w:rsidRPr="00AB1438" w:rsidRDefault="00AB1438">
      <w:pPr>
        <w:spacing w:line="480" w:lineRule="auto"/>
        <w:rPr>
          <w:rFonts w:ascii="Times New Roman" w:hAnsi="Times New Roman" w:cs="Times New Roman"/>
          <w:color w:val="000000" w:themeColor="text1"/>
          <w:sz w:val="24"/>
          <w:szCs w:val="24"/>
        </w:rPr>
      </w:pPr>
      <w:r w:rsidRPr="00AB1438">
        <w:rPr>
          <w:rFonts w:ascii="Times New Roman" w:hAnsi="Times New Roman" w:cs="Times New Roman" w:hint="eastAsia"/>
          <w:color w:val="000000" w:themeColor="text1"/>
          <w:sz w:val="24"/>
          <w:szCs w:val="24"/>
        </w:rPr>
        <w:t>* To whom correspondence</w:t>
      </w:r>
      <w:r w:rsidRPr="00AB1438">
        <w:rPr>
          <w:rFonts w:ascii="Times New Roman" w:hAnsi="Times New Roman" w:cs="Times New Roman" w:hint="eastAsia"/>
          <w:color w:val="000000" w:themeColor="text1"/>
          <w:sz w:val="24"/>
          <w:szCs w:val="24"/>
        </w:rPr>
        <w:t xml:space="preserve"> should be addressed:Xing Jin</w:t>
      </w:r>
      <w:r w:rsidRPr="00AB1438">
        <w:rPr>
          <w:rFonts w:ascii="Times New Roman" w:hAnsi="Times New Roman" w:cs="Times New Roman"/>
          <w:color w:val="000000" w:themeColor="text1"/>
          <w:sz w:val="24"/>
          <w:szCs w:val="24"/>
        </w:rPr>
        <w:t xml:space="preserve"> </w:t>
      </w:r>
      <w:hyperlink r:id="rId4" w:history="1">
        <w:r w:rsidRPr="00AB1438">
          <w:rPr>
            <w:rStyle w:val="Hyperlink"/>
            <w:rFonts w:ascii="Times New Roman" w:hAnsi="Times New Roman" w:cs="Times New Roman"/>
            <w:color w:val="000000" w:themeColor="text1"/>
            <w:sz w:val="24"/>
            <w:szCs w:val="24"/>
          </w:rPr>
          <w:t>jinxing</w:t>
        </w:r>
        <w:r w:rsidRPr="00AB1438">
          <w:rPr>
            <w:rStyle w:val="Hyperlink"/>
            <w:rFonts w:ascii="Times New Roman" w:hAnsi="Times New Roman" w:cs="Times New Roman" w:hint="eastAsia"/>
            <w:color w:val="000000" w:themeColor="text1"/>
            <w:sz w:val="24"/>
            <w:szCs w:val="24"/>
          </w:rPr>
          <w:t>6691</w:t>
        </w:r>
        <w:r w:rsidRPr="00AB1438">
          <w:rPr>
            <w:rStyle w:val="Hyperlink"/>
            <w:rFonts w:ascii="Times New Roman" w:hAnsi="Times New Roman" w:cs="Times New Roman"/>
            <w:color w:val="000000" w:themeColor="text1"/>
            <w:sz w:val="24"/>
            <w:szCs w:val="24"/>
          </w:rPr>
          <w:t>@</w:t>
        </w:r>
        <w:r w:rsidRPr="00AB1438">
          <w:rPr>
            <w:rStyle w:val="Hyperlink"/>
            <w:rFonts w:ascii="Times New Roman" w:hAnsi="Times New Roman" w:cs="Times New Roman" w:hint="eastAsia"/>
            <w:color w:val="000000" w:themeColor="text1"/>
            <w:sz w:val="24"/>
            <w:szCs w:val="24"/>
          </w:rPr>
          <w:t>163.com</w:t>
        </w:r>
      </w:hyperlink>
    </w:p>
    <w:p w:rsidR="008B2ABA" w:rsidRPr="00AB1438" w:rsidRDefault="008B2ABA">
      <w:pPr>
        <w:spacing w:line="480" w:lineRule="auto"/>
        <w:rPr>
          <w:rFonts w:ascii="Times New Roman" w:eastAsia="方正仿宋_GBK" w:hAnsi="Times New Roman" w:cs="Times New Roman"/>
          <w:b/>
          <w:bCs/>
          <w:color w:val="000000" w:themeColor="text1"/>
          <w:sz w:val="24"/>
          <w:szCs w:val="24"/>
        </w:rPr>
      </w:pPr>
    </w:p>
    <w:p w:rsidR="008B2ABA" w:rsidRPr="00AB1438" w:rsidRDefault="008B2ABA">
      <w:pPr>
        <w:spacing w:line="480" w:lineRule="auto"/>
        <w:jc w:val="left"/>
        <w:rPr>
          <w:rFonts w:ascii="Times New Roman" w:hAnsi="Times New Roman"/>
          <w:color w:val="000000" w:themeColor="text1"/>
          <w:sz w:val="28"/>
          <w:szCs w:val="28"/>
        </w:rPr>
      </w:pPr>
    </w:p>
    <w:p w:rsidR="008B2ABA" w:rsidRPr="00AB1438" w:rsidRDefault="008B2ABA">
      <w:pPr>
        <w:spacing w:line="480" w:lineRule="auto"/>
        <w:jc w:val="left"/>
        <w:rPr>
          <w:rFonts w:ascii="Times New Roman" w:hAnsi="Times New Roman"/>
          <w:color w:val="000000" w:themeColor="text1"/>
          <w:sz w:val="28"/>
          <w:szCs w:val="28"/>
        </w:rPr>
      </w:pPr>
    </w:p>
    <w:p w:rsidR="008B2ABA" w:rsidRPr="00AB1438" w:rsidRDefault="008B2ABA">
      <w:pPr>
        <w:spacing w:line="480" w:lineRule="auto"/>
        <w:jc w:val="left"/>
        <w:rPr>
          <w:rFonts w:ascii="Times New Roman" w:hAnsi="Times New Roman"/>
          <w:color w:val="000000" w:themeColor="text1"/>
          <w:sz w:val="28"/>
          <w:szCs w:val="28"/>
        </w:rPr>
      </w:pPr>
    </w:p>
    <w:p w:rsidR="008B2ABA" w:rsidRPr="00AB1438" w:rsidRDefault="008B2ABA">
      <w:pPr>
        <w:spacing w:line="480" w:lineRule="auto"/>
        <w:jc w:val="left"/>
        <w:rPr>
          <w:rFonts w:ascii="Times New Roman" w:hAnsi="Times New Roman"/>
          <w:color w:val="000000" w:themeColor="text1"/>
          <w:sz w:val="28"/>
          <w:szCs w:val="28"/>
        </w:rPr>
      </w:pPr>
    </w:p>
    <w:p w:rsidR="008B2ABA" w:rsidRPr="00AB1438" w:rsidRDefault="008B2ABA">
      <w:pPr>
        <w:spacing w:line="480" w:lineRule="auto"/>
        <w:jc w:val="left"/>
        <w:rPr>
          <w:rFonts w:ascii="Times New Roman" w:hAnsi="Times New Roman"/>
          <w:color w:val="000000" w:themeColor="text1"/>
          <w:sz w:val="28"/>
          <w:szCs w:val="28"/>
        </w:rPr>
      </w:pPr>
    </w:p>
    <w:p w:rsidR="008B2ABA" w:rsidRPr="00AB1438" w:rsidRDefault="008B2ABA">
      <w:pPr>
        <w:spacing w:line="480" w:lineRule="auto"/>
        <w:jc w:val="left"/>
        <w:rPr>
          <w:rFonts w:ascii="Times New Roman" w:hAnsi="Times New Roman"/>
          <w:color w:val="000000" w:themeColor="text1"/>
          <w:sz w:val="28"/>
          <w:szCs w:val="28"/>
        </w:rPr>
      </w:pPr>
    </w:p>
    <w:p w:rsidR="008B2ABA" w:rsidRPr="00AB1438" w:rsidRDefault="008B2ABA">
      <w:pPr>
        <w:spacing w:line="480" w:lineRule="auto"/>
        <w:jc w:val="left"/>
        <w:rPr>
          <w:rFonts w:ascii="Times New Roman" w:hAnsi="Times New Roman"/>
          <w:color w:val="000000" w:themeColor="text1"/>
          <w:sz w:val="28"/>
          <w:szCs w:val="28"/>
        </w:rPr>
      </w:pPr>
    </w:p>
    <w:p w:rsidR="008B2ABA" w:rsidRPr="00AB1438" w:rsidRDefault="00AB1438">
      <w:pPr>
        <w:pStyle w:val="NormalWeb"/>
        <w:widowControl/>
        <w:shd w:val="clear" w:color="auto" w:fill="FFFFFF"/>
        <w:spacing w:before="192" w:beforeAutospacing="0" w:afterAutospacing="0" w:line="360" w:lineRule="auto"/>
        <w:rPr>
          <w:rFonts w:ascii="Times New Roman" w:eastAsia="SimSun" w:hAnsi="Times New Roman"/>
          <w:b/>
          <w:bCs/>
          <w:color w:val="000000" w:themeColor="text1"/>
          <w:szCs w:val="24"/>
          <w:shd w:val="clear" w:color="auto" w:fill="FFFFFF"/>
        </w:rPr>
      </w:pPr>
      <w:r w:rsidRPr="00AB1438">
        <w:rPr>
          <w:rFonts w:ascii="Times New Roman" w:eastAsia="SimSun" w:hAnsi="Times New Roman" w:hint="eastAsia"/>
          <w:b/>
          <w:bCs/>
          <w:color w:val="000000" w:themeColor="text1"/>
          <w:szCs w:val="24"/>
          <w:shd w:val="clear" w:color="auto" w:fill="FFFFFF"/>
        </w:rPr>
        <w:lastRenderedPageBreak/>
        <w:t>S1.Effect of structural asymmetry factor on simulated chiral response</w:t>
      </w:r>
    </w:p>
    <w:p w:rsidR="008B2ABA" w:rsidRPr="00AB1438" w:rsidRDefault="00AB1438">
      <w:pPr>
        <w:pStyle w:val="NormalWeb"/>
        <w:widowControl/>
        <w:shd w:val="clear" w:color="auto" w:fill="FFFFFF"/>
        <w:spacing w:before="192" w:beforeAutospacing="0" w:afterAutospacing="0" w:line="360" w:lineRule="auto"/>
        <w:rPr>
          <w:rFonts w:ascii="Times New Roman" w:eastAsia="Segoe UI" w:hAnsi="Times New Roman"/>
          <w:color w:val="000000" w:themeColor="text1"/>
          <w:szCs w:val="24"/>
          <w:shd w:val="clear" w:color="auto" w:fill="FFFFFF"/>
        </w:rPr>
      </w:pPr>
      <w:r w:rsidRPr="00AB1438">
        <w:rPr>
          <w:rFonts w:ascii="Times New Roman" w:eastAsia="Segoe UI" w:hAnsi="Times New Roman"/>
          <w:color w:val="000000" w:themeColor="text1"/>
          <w:szCs w:val="24"/>
          <w:shd w:val="clear" w:color="auto" w:fill="FFFFFF"/>
        </w:rPr>
        <w:t xml:space="preserve">To quantitatively evaluate the dependence of the simulated molecular response on </w:t>
      </w:r>
      <w:r w:rsidRPr="00AB1438">
        <w:rPr>
          <w:rFonts w:ascii="Times New Roman" w:eastAsia="Segoe UI" w:hAnsi="Times New Roman"/>
          <w:color w:val="000000" w:themeColor="text1"/>
          <w:szCs w:val="24"/>
          <w:shd w:val="clear" w:color="auto" w:fill="FFFFFF"/>
        </w:rPr>
        <w:t>structural chirality, the structural asymmetry factor g was introduced as a parameter describing the strength of the chiral response. The effective chiral coupling parameter ξ was scaled according to ξ = ξref|g|/0.1, where ξref represents the reference cou</w:t>
      </w:r>
      <w:r w:rsidRPr="00AB1438">
        <w:rPr>
          <w:rFonts w:ascii="Times New Roman" w:eastAsia="Segoe UI" w:hAnsi="Times New Roman"/>
          <w:color w:val="000000" w:themeColor="text1"/>
          <w:szCs w:val="24"/>
          <w:shd w:val="clear" w:color="auto" w:fill="FFFFFF"/>
        </w:rPr>
        <w:t xml:space="preserve">pling parameter corresponding to g = 0.1. The central calculation adopted ξref = 10.25. The simulated gSERS and the response-based discrimination metric were then calculated under different g conditions. When g = 0, the simulated gSERS was approximately 0 </w:t>
      </w:r>
      <w:r w:rsidRPr="00AB1438">
        <w:rPr>
          <w:rFonts w:ascii="Times New Roman" w:eastAsia="Segoe UI" w:hAnsi="Times New Roman"/>
          <w:color w:val="000000" w:themeColor="text1"/>
          <w:szCs w:val="24"/>
          <w:shd w:val="clear" w:color="auto" w:fill="FFFFFF"/>
        </w:rPr>
        <w:t>and the response-based discrimination metric was 50.0%, indicating the absence of chiral discrimination in the model. As g increased, both the calculated gSERS and the response-based discrimination metric exhibited a monotonic increasing trend. At g = 0.1,</w:t>
      </w:r>
      <w:r w:rsidRPr="00AB1438">
        <w:rPr>
          <w:rFonts w:ascii="Times New Roman" w:eastAsia="Segoe UI" w:hAnsi="Times New Roman"/>
          <w:color w:val="000000" w:themeColor="text1"/>
          <w:szCs w:val="24"/>
          <w:shd w:val="clear" w:color="auto" w:fill="FFFFFF"/>
        </w:rPr>
        <w:t xml:space="preserve"> gSERS reached 0.7011 and the response-based discrimination metric reached 67.5%. Further sensitivity analysis with ξref ranging from 6 to 10.25 showed that, within the examined parameter range, the monotonic increasing trend of the simulated differential </w:t>
      </w:r>
      <w:r w:rsidRPr="00AB1438">
        <w:rPr>
          <w:rFonts w:ascii="Times New Roman" w:eastAsia="Segoe UI" w:hAnsi="Times New Roman"/>
          <w:color w:val="000000" w:themeColor="text1"/>
          <w:szCs w:val="24"/>
          <w:shd w:val="clear" w:color="auto" w:fill="FFFFFF"/>
        </w:rPr>
        <w:t>response with increasing g remained consistent (Figure S</w:t>
      </w:r>
      <w:r w:rsidRPr="00AB1438">
        <w:rPr>
          <w:rFonts w:ascii="Times New Roman" w:eastAsia="SimSun" w:hAnsi="Times New Roman" w:hint="eastAsia"/>
          <w:color w:val="000000" w:themeColor="text1"/>
          <w:szCs w:val="24"/>
          <w:shd w:val="clear" w:color="auto" w:fill="FFFFFF"/>
        </w:rPr>
        <w:t>1</w:t>
      </w:r>
      <w:r w:rsidRPr="00AB1438">
        <w:rPr>
          <w:rFonts w:ascii="Times New Roman" w:eastAsia="Segoe UI" w:hAnsi="Times New Roman"/>
          <w:color w:val="000000" w:themeColor="text1"/>
          <w:szCs w:val="24"/>
          <w:shd w:val="clear" w:color="auto" w:fill="FFFFFF"/>
        </w:rPr>
        <w:t>).</w:t>
      </w:r>
    </w:p>
    <w:p w:rsidR="008B2ABA" w:rsidRPr="00AB1438" w:rsidRDefault="00AB1438">
      <w:pPr>
        <w:spacing w:before="20" w:after="100"/>
        <w:jc w:val="center"/>
        <w:rPr>
          <w:rFonts w:ascii="Times New Roman" w:hAnsi="Times New Roman" w:cs="Times New Roman"/>
          <w:color w:val="000000" w:themeColor="text1"/>
        </w:rPr>
      </w:pPr>
      <w:r w:rsidRPr="00AB1438">
        <w:rPr>
          <w:noProof/>
          <w:color w:val="000000" w:themeColor="text1"/>
          <w:lang w:val="en-IN" w:eastAsia="en-IN"/>
        </w:rPr>
        <w:drawing>
          <wp:inline distT="0" distB="0" distL="114300" distR="114300">
            <wp:extent cx="5149215" cy="2265680"/>
            <wp:effectExtent l="0" t="0" r="1905" b="508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pic:cNvPicPr>
                      <a:picLocks noChangeAspect="1"/>
                    </pic:cNvPicPr>
                  </pic:nvPicPr>
                  <pic:blipFill>
                    <a:blip r:embed="rId5"/>
                    <a:stretch>
                      <a:fillRect/>
                    </a:stretch>
                  </pic:blipFill>
                  <pic:spPr>
                    <a:xfrm>
                      <a:off x="0" y="0"/>
                      <a:ext cx="5149215" cy="2265680"/>
                    </a:xfrm>
                    <a:prstGeom prst="rect">
                      <a:avLst/>
                    </a:prstGeom>
                  </pic:spPr>
                </pic:pic>
              </a:graphicData>
            </a:graphic>
          </wp:inline>
        </w:drawing>
      </w:r>
      <w:r w:rsidRPr="00AB1438">
        <w:rPr>
          <w:rFonts w:ascii="Times New Roman" w:hAnsi="Times New Roman" w:cs="Times New Roman"/>
          <w:b/>
          <w:bCs/>
          <w:color w:val="000000" w:themeColor="text1"/>
        </w:rPr>
        <w:t>Figure S</w:t>
      </w:r>
      <w:r w:rsidRPr="00AB1438">
        <w:rPr>
          <w:rFonts w:ascii="Times New Roman" w:hAnsi="Times New Roman" w:cs="Times New Roman" w:hint="eastAsia"/>
          <w:b/>
          <w:bCs/>
          <w:color w:val="000000" w:themeColor="text1"/>
        </w:rPr>
        <w:t>1.</w:t>
      </w:r>
      <w:r w:rsidRPr="00AB1438">
        <w:rPr>
          <w:rFonts w:ascii="Times New Roman" w:hAnsi="Times New Roman" w:cs="Times New Roman"/>
          <w:color w:val="000000" w:themeColor="text1"/>
        </w:rPr>
        <w:t xml:space="preserve"> Relationship between the g-factor and the simulated recognition response</w:t>
      </w:r>
    </w:p>
    <w:p w:rsidR="008B2ABA" w:rsidRPr="00AB1438" w:rsidRDefault="008B2ABA">
      <w:pPr>
        <w:spacing w:line="480" w:lineRule="auto"/>
        <w:jc w:val="left"/>
        <w:rPr>
          <w:rFonts w:ascii="Times New Roman" w:hAnsi="Times New Roman"/>
          <w:color w:val="000000" w:themeColor="text1"/>
          <w:sz w:val="24"/>
          <w:szCs w:val="24"/>
        </w:rPr>
      </w:pPr>
    </w:p>
    <w:p w:rsidR="008B2ABA" w:rsidRPr="00AB1438" w:rsidRDefault="00AB1438">
      <w:pPr>
        <w:spacing w:line="480" w:lineRule="auto"/>
        <w:jc w:val="left"/>
        <w:rPr>
          <w:rFonts w:ascii="Times New Roman" w:hAnsi="Times New Roman"/>
          <w:b/>
          <w:bCs/>
          <w:color w:val="000000" w:themeColor="text1"/>
          <w:sz w:val="24"/>
          <w:szCs w:val="24"/>
        </w:rPr>
      </w:pPr>
      <w:r w:rsidRPr="00AB1438">
        <w:rPr>
          <w:rFonts w:ascii="Times New Roman" w:hAnsi="Times New Roman" w:hint="eastAsia"/>
          <w:b/>
          <w:bCs/>
          <w:color w:val="000000" w:themeColor="text1"/>
          <w:sz w:val="24"/>
          <w:szCs w:val="24"/>
        </w:rPr>
        <w:t>S2.cleaning of D</w:t>
      </w:r>
      <w:r w:rsidRPr="00AB1438">
        <w:rPr>
          <w:rFonts w:ascii="Times New Roman" w:hAnsi="Times New Roman" w:hint="eastAsia"/>
          <w:b/>
          <w:bCs/>
          <w:color w:val="000000" w:themeColor="text1"/>
          <w:sz w:val="24"/>
          <w:szCs w:val="24"/>
        </w:rPr>
        <w:noBreakHyphen/>
        <w:t>CG NP array</w:t>
      </w:r>
    </w:p>
    <w:p w:rsidR="008B2ABA" w:rsidRPr="00AB1438" w:rsidRDefault="00AB1438">
      <w:pPr>
        <w:spacing w:line="480" w:lineRule="auto"/>
        <w:jc w:val="left"/>
        <w:rPr>
          <w:rFonts w:ascii="Times New Roman" w:eastAsia="方正仿宋_GBK" w:hAnsi="Times New Roman" w:cs="Times New Roman"/>
          <w:color w:val="000000" w:themeColor="text1"/>
          <w:sz w:val="28"/>
          <w:szCs w:val="28"/>
        </w:rPr>
      </w:pPr>
      <w:r w:rsidRPr="00AB1438">
        <w:rPr>
          <w:rFonts w:ascii="Times New Roman" w:hAnsi="Times New Roman"/>
          <w:color w:val="000000" w:themeColor="text1"/>
          <w:sz w:val="24"/>
          <w:szCs w:val="24"/>
        </w:rPr>
        <w:t xml:space="preserve">To minimize background interference arising from residual surface species, the </w:t>
      </w:r>
      <w:r w:rsidRPr="00AB1438">
        <w:rPr>
          <w:rFonts w:ascii="Times New Roman" w:hAnsi="Times New Roman"/>
          <w:color w:val="000000" w:themeColor="text1"/>
          <w:sz w:val="24"/>
          <w:szCs w:val="24"/>
        </w:rPr>
        <w:t xml:space="preserve">D-CG NP array was subjected to treatment with 0.1 M KI solution. Owing to the strong </w:t>
      </w:r>
      <w:r w:rsidRPr="00AB1438">
        <w:rPr>
          <w:rFonts w:ascii="Times New Roman" w:hAnsi="Times New Roman"/>
          <w:color w:val="000000" w:themeColor="text1"/>
          <w:sz w:val="24"/>
          <w:szCs w:val="24"/>
        </w:rPr>
        <w:lastRenderedPageBreak/>
        <w:t>adsorption affinity of I⁻ for the Au surface, they competitively displace the residual ligands, yielding a clean, low-background SERS detection interface (Figure</w:t>
      </w:r>
      <w:r w:rsidRPr="00AB1438">
        <w:rPr>
          <w:rFonts w:ascii="Times New Roman" w:hAnsi="Times New Roman" w:hint="eastAsia"/>
          <w:color w:val="000000" w:themeColor="text1"/>
          <w:sz w:val="24"/>
          <w:szCs w:val="24"/>
        </w:rPr>
        <w:t xml:space="preserve"> </w:t>
      </w:r>
      <w:r w:rsidRPr="00AB1438">
        <w:rPr>
          <w:rFonts w:ascii="Times New Roman" w:hAnsi="Times New Roman"/>
          <w:color w:val="000000" w:themeColor="text1"/>
          <w:sz w:val="24"/>
          <w:szCs w:val="24"/>
        </w:rPr>
        <w:t>S</w:t>
      </w:r>
      <w:r w:rsidRPr="00AB1438">
        <w:rPr>
          <w:rFonts w:ascii="Times New Roman" w:hAnsi="Times New Roman" w:hint="eastAsia"/>
          <w:color w:val="000000" w:themeColor="text1"/>
          <w:sz w:val="24"/>
          <w:szCs w:val="24"/>
        </w:rPr>
        <w:t>2</w:t>
      </w:r>
      <w:r w:rsidRPr="00AB1438">
        <w:rPr>
          <w:rFonts w:ascii="Times New Roman" w:hAnsi="Times New Roman"/>
          <w:color w:val="000000" w:themeColor="text1"/>
          <w:sz w:val="24"/>
          <w:szCs w:val="24"/>
        </w:rPr>
        <w:t>A).</w:t>
      </w:r>
      <w:r w:rsidRPr="00AB1438">
        <w:rPr>
          <w:rFonts w:ascii="Times New Roman" w:eastAsia="方正仿宋_GBK" w:hAnsi="Times New Roman" w:cs="Times New Roman"/>
          <w:noProof/>
          <w:color w:val="000000" w:themeColor="text1"/>
          <w:sz w:val="28"/>
          <w:szCs w:val="28"/>
          <w:lang w:val="en-IN" w:eastAsia="en-IN"/>
          <w14:ligatures w14:val="none"/>
        </w:rPr>
        <w:drawing>
          <wp:inline distT="0" distB="0" distL="0" distR="0">
            <wp:extent cx="5274310" cy="4185920"/>
            <wp:effectExtent l="0" t="0" r="2540" b="5080"/>
            <wp:docPr id="14245739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73963" name="图片 1"/>
                    <pic:cNvPicPr>
                      <a:picLocks noChangeAspect="1"/>
                    </pic:cNvPicPr>
                  </pic:nvPicPr>
                  <pic:blipFill>
                    <a:blip r:embed="rId6"/>
                    <a:stretch>
                      <a:fillRect/>
                    </a:stretch>
                  </pic:blipFill>
                  <pic:spPr>
                    <a:xfrm>
                      <a:off x="0" y="0"/>
                      <a:ext cx="5274310" cy="4185920"/>
                    </a:xfrm>
                    <a:prstGeom prst="rect">
                      <a:avLst/>
                    </a:prstGeom>
                  </pic:spPr>
                </pic:pic>
              </a:graphicData>
            </a:graphic>
          </wp:inline>
        </w:drawing>
      </w:r>
    </w:p>
    <w:p w:rsidR="008B2ABA" w:rsidRPr="00AB1438" w:rsidRDefault="00AB1438">
      <w:pPr>
        <w:spacing w:line="360" w:lineRule="auto"/>
        <w:ind w:firstLine="420"/>
        <w:jc w:val="center"/>
        <w:rPr>
          <w:rFonts w:ascii="Times New Roman" w:eastAsia="方正仿宋_GBK" w:hAnsi="Times New Roman" w:cs="Times New Roman"/>
          <w:color w:val="000000" w:themeColor="text1"/>
          <w:sz w:val="24"/>
          <w:szCs w:val="24"/>
        </w:rPr>
      </w:pPr>
      <w:r w:rsidRPr="00AB1438">
        <w:rPr>
          <w:rFonts w:ascii="Times New Roman" w:eastAsia="方正仿宋_GBK" w:hAnsi="Times New Roman" w:cs="Times New Roman" w:hint="eastAsia"/>
          <w:b/>
          <w:bCs/>
          <w:color w:val="000000" w:themeColor="text1"/>
          <w:sz w:val="24"/>
          <w:szCs w:val="24"/>
        </w:rPr>
        <w:t>Fi</w:t>
      </w:r>
      <w:r w:rsidRPr="00AB1438">
        <w:rPr>
          <w:rFonts w:ascii="Times New Roman" w:eastAsia="方正仿宋_GBK" w:hAnsi="Times New Roman" w:cs="Times New Roman" w:hint="eastAsia"/>
          <w:b/>
          <w:bCs/>
          <w:color w:val="000000" w:themeColor="text1"/>
          <w:sz w:val="24"/>
          <w:szCs w:val="24"/>
        </w:rPr>
        <w:t>gure S</w:t>
      </w:r>
      <w:r w:rsidRPr="00AB1438">
        <w:rPr>
          <w:rFonts w:ascii="Times New Roman" w:eastAsia="方正仿宋_GBK" w:hAnsi="Times New Roman" w:cs="Times New Roman" w:hint="eastAsia"/>
          <w:b/>
          <w:bCs/>
          <w:color w:val="000000" w:themeColor="text1"/>
          <w:sz w:val="24"/>
          <w:szCs w:val="24"/>
        </w:rPr>
        <w:t>2</w:t>
      </w:r>
      <w:r w:rsidRPr="00AB1438">
        <w:rPr>
          <w:rFonts w:ascii="Times New Roman" w:eastAsia="方正仿宋_GBK" w:hAnsi="Times New Roman" w:cs="Times New Roman" w:hint="eastAsia"/>
          <w:b/>
          <w:bCs/>
          <w:color w:val="000000" w:themeColor="text1"/>
          <w:sz w:val="24"/>
          <w:szCs w:val="24"/>
        </w:rPr>
        <w:t>.</w:t>
      </w:r>
      <w:r w:rsidRPr="00AB1438">
        <w:rPr>
          <w:rFonts w:ascii="Times New Roman" w:eastAsia="方正仿宋_GBK" w:hAnsi="Times New Roman" w:cs="Times New Roman" w:hint="eastAsia"/>
          <w:color w:val="000000" w:themeColor="text1"/>
          <w:sz w:val="24"/>
          <w:szCs w:val="24"/>
        </w:rPr>
        <w:t xml:space="preserve"> (A) SERS spectra obtained from D-CN NP arrays treated with a 0.1 M KI solution</w:t>
      </w:r>
    </w:p>
    <w:p w:rsidR="008B2ABA" w:rsidRPr="00AB1438" w:rsidRDefault="008B2ABA">
      <w:pPr>
        <w:spacing w:line="480" w:lineRule="auto"/>
        <w:jc w:val="left"/>
        <w:rPr>
          <w:rFonts w:ascii="Times New Roman" w:hAnsi="Times New Roman"/>
          <w:color w:val="000000" w:themeColor="text1"/>
          <w:sz w:val="24"/>
          <w:szCs w:val="24"/>
        </w:rPr>
      </w:pPr>
    </w:p>
    <w:p w:rsidR="008B2ABA" w:rsidRPr="00AB1438" w:rsidRDefault="00AB1438">
      <w:pPr>
        <w:spacing w:line="480" w:lineRule="auto"/>
        <w:jc w:val="left"/>
        <w:rPr>
          <w:rFonts w:ascii="Times New Roman" w:hAnsi="Times New Roman"/>
          <w:color w:val="000000" w:themeColor="text1"/>
          <w:sz w:val="24"/>
          <w:szCs w:val="24"/>
        </w:rPr>
      </w:pPr>
      <w:r w:rsidRPr="00AB1438">
        <w:rPr>
          <w:rFonts w:ascii="Times New Roman" w:hAnsi="Times New Roman" w:hint="eastAsia"/>
          <w:color w:val="000000" w:themeColor="text1"/>
          <w:sz w:val="24"/>
          <w:szCs w:val="24"/>
        </w:rPr>
        <w:t xml:space="preserve"> </w:t>
      </w:r>
    </w:p>
    <w:p w:rsidR="008B2ABA" w:rsidRPr="00AB1438" w:rsidRDefault="00AB1438">
      <w:pPr>
        <w:spacing w:line="480" w:lineRule="auto"/>
        <w:jc w:val="left"/>
        <w:rPr>
          <w:rFonts w:ascii="Times New Roman" w:hAnsi="Times New Roman"/>
          <w:color w:val="000000" w:themeColor="text1"/>
        </w:rPr>
      </w:pPr>
      <w:r w:rsidRPr="00AB1438">
        <w:rPr>
          <w:rFonts w:ascii="Times New Roman" w:hAnsi="Times New Roman" w:hint="eastAsia"/>
          <w:b/>
          <w:bCs/>
          <w:color w:val="000000" w:themeColor="text1"/>
          <w:sz w:val="24"/>
          <w:szCs w:val="24"/>
        </w:rPr>
        <w:t>S3.</w:t>
      </w:r>
      <w:r w:rsidRPr="00AB1438">
        <w:rPr>
          <w:rStyle w:val="Strong"/>
          <w:rFonts w:ascii="Times New Roman" w:hAnsi="Times New Roman"/>
          <w:color w:val="000000" w:themeColor="text1"/>
        </w:rPr>
        <w:t>Simulation of Electromagnetic Field Distribution of CG NPs</w:t>
      </w:r>
      <w:r w:rsidRPr="00AB1438">
        <w:rPr>
          <w:rFonts w:ascii="Times New Roman" w:hAnsi="Times New Roman"/>
          <w:color w:val="000000" w:themeColor="text1"/>
        </w:rPr>
        <w:br/>
        <w:t xml:space="preserve">Finite-difference time-domain (FDTD) simulations were conducted to analyze the electromagnetic field </w:t>
      </w:r>
      <w:r w:rsidRPr="00AB1438">
        <w:rPr>
          <w:rFonts w:ascii="Times New Roman" w:hAnsi="Times New Roman"/>
          <w:color w:val="000000" w:themeColor="text1"/>
        </w:rPr>
        <w:t>distributions of both isolated and arrayed CG NPs across the X–Y, X–Z, and Y–Z planes. By integrating electric field intensity contour maps with morphological outlines, the roles of the chiral structures and array arrangements of CG NPs in enhancing the SE</w:t>
      </w:r>
      <w:r w:rsidRPr="00AB1438">
        <w:rPr>
          <w:rFonts w:ascii="Times New Roman" w:hAnsi="Times New Roman"/>
          <w:color w:val="000000" w:themeColor="text1"/>
        </w:rPr>
        <w:t>RS effect were elucidated.</w:t>
      </w:r>
      <w:r w:rsidRPr="00AB1438">
        <w:rPr>
          <w:rFonts w:ascii="Times New Roman" w:hAnsi="Times New Roman" w:hint="eastAsia"/>
          <w:color w:val="000000" w:themeColor="text1"/>
        </w:rPr>
        <w:t xml:space="preserve"> </w:t>
      </w:r>
      <w:r w:rsidRPr="00AB1438">
        <w:rPr>
          <w:rFonts w:ascii="Times New Roman" w:hAnsi="Times New Roman"/>
          <w:color w:val="000000" w:themeColor="text1"/>
        </w:rPr>
        <w:t xml:space="preserve">The electromagnetic field distributions of individual L-CG NPs and D-CG NPs in the X–Y plane are </w:t>
      </w:r>
      <w:r w:rsidRPr="00AB1438">
        <w:rPr>
          <w:rFonts w:ascii="Times New Roman" w:hAnsi="Times New Roman"/>
          <w:color w:val="000000" w:themeColor="text1"/>
        </w:rPr>
        <w:lastRenderedPageBreak/>
        <w:t xml:space="preserve">illustrated in Figures </w:t>
      </w:r>
      <w:r w:rsidRPr="00AB1438">
        <w:rPr>
          <w:rFonts w:ascii="Times New Roman" w:hAnsi="Times New Roman" w:hint="eastAsia"/>
          <w:color w:val="000000" w:themeColor="text1"/>
        </w:rPr>
        <w:t>3</w:t>
      </w:r>
      <w:r w:rsidRPr="00AB1438">
        <w:rPr>
          <w:rFonts w:ascii="Times New Roman" w:hAnsi="Times New Roman"/>
          <w:color w:val="000000" w:themeColor="text1"/>
        </w:rPr>
        <w:t xml:space="preserve">A and </w:t>
      </w:r>
      <w:r w:rsidRPr="00AB1438">
        <w:rPr>
          <w:rFonts w:ascii="Times New Roman" w:hAnsi="Times New Roman" w:hint="eastAsia"/>
          <w:color w:val="000000" w:themeColor="text1"/>
        </w:rPr>
        <w:t>3</w:t>
      </w:r>
      <w:r w:rsidRPr="00AB1438">
        <w:rPr>
          <w:rFonts w:ascii="Times New Roman" w:hAnsi="Times New Roman"/>
          <w:color w:val="000000" w:themeColor="text1"/>
        </w:rPr>
        <w:t xml:space="preserve">D, respectively, revealing concentrated fields in the core contour regions </w:t>
      </w:r>
      <w:r w:rsidRPr="00AB1438">
        <w:rPr>
          <w:rFonts w:ascii="Times New Roman" w:hAnsi="Times New Roman" w:hint="eastAsia"/>
          <w:color w:val="000000" w:themeColor="text1"/>
        </w:rPr>
        <w:t>with</w:t>
      </w:r>
      <w:r w:rsidRPr="00AB1438">
        <w:rPr>
          <w:rFonts w:ascii="Times New Roman" w:hAnsi="Times New Roman"/>
          <w:color w:val="000000" w:themeColor="text1"/>
        </w:rPr>
        <w:t xml:space="preserve"> asymmetric lobed feat</w:t>
      </w:r>
      <w:r w:rsidRPr="00AB1438">
        <w:rPr>
          <w:rFonts w:ascii="Times New Roman" w:hAnsi="Times New Roman"/>
          <w:color w:val="000000" w:themeColor="text1"/>
        </w:rPr>
        <w:t xml:space="preserve">ures. For L/D-CG NP dimers, the electromagnetic field distributions in the X–Z plane are presented in Figures </w:t>
      </w:r>
      <w:r w:rsidRPr="00AB1438">
        <w:rPr>
          <w:rFonts w:ascii="Times New Roman" w:hAnsi="Times New Roman" w:hint="eastAsia"/>
          <w:color w:val="000000" w:themeColor="text1"/>
        </w:rPr>
        <w:t>3</w:t>
      </w:r>
      <w:r w:rsidRPr="00AB1438">
        <w:rPr>
          <w:rFonts w:ascii="Times New Roman" w:hAnsi="Times New Roman"/>
          <w:color w:val="000000" w:themeColor="text1"/>
        </w:rPr>
        <w:t xml:space="preserve">B and </w:t>
      </w:r>
      <w:r w:rsidRPr="00AB1438">
        <w:rPr>
          <w:rFonts w:ascii="Times New Roman" w:hAnsi="Times New Roman" w:hint="eastAsia"/>
          <w:color w:val="000000" w:themeColor="text1"/>
        </w:rPr>
        <w:t>3</w:t>
      </w:r>
      <w:r w:rsidRPr="00AB1438">
        <w:rPr>
          <w:rFonts w:ascii="Times New Roman" w:hAnsi="Times New Roman"/>
          <w:color w:val="000000" w:themeColor="text1"/>
        </w:rPr>
        <w:t xml:space="preserve">E, while those in the Y–Z plane are shown in Figures </w:t>
      </w:r>
      <w:r w:rsidRPr="00AB1438">
        <w:rPr>
          <w:rFonts w:ascii="Times New Roman" w:hAnsi="Times New Roman" w:hint="eastAsia"/>
          <w:color w:val="000000" w:themeColor="text1"/>
        </w:rPr>
        <w:t>3</w:t>
      </w:r>
      <w:r w:rsidRPr="00AB1438">
        <w:rPr>
          <w:rFonts w:ascii="Times New Roman" w:hAnsi="Times New Roman"/>
          <w:color w:val="000000" w:themeColor="text1"/>
        </w:rPr>
        <w:t xml:space="preserve">C and </w:t>
      </w:r>
      <w:r w:rsidRPr="00AB1438">
        <w:rPr>
          <w:rFonts w:ascii="Times New Roman" w:hAnsi="Times New Roman" w:hint="eastAsia"/>
          <w:color w:val="000000" w:themeColor="text1"/>
        </w:rPr>
        <w:t>3</w:t>
      </w:r>
      <w:r w:rsidRPr="00AB1438">
        <w:rPr>
          <w:rFonts w:ascii="Times New Roman" w:hAnsi="Times New Roman"/>
          <w:color w:val="000000" w:themeColor="text1"/>
        </w:rPr>
        <w:t>F.</w:t>
      </w:r>
      <w:r w:rsidRPr="00AB1438">
        <w:rPr>
          <w:rFonts w:ascii="Times New Roman" w:hAnsi="Times New Roman" w:hint="eastAsia"/>
          <w:color w:val="000000" w:themeColor="text1"/>
        </w:rPr>
        <w:t xml:space="preserve"> </w:t>
      </w:r>
      <w:r w:rsidRPr="00AB1438">
        <w:rPr>
          <w:rFonts w:ascii="Times New Roman" w:hAnsi="Times New Roman"/>
          <w:color w:val="000000" w:themeColor="text1"/>
        </w:rPr>
        <w:t>Due to plasmonic coupling between adjacent CG NPs, notable electromagnetic</w:t>
      </w:r>
      <w:r w:rsidRPr="00AB1438">
        <w:rPr>
          <w:rFonts w:ascii="Times New Roman" w:hAnsi="Times New Roman"/>
          <w:color w:val="000000" w:themeColor="text1"/>
        </w:rPr>
        <w:t xml:space="preserve"> field enhancement is observed at interparticle gaps and contact interfaces. Notably, the spatial distribution of these high-field regions exhibits significant chirality-dependent variations. These findings demonstrate that large-area, high-density CG NP a</w:t>
      </w:r>
      <w:r w:rsidRPr="00AB1438">
        <w:rPr>
          <w:rFonts w:ascii="Times New Roman" w:hAnsi="Times New Roman"/>
          <w:color w:val="000000" w:themeColor="text1"/>
        </w:rPr>
        <w:t>rrays</w:t>
      </w:r>
      <w:r w:rsidRPr="00AB1438">
        <w:rPr>
          <w:rFonts w:ascii="Times New Roman" w:hAnsi="Times New Roman" w:hint="eastAsia"/>
          <w:color w:val="000000" w:themeColor="text1"/>
        </w:rPr>
        <w:t>,</w:t>
      </w:r>
      <w:r w:rsidRPr="00AB1438">
        <w:rPr>
          <w:rFonts w:ascii="Times New Roman" w:hAnsi="Times New Roman"/>
          <w:color w:val="000000" w:themeColor="text1"/>
        </w:rPr>
        <w:t xml:space="preserve"> fabricated via self-assembly at the oil</w:t>
      </w:r>
      <w:r w:rsidRPr="00AB1438">
        <w:rPr>
          <w:rFonts w:ascii="Times New Roman" w:hAnsi="Times New Roman" w:hint="eastAsia"/>
          <w:color w:val="000000" w:themeColor="text1"/>
        </w:rPr>
        <w:t>-</w:t>
      </w:r>
      <w:r w:rsidRPr="00AB1438">
        <w:rPr>
          <w:rFonts w:ascii="Times New Roman" w:hAnsi="Times New Roman"/>
          <w:color w:val="000000" w:themeColor="text1"/>
        </w:rPr>
        <w:t>water interface</w:t>
      </w:r>
      <w:r w:rsidRPr="00AB1438">
        <w:rPr>
          <w:rFonts w:ascii="Times New Roman" w:hAnsi="Times New Roman" w:hint="eastAsia"/>
          <w:color w:val="000000" w:themeColor="text1"/>
        </w:rPr>
        <w:t>,</w:t>
      </w:r>
      <w:r w:rsidRPr="00AB1438">
        <w:rPr>
          <w:rFonts w:ascii="Times New Roman" w:hAnsi="Times New Roman"/>
          <w:color w:val="000000" w:themeColor="text1"/>
        </w:rPr>
        <w:t xml:space="preserve"> exhibit pronounced SERS enhancement effects.</w:t>
      </w:r>
    </w:p>
    <w:p w:rsidR="008B2ABA" w:rsidRPr="00AB1438" w:rsidRDefault="00AB1438">
      <w:pPr>
        <w:pStyle w:val="NormalWeb"/>
        <w:widowControl/>
        <w:spacing w:line="480" w:lineRule="auto"/>
        <w:rPr>
          <w:rStyle w:val="Strong"/>
          <w:rFonts w:ascii="Times New Roman" w:hAnsi="Times New Roman"/>
          <w:color w:val="000000" w:themeColor="text1"/>
        </w:rPr>
      </w:pPr>
      <w:r w:rsidRPr="00AB1438">
        <w:rPr>
          <w:rFonts w:ascii="Times New Roman" w:hAnsi="Times New Roman"/>
          <w:b/>
          <w:noProof/>
          <w:color w:val="000000" w:themeColor="text1"/>
          <w:lang w:val="en-IN" w:eastAsia="en-IN"/>
        </w:rPr>
        <w:drawing>
          <wp:inline distT="0" distB="0" distL="0" distR="0">
            <wp:extent cx="5274310" cy="2855595"/>
            <wp:effectExtent l="0" t="0" r="13970" b="9525"/>
            <wp:docPr id="3428814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81420" name="图片 19"/>
                    <pic:cNvPicPr>
                      <a:picLocks noChangeAspect="1"/>
                    </pic:cNvPicPr>
                  </pic:nvPicPr>
                  <pic:blipFill>
                    <a:blip r:embed="rId7"/>
                    <a:stretch>
                      <a:fillRect/>
                    </a:stretch>
                  </pic:blipFill>
                  <pic:spPr>
                    <a:xfrm>
                      <a:off x="0" y="0"/>
                      <a:ext cx="5274310" cy="2855595"/>
                    </a:xfrm>
                    <a:prstGeom prst="rect">
                      <a:avLst/>
                    </a:prstGeom>
                  </pic:spPr>
                </pic:pic>
              </a:graphicData>
            </a:graphic>
          </wp:inline>
        </w:drawing>
      </w:r>
    </w:p>
    <w:p w:rsidR="008B2ABA" w:rsidRPr="00AB1438" w:rsidRDefault="00AB1438">
      <w:pPr>
        <w:pStyle w:val="NormalWeb"/>
        <w:widowControl/>
        <w:spacing w:line="480" w:lineRule="auto"/>
        <w:jc w:val="center"/>
        <w:rPr>
          <w:rFonts w:ascii="Times New Roman" w:hAnsi="Times New Roman"/>
          <w:color w:val="000000" w:themeColor="text1"/>
        </w:rPr>
      </w:pPr>
      <w:r w:rsidRPr="00AB1438">
        <w:rPr>
          <w:rStyle w:val="Strong"/>
          <w:rFonts w:ascii="Times New Roman" w:hAnsi="Times New Roman"/>
          <w:color w:val="000000" w:themeColor="text1"/>
        </w:rPr>
        <w:t xml:space="preserve">Figure </w:t>
      </w:r>
      <w:r w:rsidRPr="00AB1438">
        <w:rPr>
          <w:rStyle w:val="Strong"/>
          <w:rFonts w:ascii="Times New Roman" w:hAnsi="Times New Roman" w:hint="eastAsia"/>
          <w:color w:val="000000" w:themeColor="text1"/>
        </w:rPr>
        <w:t>S3</w:t>
      </w:r>
      <w:r w:rsidRPr="00AB1438">
        <w:rPr>
          <w:rStyle w:val="Strong"/>
          <w:rFonts w:ascii="Times New Roman" w:hAnsi="Times New Roman"/>
          <w:color w:val="000000" w:themeColor="text1"/>
        </w:rPr>
        <w:t>.</w:t>
      </w:r>
      <w:r w:rsidRPr="00AB1438">
        <w:rPr>
          <w:rFonts w:ascii="Times New Roman" w:hAnsi="Times New Roman"/>
          <w:color w:val="000000" w:themeColor="text1"/>
        </w:rPr>
        <w:t xml:space="preserve"> (A) Electromagnetic field intensity distribution of a single L-CG NP (X–Y plane); (B) electromagnetic field intensity distribution of L-CG NP dimers (X–Z plane); (C) electromagnetic field intensity distribution of L-CG NP dimers (Y–Z plane); (D) electroma</w:t>
      </w:r>
      <w:r w:rsidRPr="00AB1438">
        <w:rPr>
          <w:rFonts w:ascii="Times New Roman" w:hAnsi="Times New Roman"/>
          <w:color w:val="000000" w:themeColor="text1"/>
        </w:rPr>
        <w:t xml:space="preserve">gnetic field intensity distribution of a single D-CG NP (X–Y plane); (E) electromagnetic field intensity distribution of D-CG NP dimers (X–Z </w:t>
      </w:r>
      <w:r w:rsidRPr="00AB1438">
        <w:rPr>
          <w:rFonts w:ascii="Times New Roman" w:hAnsi="Times New Roman"/>
          <w:color w:val="000000" w:themeColor="text1"/>
        </w:rPr>
        <w:lastRenderedPageBreak/>
        <w:t>plane); (F) electromagnetic field intensity distribution of D-CG NP dimers (Y–Z plane).</w:t>
      </w:r>
    </w:p>
    <w:p w:rsidR="008B2ABA" w:rsidRPr="00AB1438" w:rsidRDefault="00AB1438">
      <w:pPr>
        <w:spacing w:line="480" w:lineRule="auto"/>
        <w:jc w:val="left"/>
        <w:rPr>
          <w:rFonts w:ascii="Times New Roman" w:hAnsi="Times New Roman"/>
          <w:b/>
          <w:bCs/>
          <w:color w:val="000000" w:themeColor="text1"/>
          <w:sz w:val="24"/>
          <w:szCs w:val="24"/>
        </w:rPr>
      </w:pPr>
      <w:r w:rsidRPr="00AB1438">
        <w:rPr>
          <w:rFonts w:ascii="Times New Roman" w:hAnsi="Times New Roman" w:hint="eastAsia"/>
          <w:b/>
          <w:bCs/>
          <w:color w:val="000000" w:themeColor="text1"/>
          <w:sz w:val="24"/>
          <w:szCs w:val="24"/>
        </w:rPr>
        <w:t>S4. Extended FDTD simulatio</w:t>
      </w:r>
      <w:r w:rsidRPr="00AB1438">
        <w:rPr>
          <w:rFonts w:ascii="Times New Roman" w:hAnsi="Times New Roman" w:hint="eastAsia"/>
          <w:b/>
          <w:bCs/>
          <w:color w:val="000000" w:themeColor="text1"/>
          <w:sz w:val="24"/>
          <w:szCs w:val="24"/>
        </w:rPr>
        <w:t>n analysis</w:t>
      </w:r>
    </w:p>
    <w:p w:rsidR="008B2ABA" w:rsidRPr="00AB1438" w:rsidRDefault="00AB1438">
      <w:pPr>
        <w:pStyle w:val="NormalWeb"/>
        <w:widowControl/>
        <w:shd w:val="clear" w:color="auto" w:fill="FFFFFF"/>
        <w:spacing w:beforeAutospacing="0" w:after="192" w:afterAutospacing="0" w:line="360" w:lineRule="auto"/>
        <w:rPr>
          <w:rFonts w:ascii="Times New Roman" w:eastAsia="Segoe UI" w:hAnsi="Times New Roman"/>
          <w:color w:val="000000" w:themeColor="text1"/>
          <w:szCs w:val="24"/>
        </w:rPr>
      </w:pPr>
      <w:r w:rsidRPr="00AB1438">
        <w:rPr>
          <w:rFonts w:ascii="Times New Roman" w:eastAsia="Segoe UI" w:hAnsi="Times New Roman"/>
          <w:color w:val="000000" w:themeColor="text1"/>
          <w:szCs w:val="24"/>
          <w:shd w:val="clear" w:color="auto" w:fill="FFFFFF"/>
        </w:rPr>
        <w:t>To further distinguish the chiral-related contribution from conventional electromagnetic SERS enhancement, we analyzed the near-field characteristics of the mirror-symmetric L-CG and D-CG nanostructures under 785 nm linearly polarized excitation</w:t>
      </w:r>
      <w:r w:rsidRPr="00AB1438">
        <w:rPr>
          <w:rFonts w:ascii="Times New Roman" w:eastAsia="Segoe UI" w:hAnsi="Times New Roman"/>
          <w:color w:val="000000" w:themeColor="text1"/>
          <w:szCs w:val="24"/>
          <w:shd w:val="clear" w:color="auto" w:fill="FFFFFF"/>
        </w:rPr>
        <w:t xml:space="preserve">, consistent with the experimental conditions. As shown in </w:t>
      </w:r>
      <w:r w:rsidRPr="00AB1438">
        <w:rPr>
          <w:rFonts w:ascii="Times New Roman" w:eastAsia="SimSun" w:hAnsi="Times New Roman"/>
          <w:color w:val="000000" w:themeColor="text1"/>
          <w:sz w:val="21"/>
        </w:rPr>
        <w:t xml:space="preserve">Figure </w:t>
      </w:r>
      <w:r w:rsidRPr="00AB1438">
        <w:rPr>
          <w:rFonts w:ascii="Times New Roman" w:eastAsia="SimSun" w:hAnsi="Times New Roman" w:hint="eastAsia"/>
          <w:color w:val="000000" w:themeColor="text1"/>
          <w:sz w:val="21"/>
        </w:rPr>
        <w:t>S4</w:t>
      </w:r>
      <w:r w:rsidRPr="00AB1438">
        <w:rPr>
          <w:rFonts w:ascii="Times New Roman" w:eastAsia="Segoe UI" w:hAnsi="Times New Roman"/>
          <w:color w:val="000000" w:themeColor="text1"/>
          <w:szCs w:val="24"/>
          <w:shd w:val="clear" w:color="auto" w:fill="FFFFFF"/>
        </w:rPr>
        <w:t>, within the top 1% hotspot region of the 1 nm shell outside the gold surface, the average and peak |E|⁴ ratios of D-CG to L-CG were 0.9956 and 0.9949, respectively, indicating that the tw</w:t>
      </w:r>
      <w:r w:rsidRPr="00AB1438">
        <w:rPr>
          <w:rFonts w:ascii="Times New Roman" w:eastAsia="Segoe UI" w:hAnsi="Times New Roman"/>
          <w:color w:val="000000" w:themeColor="text1"/>
          <w:szCs w:val="24"/>
          <w:shd w:val="clear" w:color="auto" w:fill="FFFFFF"/>
        </w:rPr>
        <w:t>o mirror-symmetric chiral substrates possess essentially equivalent conventional electromagnetic enhancement capability. Therefore, the observed difference in Aβ42 SERS response cannot be simply attributed to differences in hotspot density or overall local</w:t>
      </w:r>
      <w:r w:rsidRPr="00AB1438">
        <w:rPr>
          <w:rFonts w:ascii="Times New Roman" w:eastAsia="Segoe UI" w:hAnsi="Times New Roman"/>
          <w:color w:val="000000" w:themeColor="text1"/>
          <w:szCs w:val="24"/>
          <w:shd w:val="clear" w:color="auto" w:fill="FFFFFF"/>
        </w:rPr>
        <w:t xml:space="preserve"> electromagnetic field enhancement intensity.</w:t>
      </w:r>
    </w:p>
    <w:p w:rsidR="008B2ABA" w:rsidRPr="00AB1438" w:rsidRDefault="00AB1438">
      <w:pPr>
        <w:pStyle w:val="NormalWeb"/>
        <w:widowControl/>
        <w:shd w:val="clear" w:color="auto" w:fill="FFFFFF"/>
        <w:spacing w:before="192" w:beforeAutospacing="0" w:after="192" w:afterAutospacing="0" w:line="360" w:lineRule="auto"/>
        <w:rPr>
          <w:rFonts w:ascii="Times New Roman" w:eastAsia="Segoe UI" w:hAnsi="Times New Roman"/>
          <w:color w:val="000000" w:themeColor="text1"/>
          <w:szCs w:val="24"/>
        </w:rPr>
      </w:pPr>
      <w:r w:rsidRPr="00AB1438">
        <w:rPr>
          <w:rFonts w:ascii="Times New Roman" w:eastAsia="Segoe UI" w:hAnsi="Times New Roman"/>
          <w:color w:val="000000" w:themeColor="text1"/>
          <w:szCs w:val="24"/>
          <w:shd w:val="clear" w:color="auto" w:fill="FFFFFF"/>
        </w:rPr>
        <w:t xml:space="preserve">Further analysis of the complex electric and magnetic near fields revealed that the two mirror-symmetric structures exhibit opposite local polarization characteristics (Figures </w:t>
      </w:r>
      <w:r w:rsidRPr="00AB1438">
        <w:rPr>
          <w:rFonts w:ascii="Times New Roman" w:eastAsia="SimSun" w:hAnsi="Times New Roman" w:hint="eastAsia"/>
          <w:color w:val="000000" w:themeColor="text1"/>
          <w:szCs w:val="24"/>
          <w:shd w:val="clear" w:color="auto" w:fill="FFFFFF"/>
        </w:rPr>
        <w:t>S7</w:t>
      </w:r>
      <w:r w:rsidRPr="00AB1438">
        <w:rPr>
          <w:rFonts w:ascii="Times New Roman" w:eastAsia="Segoe UI" w:hAnsi="Times New Roman"/>
          <w:color w:val="000000" w:themeColor="text1"/>
          <w:szCs w:val="24"/>
          <w:shd w:val="clear" w:color="auto" w:fill="FFFFFF"/>
        </w:rPr>
        <w:t>). The hotspot-weighted ellipti</w:t>
      </w:r>
      <w:r w:rsidRPr="00AB1438">
        <w:rPr>
          <w:rFonts w:ascii="Times New Roman" w:eastAsia="Segoe UI" w:hAnsi="Times New Roman"/>
          <w:color w:val="000000" w:themeColor="text1"/>
          <w:szCs w:val="24"/>
          <w:shd w:val="clear" w:color="auto" w:fill="FFFFFF"/>
        </w:rPr>
        <w:t>cities of L-CG and D-CG were +9.94 × 10</w:t>
      </w:r>
      <w:r w:rsidRPr="00AB1438">
        <w:rPr>
          <w:rFonts w:asciiTheme="minorEastAsia" w:hAnsiTheme="minorEastAsia" w:hint="eastAsia"/>
          <w:color w:val="000000" w:themeColor="text1"/>
          <w:szCs w:val="24"/>
          <w:shd w:val="clear" w:color="auto" w:fill="FFFFFF"/>
          <w:vertAlign w:val="superscript"/>
        </w:rPr>
        <w:t>-4</w:t>
      </w:r>
      <w:r w:rsidRPr="00AB1438">
        <w:rPr>
          <w:rFonts w:ascii="Times New Roman" w:eastAsia="Segoe UI" w:hAnsi="Times New Roman"/>
          <w:color w:val="000000" w:themeColor="text1"/>
          <w:szCs w:val="24"/>
          <w:shd w:val="clear" w:color="auto" w:fill="FFFFFF"/>
        </w:rPr>
        <w:t>and −9.97 × 10</w:t>
      </w:r>
      <w:r w:rsidRPr="00AB1438">
        <w:rPr>
          <w:rFonts w:asciiTheme="minorEastAsia" w:hAnsiTheme="minorEastAsia" w:hint="eastAsia"/>
          <w:color w:val="000000" w:themeColor="text1"/>
          <w:szCs w:val="24"/>
          <w:shd w:val="clear" w:color="auto" w:fill="FFFFFF"/>
          <w:vertAlign w:val="superscript"/>
        </w:rPr>
        <w:t>-4</w:t>
      </w:r>
      <w:r w:rsidRPr="00AB1438">
        <w:rPr>
          <w:rFonts w:ascii="Times New Roman" w:eastAsia="Segoe UI" w:hAnsi="Times New Roman"/>
          <w:color w:val="000000" w:themeColor="text1"/>
          <w:szCs w:val="24"/>
          <w:shd w:val="clear" w:color="auto" w:fill="FFFFFF"/>
        </w:rPr>
        <w:t>, respectively, corresponding to optical chirality densities of +4.34 × 10</w:t>
      </w:r>
      <w:r w:rsidRPr="00AB1438">
        <w:rPr>
          <w:rFonts w:asciiTheme="minorEastAsia" w:hAnsiTheme="minorEastAsia" w:hint="eastAsia"/>
          <w:color w:val="000000" w:themeColor="text1"/>
          <w:szCs w:val="24"/>
          <w:shd w:val="clear" w:color="auto" w:fill="FFFFFF"/>
          <w:vertAlign w:val="superscript"/>
        </w:rPr>
        <w:t>4</w:t>
      </w:r>
      <w:r w:rsidRPr="00AB1438">
        <w:rPr>
          <w:rFonts w:ascii="Times New Roman" w:eastAsia="Segoe UI" w:hAnsi="Times New Roman"/>
          <w:color w:val="000000" w:themeColor="text1"/>
          <w:szCs w:val="24"/>
          <w:shd w:val="clear" w:color="auto" w:fill="FFFFFF"/>
        </w:rPr>
        <w:t xml:space="preserve"> and −4.31 × 10</w:t>
      </w:r>
      <w:r w:rsidRPr="00AB1438">
        <w:rPr>
          <w:rFonts w:asciiTheme="minorEastAsia" w:hAnsiTheme="minorEastAsia" w:hint="eastAsia"/>
          <w:color w:val="000000" w:themeColor="text1"/>
          <w:szCs w:val="24"/>
          <w:shd w:val="clear" w:color="auto" w:fill="FFFFFF"/>
          <w:vertAlign w:val="superscript"/>
        </w:rPr>
        <w:t>4</w:t>
      </w:r>
      <w:r w:rsidRPr="00AB1438">
        <w:rPr>
          <w:rFonts w:ascii="Times New Roman" w:eastAsia="Segoe UI" w:hAnsi="Times New Roman"/>
          <w:color w:val="000000" w:themeColor="text1"/>
          <w:szCs w:val="24"/>
          <w:shd w:val="clear" w:color="auto" w:fill="FFFFFF"/>
        </w:rPr>
        <w:t xml:space="preserve"> relative field units. These results indicate that, despite linearly polarized excitation, the two chiral nanostructures can still generate local near fields with opposite chiral characteristics, providing an electromagnetic basis for chirality-dependent m</w:t>
      </w:r>
      <w:r w:rsidRPr="00AB1438">
        <w:rPr>
          <w:rFonts w:ascii="Times New Roman" w:eastAsia="Segoe UI" w:hAnsi="Times New Roman"/>
          <w:color w:val="000000" w:themeColor="text1"/>
          <w:szCs w:val="24"/>
          <w:shd w:val="clear" w:color="auto" w:fill="FFFFFF"/>
        </w:rPr>
        <w:t xml:space="preserve">odulation of molecular response by the local chiral electromagnetic environment. (Figures </w:t>
      </w:r>
      <w:r w:rsidRPr="00AB1438">
        <w:rPr>
          <w:rFonts w:ascii="Times New Roman" w:eastAsia="SimSun" w:hAnsi="Times New Roman" w:hint="eastAsia"/>
          <w:color w:val="000000" w:themeColor="text1"/>
          <w:szCs w:val="24"/>
          <w:shd w:val="clear" w:color="auto" w:fill="FFFFFF"/>
        </w:rPr>
        <w:t>S5</w:t>
      </w:r>
      <w:r w:rsidRPr="00AB1438">
        <w:rPr>
          <w:rFonts w:ascii="Times New Roman" w:eastAsia="Segoe UI" w:hAnsi="Times New Roman"/>
          <w:color w:val="000000" w:themeColor="text1"/>
          <w:szCs w:val="24"/>
          <w:shd w:val="clear" w:color="auto" w:fill="FFFFFF"/>
        </w:rPr>
        <w:t xml:space="preserve"> and </w:t>
      </w:r>
      <w:r w:rsidRPr="00AB1438">
        <w:rPr>
          <w:rFonts w:ascii="Times New Roman" w:eastAsia="SimSun" w:hAnsi="Times New Roman" w:hint="eastAsia"/>
          <w:color w:val="000000" w:themeColor="text1"/>
          <w:szCs w:val="24"/>
          <w:shd w:val="clear" w:color="auto" w:fill="FFFFFF"/>
        </w:rPr>
        <w:t>S6</w:t>
      </w:r>
      <w:r w:rsidRPr="00AB1438">
        <w:rPr>
          <w:rFonts w:ascii="Times New Roman" w:eastAsia="Segoe UI" w:hAnsi="Times New Roman"/>
          <w:color w:val="000000" w:themeColor="text1"/>
          <w:szCs w:val="24"/>
          <w:shd w:val="clear" w:color="auto" w:fill="FFFFFF"/>
        </w:rPr>
        <w:t>)</w:t>
      </w:r>
    </w:p>
    <w:p w:rsidR="008B2ABA" w:rsidRPr="00AB1438" w:rsidRDefault="00AB1438">
      <w:pPr>
        <w:pStyle w:val="NormalWeb"/>
        <w:widowControl/>
        <w:shd w:val="clear" w:color="auto" w:fill="FFFFFF"/>
        <w:spacing w:before="192" w:beforeAutospacing="0" w:afterAutospacing="0" w:line="360" w:lineRule="auto"/>
        <w:rPr>
          <w:rFonts w:ascii="Times New Roman" w:eastAsia="Segoe UI" w:hAnsi="Times New Roman"/>
          <w:color w:val="000000" w:themeColor="text1"/>
          <w:szCs w:val="24"/>
        </w:rPr>
      </w:pPr>
      <w:r w:rsidRPr="00AB1438">
        <w:rPr>
          <w:rFonts w:ascii="Times New Roman" w:eastAsia="Segoe UI" w:hAnsi="Times New Roman"/>
          <w:color w:val="000000" w:themeColor="text1"/>
          <w:szCs w:val="24"/>
          <w:shd w:val="clear" w:color="auto" w:fill="FFFFFF"/>
        </w:rPr>
        <w:t>Based on the above complex E/H near-field data, we further introduced an effective chiral polarizability model to perform a parametric analysis of the infl</w:t>
      </w:r>
      <w:r w:rsidRPr="00AB1438">
        <w:rPr>
          <w:rFonts w:ascii="Times New Roman" w:eastAsia="Segoe UI" w:hAnsi="Times New Roman"/>
          <w:color w:val="000000" w:themeColor="text1"/>
          <w:szCs w:val="24"/>
          <w:shd w:val="clear" w:color="auto" w:fill="FFFFFF"/>
        </w:rPr>
        <w:t>uence of local chirality, molecular anisotropy, and molecular orientation on the Raman response. In this model, s = +1 and s = −1 represent two opposite branches of effective chiral response and do not correspond to two enantiomeric conformations of Aβ42 t</w:t>
      </w:r>
      <w:r w:rsidRPr="00AB1438">
        <w:rPr>
          <w:rFonts w:ascii="Times New Roman" w:eastAsia="Segoe UI" w:hAnsi="Times New Roman"/>
          <w:color w:val="000000" w:themeColor="text1"/>
          <w:szCs w:val="24"/>
          <w:shd w:val="clear" w:color="auto" w:fill="FFFFFF"/>
        </w:rPr>
        <w:t xml:space="preserve">hat have </w:t>
      </w:r>
      <w:r w:rsidRPr="00AB1438">
        <w:rPr>
          <w:rFonts w:ascii="Times New Roman" w:eastAsia="Segoe UI" w:hAnsi="Times New Roman"/>
          <w:color w:val="000000" w:themeColor="text1"/>
          <w:szCs w:val="24"/>
          <w:shd w:val="clear" w:color="auto" w:fill="FFFFFF"/>
        </w:rPr>
        <w:lastRenderedPageBreak/>
        <w:t>been experimentally separated or directly determined. Within the strictly defined top 1% hotspot region of the 1 nm shell outside the gold surface, the D-CG/L-CG response ratio for the positive response branch was 2.0683, whereas the L-CG/D-CG res</w:t>
      </w:r>
      <w:r w:rsidRPr="00AB1438">
        <w:rPr>
          <w:rFonts w:ascii="Times New Roman" w:eastAsia="Segoe UI" w:hAnsi="Times New Roman"/>
          <w:color w:val="000000" w:themeColor="text1"/>
          <w:szCs w:val="24"/>
          <w:shd w:val="clear" w:color="auto" w:fill="FFFFFF"/>
        </w:rPr>
        <w:t>ponse ratio for the opposite response branch was 2.0908, giving an average matched/mismatched response ratio of 2.0796. Meanwhile, when the sign of the molecular chiral response term in the model was reversed, the preferred substrate also shifted from D-CG</w:t>
      </w:r>
      <w:r w:rsidRPr="00AB1438">
        <w:rPr>
          <w:rFonts w:ascii="Times New Roman" w:eastAsia="Segoe UI" w:hAnsi="Times New Roman"/>
          <w:color w:val="000000" w:themeColor="text1"/>
          <w:szCs w:val="24"/>
          <w:shd w:val="clear" w:color="auto" w:fill="FFFFFF"/>
        </w:rPr>
        <w:t xml:space="preserve"> to L-CG. These calculations demonstrate that, on the basis of nearly identical conventional |E|⁴ enhancement of the two mirror-symmetric structures, the oppositely signed local chiral near fields can produce differential modulation of the effective molecu</w:t>
      </w:r>
      <w:r w:rsidRPr="00AB1438">
        <w:rPr>
          <w:rFonts w:ascii="Times New Roman" w:eastAsia="Segoe UI" w:hAnsi="Times New Roman"/>
          <w:color w:val="000000" w:themeColor="text1"/>
          <w:szCs w:val="24"/>
          <w:shd w:val="clear" w:color="auto" w:fill="FFFFFF"/>
        </w:rPr>
        <w:t>lar Raman response. This predicted trend is consistent with the experimental result that D-CG NPs exhibited a stronger SERS response toward Aβ42. For the central mapping ξref = 10.25, increasing the structural g factor from 0 to 0.1 increased gSERS from ap</w:t>
      </w:r>
      <w:r w:rsidRPr="00AB1438">
        <w:rPr>
          <w:rFonts w:ascii="Times New Roman" w:eastAsia="Segoe UI" w:hAnsi="Times New Roman"/>
          <w:color w:val="000000" w:themeColor="text1"/>
          <w:szCs w:val="24"/>
          <w:shd w:val="clear" w:color="auto" w:fill="FFFFFF"/>
        </w:rPr>
        <w:t xml:space="preserve">proximately 0 to 0.7011 and the response-based recognition efficiency from 50.0% to 67.5%, as shown in Figure </w:t>
      </w:r>
      <w:r w:rsidRPr="00AB1438">
        <w:rPr>
          <w:rFonts w:ascii="Times New Roman" w:eastAsia="SimSun" w:hAnsi="Times New Roman" w:hint="eastAsia"/>
          <w:color w:val="000000" w:themeColor="text1"/>
          <w:szCs w:val="24"/>
          <w:shd w:val="clear" w:color="auto" w:fill="FFFFFF"/>
        </w:rPr>
        <w:t>S8</w:t>
      </w:r>
      <w:r w:rsidRPr="00AB1438">
        <w:rPr>
          <w:rFonts w:ascii="Times New Roman" w:eastAsia="Segoe UI" w:hAnsi="Times New Roman"/>
          <w:color w:val="000000" w:themeColor="text1"/>
          <w:szCs w:val="24"/>
          <w:shd w:val="clear" w:color="auto" w:fill="FFFFFF"/>
        </w:rPr>
        <w:t>.</w:t>
      </w:r>
    </w:p>
    <w:p w:rsidR="008B2ABA" w:rsidRPr="00AB1438" w:rsidRDefault="008B2ABA">
      <w:pPr>
        <w:pStyle w:val="NormalWeb"/>
        <w:widowControl/>
        <w:spacing w:beforeAutospacing="0" w:after="288" w:afterAutospacing="0" w:line="360" w:lineRule="auto"/>
        <w:jc w:val="both"/>
        <w:rPr>
          <w:rFonts w:ascii="Times New Roman" w:eastAsia="Helvetica" w:hAnsi="Times New Roman"/>
          <w:color w:val="000000" w:themeColor="text1"/>
          <w:spacing w:val="2"/>
          <w:szCs w:val="24"/>
        </w:rPr>
      </w:pPr>
    </w:p>
    <w:p w:rsidR="008B2ABA" w:rsidRPr="00AB1438" w:rsidRDefault="00AB1438">
      <w:pPr>
        <w:pStyle w:val="NormalWeb"/>
        <w:widowControl/>
        <w:spacing w:beforeAutospacing="0" w:after="288" w:afterAutospacing="0" w:line="360" w:lineRule="auto"/>
        <w:jc w:val="both"/>
        <w:rPr>
          <w:color w:val="000000" w:themeColor="text1"/>
        </w:rPr>
      </w:pPr>
      <w:r w:rsidRPr="00AB1438">
        <w:rPr>
          <w:noProof/>
          <w:color w:val="000000" w:themeColor="text1"/>
          <w:lang w:val="en-IN" w:eastAsia="en-IN"/>
        </w:rPr>
        <w:lastRenderedPageBreak/>
        <w:drawing>
          <wp:inline distT="0" distB="0" distL="114300" distR="114300">
            <wp:extent cx="6126480" cy="5513705"/>
            <wp:effectExtent l="0" t="0" r="0" b="3175"/>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a:picLocks noChangeAspect="1"/>
                    </pic:cNvPicPr>
                  </pic:nvPicPr>
                  <pic:blipFill>
                    <a:blip r:embed="rId8"/>
                    <a:stretch>
                      <a:fillRect/>
                    </a:stretch>
                  </pic:blipFill>
                  <pic:spPr>
                    <a:xfrm>
                      <a:off x="0" y="0"/>
                      <a:ext cx="6126480" cy="5513832"/>
                    </a:xfrm>
                    <a:prstGeom prst="rect">
                      <a:avLst/>
                    </a:prstGeom>
                  </pic:spPr>
                </pic:pic>
              </a:graphicData>
            </a:graphic>
          </wp:inline>
        </w:drawing>
      </w:r>
    </w:p>
    <w:p w:rsidR="008B2ABA" w:rsidRPr="00AB1438" w:rsidRDefault="00AB1438">
      <w:pPr>
        <w:spacing w:before="60" w:after="160" w:line="252" w:lineRule="auto"/>
        <w:jc w:val="center"/>
        <w:rPr>
          <w:rFonts w:ascii="Times New Roman" w:eastAsia="SimSun" w:hAnsi="Times New Roman"/>
          <w:color w:val="000000" w:themeColor="text1"/>
          <w:sz w:val="18"/>
        </w:rPr>
      </w:pPr>
      <w:r w:rsidRPr="00AB1438">
        <w:rPr>
          <w:rFonts w:ascii="Times New Roman" w:eastAsia="SimSun" w:hAnsi="Times New Roman"/>
          <w:b/>
          <w:color w:val="000000" w:themeColor="text1"/>
          <w:sz w:val="23"/>
        </w:rPr>
        <w:t xml:space="preserve">Figure </w:t>
      </w:r>
      <w:r w:rsidRPr="00AB1438">
        <w:rPr>
          <w:rFonts w:ascii="Times New Roman" w:eastAsia="SimSun" w:hAnsi="Times New Roman" w:hint="eastAsia"/>
          <w:b/>
          <w:color w:val="000000" w:themeColor="text1"/>
          <w:sz w:val="23"/>
        </w:rPr>
        <w:t>S4</w:t>
      </w:r>
      <w:r w:rsidRPr="00AB1438">
        <w:rPr>
          <w:rFonts w:ascii="Times New Roman" w:eastAsia="SimSun" w:hAnsi="Times New Roman"/>
          <w:b/>
          <w:color w:val="000000" w:themeColor="text1"/>
          <w:sz w:val="23"/>
        </w:rPr>
        <w:t>. Field-enhancement and surface-shell comparison</w:t>
      </w:r>
      <w:r w:rsidRPr="00AB1438">
        <w:rPr>
          <w:rFonts w:ascii="Times New Roman" w:eastAsia="SimSun" w:hAnsi="Times New Roman"/>
          <w:color w:val="000000" w:themeColor="text1"/>
          <w:sz w:val="18"/>
        </w:rPr>
        <w:t xml:space="preserve"> </w:t>
      </w:r>
    </w:p>
    <w:p w:rsidR="008B2ABA" w:rsidRPr="00AB1438" w:rsidRDefault="00AB1438">
      <w:pPr>
        <w:spacing w:before="60" w:after="160" w:line="252" w:lineRule="auto"/>
        <w:jc w:val="center"/>
        <w:rPr>
          <w:rFonts w:ascii="Times New Roman" w:eastAsia="SimSun" w:hAnsi="Times New Roman"/>
          <w:color w:val="000000" w:themeColor="text1"/>
        </w:rPr>
      </w:pPr>
      <w:r w:rsidRPr="00AB1438">
        <w:rPr>
          <w:rFonts w:ascii="Times New Roman" w:eastAsia="SimSun" w:hAnsi="Times New Roman"/>
          <w:color w:val="000000" w:themeColor="text1"/>
          <w:sz w:val="18"/>
        </w:rPr>
        <w:t xml:space="preserve">Comparison of the |E|⁴ field-enhancement indicators under x- and y-linearly </w:t>
      </w:r>
      <w:r w:rsidRPr="00AB1438">
        <w:rPr>
          <w:rFonts w:ascii="Times New Roman" w:eastAsia="SimSun" w:hAnsi="Times New Roman"/>
          <w:color w:val="000000" w:themeColor="text1"/>
          <w:sz w:val="18"/>
        </w:rPr>
        <w:t>polarized excitation and the corresponding 1 nm outer surface-shell metrics for L-CG and D-CG. (A) Mean |E|⁴ in the top 1% hotspot region; (B) peak |E|⁴; (C) mean |E|⁴ in the top 1% of the 1 nm shell; (D) |E|⁴-weighted normalized helicity.</w:t>
      </w:r>
    </w:p>
    <w:p w:rsidR="008B2ABA" w:rsidRPr="00AB1438" w:rsidRDefault="00AB1438">
      <w:pPr>
        <w:keepNext/>
        <w:spacing w:before="40" w:after="100" w:line="252" w:lineRule="auto"/>
        <w:jc w:val="center"/>
        <w:rPr>
          <w:color w:val="000000" w:themeColor="text1"/>
        </w:rPr>
      </w:pPr>
      <w:r w:rsidRPr="00AB1438">
        <w:rPr>
          <w:noProof/>
          <w:color w:val="000000" w:themeColor="text1"/>
          <w:lang w:val="en-IN" w:eastAsia="en-IN"/>
        </w:rPr>
        <w:lastRenderedPageBreak/>
        <w:drawing>
          <wp:inline distT="0" distB="0" distL="114300" distR="114300">
            <wp:extent cx="6126480" cy="490093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9"/>
                    <a:stretch>
                      <a:fillRect/>
                    </a:stretch>
                  </pic:blipFill>
                  <pic:spPr>
                    <a:xfrm>
                      <a:off x="0" y="0"/>
                      <a:ext cx="6126480" cy="4901184"/>
                    </a:xfrm>
                    <a:prstGeom prst="rect">
                      <a:avLst/>
                    </a:prstGeom>
                  </pic:spPr>
                </pic:pic>
              </a:graphicData>
            </a:graphic>
          </wp:inline>
        </w:drawing>
      </w:r>
    </w:p>
    <w:p w:rsidR="008B2ABA" w:rsidRPr="00AB1438" w:rsidRDefault="00AB1438">
      <w:pPr>
        <w:keepNext/>
        <w:spacing w:before="40" w:after="100" w:line="252" w:lineRule="auto"/>
        <w:jc w:val="center"/>
        <w:rPr>
          <w:rFonts w:ascii="Times New Roman" w:eastAsia="SimSun" w:hAnsi="Times New Roman"/>
          <w:b/>
          <w:color w:val="000000" w:themeColor="text1"/>
          <w:sz w:val="23"/>
        </w:rPr>
      </w:pPr>
      <w:r w:rsidRPr="00AB1438">
        <w:rPr>
          <w:rFonts w:ascii="Times New Roman" w:eastAsia="SimSun" w:hAnsi="Times New Roman"/>
          <w:b/>
          <w:color w:val="000000" w:themeColor="text1"/>
          <w:sz w:val="23"/>
        </w:rPr>
        <w:t xml:space="preserve">Figure </w:t>
      </w:r>
      <w:r w:rsidRPr="00AB1438">
        <w:rPr>
          <w:rFonts w:ascii="Times New Roman" w:eastAsia="SimSun" w:hAnsi="Times New Roman" w:hint="eastAsia"/>
          <w:b/>
          <w:color w:val="000000" w:themeColor="text1"/>
          <w:sz w:val="23"/>
        </w:rPr>
        <w:t>S5</w:t>
      </w:r>
      <w:r w:rsidRPr="00AB1438">
        <w:rPr>
          <w:rFonts w:ascii="Times New Roman" w:eastAsia="SimSun" w:hAnsi="Times New Roman"/>
          <w:b/>
          <w:color w:val="000000" w:themeColor="text1"/>
          <w:sz w:val="23"/>
        </w:rPr>
        <w:t>. Spa</w:t>
      </w:r>
      <w:r w:rsidRPr="00AB1438">
        <w:rPr>
          <w:rFonts w:ascii="Times New Roman" w:eastAsia="SimSun" w:hAnsi="Times New Roman"/>
          <w:b/>
          <w:color w:val="000000" w:themeColor="text1"/>
          <w:sz w:val="23"/>
        </w:rPr>
        <w:t>tial distribution of local polarization ellipticity</w:t>
      </w:r>
    </w:p>
    <w:p w:rsidR="008B2ABA" w:rsidRPr="00AB1438" w:rsidRDefault="00AB1438">
      <w:pPr>
        <w:spacing w:before="60" w:after="160" w:line="252" w:lineRule="auto"/>
        <w:jc w:val="center"/>
        <w:rPr>
          <w:color w:val="000000" w:themeColor="text1"/>
        </w:rPr>
      </w:pPr>
      <w:r w:rsidRPr="00AB1438">
        <w:rPr>
          <w:rFonts w:ascii="Times New Roman" w:eastAsia="SimSun" w:hAnsi="Times New Roman"/>
          <w:color w:val="000000" w:themeColor="text1"/>
          <w:sz w:val="18"/>
        </w:rPr>
        <w:t>Local ellipticity η at z = 18.0 nm under 785 nm linearly polarized excitation: (A) L-CG with x polarization; (B) L-CG with y polarization; (C) D-CG with x polarization; (D) D-CG with y polarization.</w:t>
      </w:r>
    </w:p>
    <w:p w:rsidR="008B2ABA" w:rsidRPr="00AB1438" w:rsidRDefault="00AB1438">
      <w:pPr>
        <w:keepNext/>
        <w:spacing w:before="40" w:after="100" w:line="252" w:lineRule="auto"/>
        <w:jc w:val="center"/>
        <w:rPr>
          <w:rFonts w:ascii="Times New Roman" w:eastAsia="SimSun" w:hAnsi="Times New Roman"/>
          <w:b/>
          <w:color w:val="000000" w:themeColor="text1"/>
          <w:sz w:val="23"/>
        </w:rPr>
      </w:pPr>
      <w:r w:rsidRPr="00AB1438">
        <w:rPr>
          <w:noProof/>
          <w:color w:val="000000" w:themeColor="text1"/>
          <w:lang w:val="en-IN" w:eastAsia="en-IN"/>
        </w:rPr>
        <w:lastRenderedPageBreak/>
        <w:drawing>
          <wp:inline distT="0" distB="0" distL="114300" distR="114300">
            <wp:extent cx="6126480" cy="490093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0"/>
                    <a:stretch>
                      <a:fillRect/>
                    </a:stretch>
                  </pic:blipFill>
                  <pic:spPr>
                    <a:xfrm>
                      <a:off x="0" y="0"/>
                      <a:ext cx="6126480" cy="4901184"/>
                    </a:xfrm>
                    <a:prstGeom prst="rect">
                      <a:avLst/>
                    </a:prstGeom>
                  </pic:spPr>
                </pic:pic>
              </a:graphicData>
            </a:graphic>
          </wp:inline>
        </w:drawing>
      </w:r>
    </w:p>
    <w:p w:rsidR="008B2ABA" w:rsidRPr="00AB1438" w:rsidRDefault="00AB1438">
      <w:pPr>
        <w:keepNext/>
        <w:spacing w:before="40" w:after="100" w:line="252" w:lineRule="auto"/>
        <w:jc w:val="center"/>
        <w:rPr>
          <w:rFonts w:ascii="Times New Roman" w:eastAsia="SimSun" w:hAnsi="Times New Roman"/>
          <w:color w:val="000000" w:themeColor="text1"/>
          <w:sz w:val="23"/>
        </w:rPr>
      </w:pPr>
      <w:r w:rsidRPr="00AB1438">
        <w:rPr>
          <w:rFonts w:ascii="Times New Roman" w:eastAsia="SimSun" w:hAnsi="Times New Roman"/>
          <w:b/>
          <w:color w:val="000000" w:themeColor="text1"/>
          <w:sz w:val="23"/>
        </w:rPr>
        <w:t xml:space="preserve">Figure </w:t>
      </w:r>
      <w:r w:rsidRPr="00AB1438">
        <w:rPr>
          <w:rFonts w:ascii="Times New Roman" w:eastAsia="SimSun" w:hAnsi="Times New Roman" w:hint="eastAsia"/>
          <w:b/>
          <w:color w:val="000000" w:themeColor="text1"/>
          <w:sz w:val="23"/>
        </w:rPr>
        <w:t>S6</w:t>
      </w:r>
      <w:r w:rsidRPr="00AB1438">
        <w:rPr>
          <w:rFonts w:ascii="Times New Roman" w:eastAsia="SimSun" w:hAnsi="Times New Roman"/>
          <w:b/>
          <w:color w:val="000000" w:themeColor="text1"/>
          <w:sz w:val="23"/>
        </w:rPr>
        <w:t>. Spatial distribution of optical chirality density</w:t>
      </w:r>
    </w:p>
    <w:p w:rsidR="008B2ABA" w:rsidRPr="00AB1438" w:rsidRDefault="00AB1438">
      <w:pPr>
        <w:spacing w:before="60" w:after="160" w:line="252" w:lineRule="auto"/>
        <w:jc w:val="center"/>
        <w:rPr>
          <w:color w:val="000000" w:themeColor="text1"/>
        </w:rPr>
      </w:pPr>
      <w:r w:rsidRPr="00AB1438">
        <w:rPr>
          <w:rFonts w:ascii="Times New Roman" w:eastAsia="SimSun" w:hAnsi="Times New Roman"/>
          <w:color w:val="000000" w:themeColor="text1"/>
          <w:sz w:val="18"/>
        </w:rPr>
        <w:t>Optical chirality density at z = 18.0 nm under 785 nm linearly polarized excitation: (A) L-CG with x polarization; (B) L-CG with y polarization; (C) D-CG with x polarization; (D) D-CG with y pola</w:t>
      </w:r>
      <w:r w:rsidRPr="00AB1438">
        <w:rPr>
          <w:rFonts w:ascii="Times New Roman" w:eastAsia="SimSun" w:hAnsi="Times New Roman"/>
          <w:color w:val="000000" w:themeColor="text1"/>
          <w:sz w:val="18"/>
        </w:rPr>
        <w:t>rization.</w:t>
      </w:r>
    </w:p>
    <w:p w:rsidR="008B2ABA" w:rsidRPr="00AB1438" w:rsidRDefault="00AB1438">
      <w:pPr>
        <w:pStyle w:val="NormalWeb"/>
        <w:widowControl/>
        <w:spacing w:beforeAutospacing="0" w:after="288" w:afterAutospacing="0" w:line="360" w:lineRule="auto"/>
        <w:jc w:val="both"/>
        <w:rPr>
          <w:color w:val="000000" w:themeColor="text1"/>
        </w:rPr>
      </w:pPr>
      <w:r w:rsidRPr="00AB1438">
        <w:rPr>
          <w:noProof/>
          <w:color w:val="000000" w:themeColor="text1"/>
          <w:lang w:val="en-IN" w:eastAsia="en-IN"/>
        </w:rPr>
        <w:lastRenderedPageBreak/>
        <w:drawing>
          <wp:inline distT="0" distB="0" distL="114300" distR="114300">
            <wp:extent cx="6126480" cy="3675380"/>
            <wp:effectExtent l="0" t="0" r="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1"/>
                    <a:stretch>
                      <a:fillRect/>
                    </a:stretch>
                  </pic:blipFill>
                  <pic:spPr>
                    <a:xfrm>
                      <a:off x="0" y="0"/>
                      <a:ext cx="6126480" cy="3675888"/>
                    </a:xfrm>
                    <a:prstGeom prst="rect">
                      <a:avLst/>
                    </a:prstGeom>
                  </pic:spPr>
                </pic:pic>
              </a:graphicData>
            </a:graphic>
          </wp:inline>
        </w:drawing>
      </w:r>
    </w:p>
    <w:p w:rsidR="008B2ABA" w:rsidRPr="00AB1438" w:rsidRDefault="00AB1438">
      <w:pPr>
        <w:keepNext/>
        <w:spacing w:before="40" w:after="100" w:line="252" w:lineRule="auto"/>
        <w:jc w:val="center"/>
        <w:rPr>
          <w:rFonts w:ascii="Times New Roman" w:eastAsia="SimSun" w:hAnsi="Times New Roman"/>
          <w:b/>
          <w:color w:val="000000" w:themeColor="text1"/>
          <w:sz w:val="23"/>
        </w:rPr>
      </w:pPr>
      <w:r w:rsidRPr="00AB1438">
        <w:rPr>
          <w:rFonts w:ascii="Times New Roman" w:eastAsia="SimSun" w:hAnsi="Times New Roman"/>
          <w:b/>
          <w:color w:val="000000" w:themeColor="text1"/>
          <w:sz w:val="23"/>
        </w:rPr>
        <w:t xml:space="preserve">Figure </w:t>
      </w:r>
      <w:r w:rsidRPr="00AB1438">
        <w:rPr>
          <w:rFonts w:ascii="Times New Roman" w:eastAsia="SimSun" w:hAnsi="Times New Roman" w:hint="eastAsia"/>
          <w:b/>
          <w:color w:val="000000" w:themeColor="text1"/>
          <w:sz w:val="23"/>
        </w:rPr>
        <w:t>S7</w:t>
      </w:r>
      <w:r w:rsidRPr="00AB1438">
        <w:rPr>
          <w:rFonts w:ascii="Times New Roman" w:eastAsia="SimSun" w:hAnsi="Times New Roman"/>
          <w:b/>
          <w:color w:val="000000" w:themeColor="text1"/>
          <w:sz w:val="23"/>
        </w:rPr>
        <w:t>. Effective chiral-polarizability model analysis for Aβ42</w:t>
      </w:r>
    </w:p>
    <w:p w:rsidR="008B2ABA" w:rsidRPr="00AB1438" w:rsidRDefault="00AB1438">
      <w:pPr>
        <w:spacing w:before="60" w:after="160" w:line="252" w:lineRule="auto"/>
        <w:jc w:val="center"/>
        <w:rPr>
          <w:rFonts w:ascii="Times New Roman" w:eastAsia="SimSun" w:hAnsi="Times New Roman"/>
          <w:i/>
          <w:color w:val="000000" w:themeColor="text1"/>
          <w:sz w:val="17"/>
        </w:rPr>
      </w:pPr>
      <w:r w:rsidRPr="00AB1438">
        <w:rPr>
          <w:rFonts w:ascii="Times New Roman" w:eastAsia="SimSun" w:hAnsi="Times New Roman"/>
          <w:color w:val="000000" w:themeColor="text1"/>
          <w:sz w:val="18"/>
        </w:rPr>
        <w:t xml:space="preserve">Effective chiral-polarizability model analysis for Aβ42. (A) Predicted D-CG/L-CG molecular response ratio as a function of normalized chiral E-H coupling ξ for α∥/α⊥ = 2-4; (B) </w:t>
      </w:r>
      <w:r w:rsidRPr="00AB1438">
        <w:rPr>
          <w:rFonts w:ascii="Times New Roman" w:eastAsia="SimSun" w:hAnsi="Times New Roman"/>
          <w:color w:val="000000" w:themeColor="text1"/>
          <w:sz w:val="18"/>
        </w:rPr>
        <w:t>orientation-dependent normalized molecular enhancement factor for the scanned anisotropy ratios; (C) baseline D-CG/L-CG ratio across anisotropy settings; (D) comparison of the volume-hotspot and 1 nm outer-surface-shell statistical definitions, yielding ra</w:t>
      </w:r>
      <w:r w:rsidRPr="00AB1438">
        <w:rPr>
          <w:rFonts w:ascii="Times New Roman" w:eastAsia="SimSun" w:hAnsi="Times New Roman"/>
          <w:color w:val="000000" w:themeColor="text1"/>
          <w:sz w:val="18"/>
        </w:rPr>
        <w:t>tios of 1.5639 and 2.0796, respectively.</w:t>
      </w:r>
    </w:p>
    <w:p w:rsidR="008B2ABA" w:rsidRPr="00AB1438" w:rsidRDefault="008B2ABA">
      <w:pPr>
        <w:keepNext/>
        <w:spacing w:before="40" w:after="100" w:line="252" w:lineRule="auto"/>
        <w:jc w:val="center"/>
        <w:rPr>
          <w:rFonts w:ascii="Times New Roman" w:eastAsia="SimSun" w:hAnsi="Times New Roman"/>
          <w:b/>
          <w:color w:val="000000" w:themeColor="text1"/>
          <w:sz w:val="23"/>
        </w:rPr>
      </w:pPr>
    </w:p>
    <w:p w:rsidR="008B2ABA" w:rsidRPr="00AB1438" w:rsidRDefault="00AB1438">
      <w:pPr>
        <w:pStyle w:val="NormalWeb"/>
        <w:widowControl/>
        <w:spacing w:beforeAutospacing="0" w:after="288" w:afterAutospacing="0" w:line="360" w:lineRule="auto"/>
        <w:jc w:val="both"/>
        <w:rPr>
          <w:color w:val="000000" w:themeColor="text1"/>
        </w:rPr>
      </w:pPr>
      <w:r w:rsidRPr="00AB1438">
        <w:rPr>
          <w:noProof/>
          <w:color w:val="000000" w:themeColor="text1"/>
          <w:lang w:val="en-IN" w:eastAsia="en-IN"/>
        </w:rPr>
        <w:drawing>
          <wp:inline distT="0" distB="0" distL="114300" distR="114300">
            <wp:extent cx="6126480" cy="539115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2"/>
                    <a:stretch>
                      <a:fillRect/>
                    </a:stretch>
                  </pic:blipFill>
                  <pic:spPr>
                    <a:xfrm>
                      <a:off x="0" y="0"/>
                      <a:ext cx="6126480" cy="5391302"/>
                    </a:xfrm>
                    <a:prstGeom prst="rect">
                      <a:avLst/>
                    </a:prstGeom>
                  </pic:spPr>
                </pic:pic>
              </a:graphicData>
            </a:graphic>
          </wp:inline>
        </w:drawing>
      </w:r>
    </w:p>
    <w:p w:rsidR="008B2ABA" w:rsidRPr="00AB1438" w:rsidRDefault="00AB1438">
      <w:pPr>
        <w:keepNext/>
        <w:spacing w:before="40" w:after="100" w:line="252" w:lineRule="auto"/>
        <w:jc w:val="center"/>
        <w:rPr>
          <w:rFonts w:ascii="Times New Roman" w:eastAsia="SimSun" w:hAnsi="Times New Roman"/>
          <w:b/>
          <w:color w:val="000000" w:themeColor="text1"/>
          <w:sz w:val="23"/>
        </w:rPr>
      </w:pPr>
      <w:r w:rsidRPr="00AB1438">
        <w:rPr>
          <w:rFonts w:ascii="Times New Roman" w:eastAsia="SimSun" w:hAnsi="Times New Roman"/>
          <w:b/>
          <w:color w:val="000000" w:themeColor="text1"/>
          <w:sz w:val="23"/>
        </w:rPr>
        <w:t xml:space="preserve">Figure </w:t>
      </w:r>
      <w:r w:rsidRPr="00AB1438">
        <w:rPr>
          <w:rFonts w:ascii="Times New Roman" w:eastAsia="SimSun" w:hAnsi="Times New Roman" w:hint="eastAsia"/>
          <w:b/>
          <w:color w:val="000000" w:themeColor="text1"/>
          <w:sz w:val="23"/>
        </w:rPr>
        <w:t>S8</w:t>
      </w:r>
      <w:r w:rsidRPr="00AB1438">
        <w:rPr>
          <w:rFonts w:ascii="Times New Roman" w:eastAsia="SimSun" w:hAnsi="Times New Roman"/>
          <w:b/>
          <w:color w:val="000000" w:themeColor="text1"/>
          <w:sz w:val="23"/>
        </w:rPr>
        <w:t>. g factor and recognition-direction analysis</w:t>
      </w:r>
    </w:p>
    <w:p w:rsidR="008B2ABA" w:rsidRPr="00AB1438" w:rsidRDefault="00AB1438">
      <w:pPr>
        <w:spacing w:before="60" w:after="160" w:line="252" w:lineRule="auto"/>
        <w:jc w:val="center"/>
        <w:rPr>
          <w:rFonts w:ascii="Times New Roman" w:eastAsia="SimSun" w:hAnsi="Times New Roman"/>
          <w:i/>
          <w:color w:val="000000" w:themeColor="text1"/>
          <w:sz w:val="17"/>
        </w:rPr>
      </w:pPr>
      <w:r w:rsidRPr="00AB1438">
        <w:rPr>
          <w:rFonts w:ascii="Times New Roman" w:eastAsia="SimSun" w:hAnsi="Times New Roman"/>
          <w:color w:val="000000" w:themeColor="text1"/>
          <w:sz w:val="18"/>
        </w:rPr>
        <w:t>Quantitative relationship between the structural dissymmetry factor g and the model-based recognition response. (A) Predicted gSERS; (B) response-based recog</w:t>
      </w:r>
      <w:r w:rsidRPr="00AB1438">
        <w:rPr>
          <w:rFonts w:ascii="Times New Roman" w:eastAsia="SimSun" w:hAnsi="Times New Roman"/>
          <w:color w:val="000000" w:themeColor="text1"/>
          <w:sz w:val="18"/>
        </w:rPr>
        <w:t>nition efficiency; (C) response ratios for molecular handedness +1; (D) response ratios for molecular handedness -1. The lower panels show reversal of the preferred substrate after inversion of the effective molecular chiral response.</w:t>
      </w:r>
    </w:p>
    <w:p w:rsidR="008B2ABA" w:rsidRPr="00AB1438" w:rsidRDefault="008B2ABA">
      <w:pPr>
        <w:keepNext/>
        <w:spacing w:before="40" w:after="100" w:line="252" w:lineRule="auto"/>
        <w:jc w:val="center"/>
        <w:rPr>
          <w:rFonts w:ascii="Times New Roman" w:eastAsia="SimSun" w:hAnsi="Times New Roman"/>
          <w:b/>
          <w:color w:val="000000" w:themeColor="text1"/>
          <w:sz w:val="23"/>
        </w:rPr>
      </w:pPr>
    </w:p>
    <w:p w:rsidR="008B2ABA" w:rsidRPr="00AB1438" w:rsidRDefault="008B2ABA">
      <w:pPr>
        <w:pStyle w:val="NormalWeb"/>
        <w:widowControl/>
        <w:spacing w:beforeAutospacing="0" w:after="288" w:afterAutospacing="0" w:line="360" w:lineRule="auto"/>
        <w:jc w:val="both"/>
        <w:rPr>
          <w:color w:val="000000" w:themeColor="text1"/>
        </w:rPr>
      </w:pPr>
    </w:p>
    <w:p w:rsidR="008B2ABA" w:rsidRPr="00AB1438" w:rsidRDefault="00AB1438">
      <w:pPr>
        <w:spacing w:line="480" w:lineRule="auto"/>
        <w:jc w:val="left"/>
        <w:rPr>
          <w:rFonts w:ascii="Times New Roman" w:hAnsi="Times New Roman"/>
          <w:b/>
          <w:bCs/>
          <w:color w:val="000000" w:themeColor="text1"/>
          <w:sz w:val="24"/>
          <w:szCs w:val="24"/>
        </w:rPr>
      </w:pPr>
      <w:r w:rsidRPr="00AB1438">
        <w:rPr>
          <w:rFonts w:ascii="Times New Roman" w:hAnsi="Times New Roman" w:hint="eastAsia"/>
          <w:b/>
          <w:bCs/>
          <w:color w:val="000000" w:themeColor="text1"/>
          <w:sz w:val="24"/>
          <w:szCs w:val="24"/>
        </w:rPr>
        <w:t>S5. Confirmation of</w:t>
      </w:r>
      <w:r w:rsidRPr="00AB1438">
        <w:rPr>
          <w:rFonts w:ascii="Times New Roman" w:hAnsi="Times New Roman" w:hint="eastAsia"/>
          <w:b/>
          <w:bCs/>
          <w:color w:val="000000" w:themeColor="text1"/>
          <w:sz w:val="24"/>
          <w:szCs w:val="24"/>
        </w:rPr>
        <w:t xml:space="preserve"> the origin of the 1322</w:t>
      </w:r>
      <w:r w:rsidRPr="00AB1438">
        <w:rPr>
          <w:rFonts w:ascii="Times New Roman" w:hAnsi="Times New Roman" w:cs="Times New Roman"/>
          <w:b/>
          <w:bCs/>
          <w:color w:val="000000" w:themeColor="text1"/>
          <w:sz w:val="24"/>
          <w:szCs w:val="24"/>
        </w:rPr>
        <w:t> </w:t>
      </w:r>
      <w:r w:rsidRPr="00AB1438">
        <w:rPr>
          <w:rFonts w:ascii="Times New Roman" w:hAnsi="Times New Roman" w:hint="eastAsia"/>
          <w:b/>
          <w:bCs/>
          <w:color w:val="000000" w:themeColor="text1"/>
          <w:sz w:val="24"/>
          <w:szCs w:val="24"/>
        </w:rPr>
        <w:t>cm</w:t>
      </w:r>
      <w:r w:rsidRPr="00AB1438">
        <w:rPr>
          <w:rFonts w:ascii="Times New Roman" w:hAnsi="Times New Roman" w:hint="eastAsia"/>
          <w:b/>
          <w:bCs/>
          <w:color w:val="000000" w:themeColor="text1"/>
          <w:sz w:val="24"/>
          <w:szCs w:val="24"/>
          <w:vertAlign w:val="superscript"/>
        </w:rPr>
        <w:t>-1</w:t>
      </w:r>
      <w:r w:rsidRPr="00AB1438">
        <w:rPr>
          <w:rFonts w:ascii="Times New Roman" w:hAnsi="Times New Roman" w:hint="eastAsia"/>
          <w:b/>
          <w:bCs/>
          <w:color w:val="000000" w:themeColor="text1"/>
          <w:sz w:val="24"/>
          <w:szCs w:val="24"/>
        </w:rPr>
        <w:t xml:space="preserve"> characteristic peak</w:t>
      </w:r>
    </w:p>
    <w:p w:rsidR="008B2ABA" w:rsidRPr="00AB1438" w:rsidRDefault="00AB1438">
      <w:pPr>
        <w:spacing w:line="480" w:lineRule="auto"/>
        <w:jc w:val="left"/>
        <w:rPr>
          <w:rFonts w:ascii="Times New Roman" w:eastAsia="Segoe UI" w:hAnsi="Times New Roman" w:cs="Times New Roman"/>
          <w:color w:val="000000" w:themeColor="text1"/>
          <w:sz w:val="24"/>
          <w:szCs w:val="24"/>
        </w:rPr>
      </w:pPr>
      <w:r w:rsidRPr="00AB1438">
        <w:rPr>
          <w:rFonts w:ascii="Times New Roman" w:eastAsia="Segoe UI" w:hAnsi="Times New Roman" w:cs="Times New Roman"/>
          <w:color w:val="000000" w:themeColor="text1"/>
          <w:sz w:val="24"/>
          <w:szCs w:val="24"/>
          <w:shd w:val="clear" w:color="auto" w:fill="FFFFFF"/>
        </w:rPr>
        <w:t>To further verify the origin of the 1322 cm</w:t>
      </w:r>
      <w:r w:rsidRPr="00AB1438">
        <w:rPr>
          <w:rFonts w:ascii="Times New Roman" w:eastAsia="SimSun" w:hAnsi="Times New Roman" w:cs="Times New Roman" w:hint="eastAsia"/>
          <w:color w:val="000000" w:themeColor="text1"/>
          <w:spacing w:val="2"/>
          <w:sz w:val="24"/>
          <w:szCs w:val="24"/>
          <w:vertAlign w:val="superscript"/>
        </w:rPr>
        <w:t>-1</w:t>
      </w:r>
      <w:r w:rsidRPr="00AB1438">
        <w:rPr>
          <w:rFonts w:ascii="Times New Roman" w:eastAsia="Segoe UI" w:hAnsi="Times New Roman" w:cs="Times New Roman"/>
          <w:color w:val="000000" w:themeColor="text1"/>
          <w:sz w:val="24"/>
          <w:szCs w:val="24"/>
          <w:shd w:val="clear" w:color="auto" w:fill="FFFFFF"/>
        </w:rPr>
        <w:t xml:space="preserve"> characteristic peak and exclude </w:t>
      </w:r>
      <w:r w:rsidRPr="00AB1438">
        <w:rPr>
          <w:rFonts w:ascii="Times New Roman" w:eastAsia="Segoe UI" w:hAnsi="Times New Roman" w:cs="Times New Roman"/>
          <w:color w:val="000000" w:themeColor="text1"/>
          <w:sz w:val="24"/>
          <w:szCs w:val="24"/>
          <w:shd w:val="clear" w:color="auto" w:fill="FFFFFF"/>
        </w:rPr>
        <w:lastRenderedPageBreak/>
        <w:t>background interference, we supplemented Raman spectra of pure Aβ42 and compared the signal intensities at 1322 cm</w:t>
      </w:r>
      <w:r w:rsidRPr="00AB1438">
        <w:rPr>
          <w:rFonts w:ascii="Times New Roman" w:eastAsia="SimSun" w:hAnsi="Times New Roman" w:cs="Times New Roman" w:hint="eastAsia"/>
          <w:color w:val="000000" w:themeColor="text1"/>
          <w:sz w:val="24"/>
          <w:szCs w:val="24"/>
          <w:shd w:val="clear" w:color="auto" w:fill="FFFFFF"/>
          <w:vertAlign w:val="superscript"/>
        </w:rPr>
        <w:t>-1</w:t>
      </w:r>
      <w:r w:rsidRPr="00AB1438">
        <w:rPr>
          <w:rFonts w:ascii="Times New Roman" w:eastAsia="Segoe UI" w:hAnsi="Times New Roman" w:cs="Times New Roman"/>
          <w:color w:val="000000" w:themeColor="text1"/>
          <w:sz w:val="24"/>
          <w:szCs w:val="24"/>
          <w:shd w:val="clear" w:color="auto" w:fill="FFFFFF"/>
        </w:rPr>
        <w:t xml:space="preserve"> among CG NPs</w:t>
      </w:r>
      <w:r w:rsidRPr="00AB1438">
        <w:rPr>
          <w:rFonts w:ascii="Times New Roman" w:eastAsia="Segoe UI" w:hAnsi="Times New Roman" w:cs="Times New Roman"/>
          <w:color w:val="000000" w:themeColor="text1"/>
          <w:sz w:val="24"/>
          <w:szCs w:val="24"/>
          <w:shd w:val="clear" w:color="auto" w:fill="FFFFFF"/>
        </w:rPr>
        <w:t>, CG NPs with serum matrix, and CG NPs with Aβ42. As shown in Figure S</w:t>
      </w:r>
      <w:r w:rsidRPr="00AB1438">
        <w:rPr>
          <w:rFonts w:ascii="Times New Roman" w:eastAsia="SimSun" w:hAnsi="Times New Roman" w:cs="Times New Roman" w:hint="eastAsia"/>
          <w:color w:val="000000" w:themeColor="text1"/>
          <w:sz w:val="24"/>
          <w:szCs w:val="24"/>
          <w:shd w:val="clear" w:color="auto" w:fill="FFFFFF"/>
        </w:rPr>
        <w:t>10A</w:t>
      </w:r>
      <w:r w:rsidRPr="00AB1438">
        <w:rPr>
          <w:rFonts w:ascii="Times New Roman" w:eastAsia="Segoe UI" w:hAnsi="Times New Roman" w:cs="Times New Roman"/>
          <w:color w:val="000000" w:themeColor="text1"/>
          <w:sz w:val="24"/>
          <w:szCs w:val="24"/>
          <w:shd w:val="clear" w:color="auto" w:fill="FFFFFF"/>
        </w:rPr>
        <w:t>, pure Aβ42 exhibited a characteristic response near 1322 cm</w:t>
      </w:r>
      <w:r w:rsidRPr="00AB1438">
        <w:rPr>
          <w:rFonts w:ascii="Times New Roman" w:eastAsia="SimSun" w:hAnsi="Times New Roman" w:cs="Times New Roman" w:hint="eastAsia"/>
          <w:color w:val="000000" w:themeColor="text1"/>
          <w:sz w:val="24"/>
          <w:szCs w:val="24"/>
          <w:shd w:val="clear" w:color="auto" w:fill="FFFFFF"/>
          <w:vertAlign w:val="superscript"/>
        </w:rPr>
        <w:t>-1</w:t>
      </w:r>
      <w:r w:rsidRPr="00AB1438">
        <w:rPr>
          <w:rFonts w:ascii="Times New Roman" w:eastAsia="Segoe UI" w:hAnsi="Times New Roman" w:cs="Times New Roman"/>
          <w:color w:val="000000" w:themeColor="text1"/>
          <w:sz w:val="24"/>
          <w:szCs w:val="24"/>
          <w:shd w:val="clear" w:color="auto" w:fill="FFFFFF"/>
        </w:rPr>
        <w:t xml:space="preserve"> that was significantly higher than the other peaks, and CG NPs and CG NPs with serum matrix produced signals at this wav</w:t>
      </w:r>
      <w:r w:rsidRPr="00AB1438">
        <w:rPr>
          <w:rFonts w:ascii="Times New Roman" w:eastAsia="Segoe UI" w:hAnsi="Times New Roman" w:cs="Times New Roman"/>
          <w:color w:val="000000" w:themeColor="text1"/>
          <w:sz w:val="24"/>
          <w:szCs w:val="24"/>
          <w:shd w:val="clear" w:color="auto" w:fill="FFFFFF"/>
        </w:rPr>
        <w:t>enumber far below that of CG NPs with Aβ42</w:t>
      </w:r>
      <w:r w:rsidRPr="00AB1438">
        <w:rPr>
          <w:rFonts w:ascii="Times New Roman" w:eastAsia="SimSun" w:hAnsi="Times New Roman" w:cs="Times New Roman" w:hint="eastAsia"/>
          <w:color w:val="000000" w:themeColor="text1"/>
          <w:sz w:val="24"/>
          <w:szCs w:val="24"/>
          <w:shd w:val="clear" w:color="auto" w:fill="FFFFFF"/>
        </w:rPr>
        <w:t>(</w:t>
      </w:r>
      <w:r w:rsidRPr="00AB1438">
        <w:rPr>
          <w:rFonts w:ascii="Times New Roman" w:eastAsia="Segoe UI" w:hAnsi="Times New Roman" w:cs="Times New Roman"/>
          <w:color w:val="000000" w:themeColor="text1"/>
          <w:sz w:val="24"/>
          <w:szCs w:val="24"/>
          <w:shd w:val="clear" w:color="auto" w:fill="FFFFFF"/>
        </w:rPr>
        <w:t>Figure S</w:t>
      </w:r>
      <w:r w:rsidRPr="00AB1438">
        <w:rPr>
          <w:rFonts w:ascii="Times New Roman" w:eastAsia="SimSun" w:hAnsi="Times New Roman" w:cs="Times New Roman" w:hint="eastAsia"/>
          <w:color w:val="000000" w:themeColor="text1"/>
          <w:sz w:val="24"/>
          <w:szCs w:val="24"/>
          <w:shd w:val="clear" w:color="auto" w:fill="FFFFFF"/>
        </w:rPr>
        <w:t>10B)</w:t>
      </w:r>
      <w:r w:rsidRPr="00AB1438">
        <w:rPr>
          <w:rFonts w:ascii="Times New Roman" w:eastAsia="Segoe UI" w:hAnsi="Times New Roman" w:cs="Times New Roman"/>
          <w:color w:val="000000" w:themeColor="text1"/>
          <w:sz w:val="24"/>
          <w:szCs w:val="24"/>
          <w:shd w:val="clear" w:color="auto" w:fill="FFFFFF"/>
        </w:rPr>
        <w:t>, indicating that their contribution to the detection signal was negligible. Therefore, the main enhanced response at 1322 cm</w:t>
      </w:r>
      <w:r w:rsidRPr="00AB1438">
        <w:rPr>
          <w:rFonts w:ascii="Times New Roman" w:eastAsia="SimSun" w:hAnsi="Times New Roman" w:cs="Times New Roman" w:hint="eastAsia"/>
          <w:color w:val="000000" w:themeColor="text1"/>
          <w:sz w:val="24"/>
          <w:szCs w:val="24"/>
          <w:shd w:val="clear" w:color="auto" w:fill="FFFFFF"/>
          <w:vertAlign w:val="superscript"/>
        </w:rPr>
        <w:t>-1</w:t>
      </w:r>
      <w:r w:rsidRPr="00AB1438">
        <w:rPr>
          <w:rFonts w:ascii="Times New Roman" w:eastAsia="Segoe UI" w:hAnsi="Times New Roman" w:cs="Times New Roman"/>
          <w:color w:val="000000" w:themeColor="text1"/>
          <w:sz w:val="24"/>
          <w:szCs w:val="24"/>
          <w:shd w:val="clear" w:color="auto" w:fill="FFFFFF"/>
        </w:rPr>
        <w:t xml:space="preserve"> can be attributed to Aβ42-related molecular vibrations, and this peak was</w:t>
      </w:r>
      <w:r w:rsidRPr="00AB1438">
        <w:rPr>
          <w:rFonts w:ascii="Times New Roman" w:eastAsia="Segoe UI" w:hAnsi="Times New Roman" w:cs="Times New Roman"/>
          <w:color w:val="000000" w:themeColor="text1"/>
          <w:sz w:val="24"/>
          <w:szCs w:val="24"/>
          <w:shd w:val="clear" w:color="auto" w:fill="FFFFFF"/>
        </w:rPr>
        <w:t xml:space="preserve"> selected as the characteristic peak for subsequent quantitative analysis.</w:t>
      </w:r>
    </w:p>
    <w:p w:rsidR="008B2ABA" w:rsidRPr="00AB1438" w:rsidRDefault="008B2ABA">
      <w:pPr>
        <w:pStyle w:val="NormalWeb"/>
        <w:widowControl/>
        <w:rPr>
          <w:rFonts w:ascii="Segoe UI" w:eastAsia="Segoe UI" w:hAnsi="Segoe UI" w:cs="Segoe UI"/>
          <w:color w:val="000000" w:themeColor="text1"/>
          <w:szCs w:val="24"/>
          <w:shd w:val="clear" w:color="auto" w:fill="FFFFFF"/>
        </w:rPr>
      </w:pPr>
    </w:p>
    <w:p w:rsidR="008B2ABA" w:rsidRPr="00AB1438" w:rsidRDefault="00AB1438">
      <w:pPr>
        <w:pStyle w:val="NormalWeb"/>
        <w:widowControl/>
        <w:rPr>
          <w:rFonts w:ascii="Times New Roman" w:eastAsia="SimSun" w:hAnsi="Times New Roman"/>
          <w:b/>
          <w:bCs/>
          <w:color w:val="000000" w:themeColor="text1"/>
          <w:szCs w:val="24"/>
        </w:rPr>
      </w:pPr>
      <w:r w:rsidRPr="00AB1438">
        <w:rPr>
          <w:rFonts w:ascii="Times New Roman" w:eastAsia="SimSun" w:hAnsi="Times New Roman" w:hint="eastAsia"/>
          <w:b/>
          <w:bCs/>
          <w:noProof/>
          <w:color w:val="000000" w:themeColor="text1"/>
          <w:szCs w:val="24"/>
          <w:lang w:val="en-IN" w:eastAsia="en-IN"/>
        </w:rPr>
        <w:drawing>
          <wp:inline distT="0" distB="0" distL="114300" distR="114300">
            <wp:extent cx="5264785" cy="2185670"/>
            <wp:effectExtent l="0" t="0" r="8255" b="8890"/>
            <wp:docPr id="2" name="图片 2" descr="归属峰大图 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归属峰大图 final-01"/>
                    <pic:cNvPicPr>
                      <a:picLocks noChangeAspect="1"/>
                    </pic:cNvPicPr>
                  </pic:nvPicPr>
                  <pic:blipFill>
                    <a:blip r:embed="rId13"/>
                    <a:stretch>
                      <a:fillRect/>
                    </a:stretch>
                  </pic:blipFill>
                  <pic:spPr>
                    <a:xfrm>
                      <a:off x="0" y="0"/>
                      <a:ext cx="5264785" cy="2185670"/>
                    </a:xfrm>
                    <a:prstGeom prst="rect">
                      <a:avLst/>
                    </a:prstGeom>
                  </pic:spPr>
                </pic:pic>
              </a:graphicData>
            </a:graphic>
          </wp:inline>
        </w:drawing>
      </w:r>
    </w:p>
    <w:p w:rsidR="008B2ABA" w:rsidRPr="00AB1438" w:rsidRDefault="00AB1438">
      <w:pPr>
        <w:pStyle w:val="NormalWeb"/>
        <w:widowControl/>
        <w:spacing w:line="360" w:lineRule="auto"/>
        <w:jc w:val="center"/>
        <w:rPr>
          <w:rFonts w:ascii="Times New Roman" w:eastAsia="SimSun" w:hAnsi="Times New Roman"/>
          <w:b/>
          <w:bCs/>
          <w:color w:val="000000" w:themeColor="text1"/>
          <w:szCs w:val="24"/>
        </w:rPr>
      </w:pPr>
      <w:r w:rsidRPr="00AB1438">
        <w:rPr>
          <w:rFonts w:ascii="Times New Roman" w:eastAsia="Segoe UI" w:hAnsi="Times New Roman"/>
          <w:b/>
          <w:bCs/>
          <w:color w:val="000000" w:themeColor="text1"/>
          <w:szCs w:val="24"/>
          <w:shd w:val="clear" w:color="auto" w:fill="FFFFFF"/>
        </w:rPr>
        <w:t>Figure S</w:t>
      </w:r>
      <w:r w:rsidRPr="00AB1438">
        <w:rPr>
          <w:rFonts w:ascii="Times New Roman" w:eastAsia="SimSun" w:hAnsi="Times New Roman" w:hint="eastAsia"/>
          <w:b/>
          <w:bCs/>
          <w:color w:val="000000" w:themeColor="text1"/>
          <w:szCs w:val="24"/>
          <w:shd w:val="clear" w:color="auto" w:fill="FFFFFF"/>
        </w:rPr>
        <w:t>9</w:t>
      </w:r>
      <w:r w:rsidRPr="00AB1438">
        <w:rPr>
          <w:rFonts w:ascii="Times New Roman" w:eastAsia="Segoe UI" w:hAnsi="Times New Roman"/>
          <w:b/>
          <w:bCs/>
          <w:color w:val="000000" w:themeColor="text1"/>
          <w:szCs w:val="24"/>
          <w:shd w:val="clear" w:color="auto" w:fill="FFFFFF"/>
        </w:rPr>
        <w:t>.</w:t>
      </w:r>
      <w:r w:rsidRPr="00AB1438">
        <w:rPr>
          <w:rFonts w:ascii="Times New Roman" w:eastAsia="Segoe UI" w:hAnsi="Times New Roman"/>
          <w:color w:val="000000" w:themeColor="text1"/>
          <w:szCs w:val="24"/>
          <w:shd w:val="clear" w:color="auto" w:fill="FFFFFF"/>
        </w:rPr>
        <w:t xml:space="preserve"> (A) Raman spectrum of pure Aβ42 standard. (B) Comparison of signal intensities at 1322 cm⁻¹ among CG NPs, CG NPs with serum matrix, and CG NPs with Aβ42.</w:t>
      </w:r>
    </w:p>
    <w:p w:rsidR="008B2ABA" w:rsidRPr="00AB1438" w:rsidRDefault="00AB1438">
      <w:pPr>
        <w:spacing w:line="480" w:lineRule="auto"/>
        <w:jc w:val="left"/>
        <w:rPr>
          <w:rFonts w:ascii="Times New Roman" w:hAnsi="Times New Roman"/>
          <w:b/>
          <w:bCs/>
          <w:color w:val="000000" w:themeColor="text1"/>
          <w:sz w:val="24"/>
          <w:szCs w:val="24"/>
        </w:rPr>
      </w:pPr>
      <w:r w:rsidRPr="00AB1438">
        <w:rPr>
          <w:rFonts w:ascii="Times New Roman" w:hAnsi="Times New Roman" w:hint="eastAsia"/>
          <w:b/>
          <w:bCs/>
          <w:color w:val="000000" w:themeColor="text1"/>
          <w:sz w:val="24"/>
          <w:szCs w:val="24"/>
        </w:rPr>
        <w:t xml:space="preserve">S6. </w:t>
      </w:r>
      <w:r w:rsidRPr="00AB1438">
        <w:rPr>
          <w:rFonts w:ascii="Times New Roman" w:hAnsi="Times New Roman" w:hint="eastAsia"/>
          <w:b/>
          <w:bCs/>
          <w:color w:val="000000" w:themeColor="text1"/>
          <w:sz w:val="24"/>
          <w:szCs w:val="24"/>
        </w:rPr>
        <w:t>Evaluation of anti</w:t>
      </w:r>
      <w:r w:rsidRPr="00AB1438">
        <w:rPr>
          <w:rFonts w:ascii="Times New Roman" w:hAnsi="Times New Roman" w:hint="eastAsia"/>
          <w:b/>
          <w:bCs/>
          <w:color w:val="000000" w:themeColor="text1"/>
          <w:sz w:val="24"/>
          <w:szCs w:val="24"/>
        </w:rPr>
        <w:noBreakHyphen/>
        <w:t>interference capability</w:t>
      </w:r>
    </w:p>
    <w:p w:rsidR="008B2ABA" w:rsidRPr="00AB1438" w:rsidRDefault="00AB1438">
      <w:pPr>
        <w:pStyle w:val="NormalWeb"/>
        <w:widowControl/>
        <w:spacing w:beforeAutospacing="0" w:after="288" w:afterAutospacing="0" w:line="360" w:lineRule="auto"/>
        <w:rPr>
          <w:rFonts w:ascii="Times New Roman" w:eastAsia="Helvetica" w:hAnsi="Times New Roman"/>
          <w:color w:val="000000" w:themeColor="text1"/>
          <w:spacing w:val="2"/>
          <w:szCs w:val="24"/>
        </w:rPr>
      </w:pPr>
      <w:r w:rsidRPr="00AB1438">
        <w:rPr>
          <w:rFonts w:ascii="Times New Roman" w:eastAsia="Helvetica" w:hAnsi="Times New Roman"/>
          <w:color w:val="000000" w:themeColor="text1"/>
          <w:spacing w:val="2"/>
          <w:szCs w:val="24"/>
        </w:rPr>
        <w:lastRenderedPageBreak/>
        <w:t>Furthermore, we evaluated the anti-interference capability of the SERS microarray chip in a complex serum environment. The SERS signal intensities at 1322 cm</w:t>
      </w:r>
      <w:r w:rsidRPr="00AB1438">
        <w:rPr>
          <w:rFonts w:ascii="Times New Roman" w:eastAsia="SimSun" w:hAnsi="Times New Roman" w:hint="eastAsia"/>
          <w:color w:val="000000" w:themeColor="text1"/>
          <w:spacing w:val="2"/>
          <w:szCs w:val="24"/>
          <w:vertAlign w:val="superscript"/>
        </w:rPr>
        <w:t>-1</w:t>
      </w:r>
      <w:r w:rsidRPr="00AB1438">
        <w:rPr>
          <w:rFonts w:ascii="Times New Roman" w:eastAsia="Helvetica" w:hAnsi="Times New Roman"/>
          <w:color w:val="000000" w:themeColor="text1"/>
          <w:spacing w:val="2"/>
          <w:szCs w:val="24"/>
        </w:rPr>
        <w:t xml:space="preserve"> were compared among a Blank group containing only the SERS substrate without Aβ42, a group containing Aβ42 alone, and groups containing Aβ42 together with physiologically relevant interferents: kynurenine (Kyn, 10 μM), dopamine (DA, 10 μM), glucose (Glc, </w:t>
      </w:r>
      <w:r w:rsidRPr="00AB1438">
        <w:rPr>
          <w:rFonts w:ascii="Times New Roman" w:eastAsia="Helvetica" w:hAnsi="Times New Roman"/>
          <w:color w:val="000000" w:themeColor="text1"/>
          <w:spacing w:val="2"/>
          <w:szCs w:val="24"/>
        </w:rPr>
        <w:t>5 mM), urea (5 mM), albumin (40 mg/mL), and IgG (10 mg/mL) (Figure S</w:t>
      </w:r>
      <w:r w:rsidRPr="00AB1438">
        <w:rPr>
          <w:rFonts w:ascii="Times New Roman" w:hAnsi="Times New Roman" w:hint="eastAsia"/>
          <w:color w:val="000000" w:themeColor="text1"/>
          <w:spacing w:val="2"/>
          <w:szCs w:val="24"/>
        </w:rPr>
        <w:t>10</w:t>
      </w:r>
      <w:r w:rsidRPr="00AB1438">
        <w:rPr>
          <w:rFonts w:ascii="Times New Roman" w:eastAsia="Helvetica" w:hAnsi="Times New Roman"/>
          <w:color w:val="000000" w:themeColor="text1"/>
          <w:spacing w:val="2"/>
          <w:szCs w:val="24"/>
        </w:rPr>
        <w:t>). These interferents are common endogenous components in serum that may coexist with Aβ42 and potentially affect the acquisition of Raman signals. The concentrations of glucose, urea, a</w:t>
      </w:r>
      <w:r w:rsidRPr="00AB1438">
        <w:rPr>
          <w:rFonts w:ascii="Times New Roman" w:eastAsia="Helvetica" w:hAnsi="Times New Roman"/>
          <w:color w:val="000000" w:themeColor="text1"/>
          <w:spacing w:val="2"/>
          <w:szCs w:val="24"/>
        </w:rPr>
        <w:t>lbumin, and IgG were set to simulate the physiological levels of high-abundance proteins in serum, thereby more realistically reflecting the complex serum matrix environment, whereas Kyn and DA were used at concentrations higher than their normal physiolog</w:t>
      </w:r>
      <w:r w:rsidRPr="00AB1438">
        <w:rPr>
          <w:rFonts w:ascii="Times New Roman" w:eastAsia="Helvetica" w:hAnsi="Times New Roman"/>
          <w:color w:val="000000" w:themeColor="text1"/>
          <w:spacing w:val="2"/>
          <w:szCs w:val="24"/>
        </w:rPr>
        <w:t>ical serum levels to rigorously evaluate the anti-interference capability of the chip. The results showed that no obvious characteristic signal was observed at 1322 cm</w:t>
      </w:r>
      <w:r w:rsidRPr="00AB1438">
        <w:rPr>
          <w:rFonts w:ascii="Times New Roman" w:eastAsia="SimSun" w:hAnsi="Times New Roman" w:hint="eastAsia"/>
          <w:color w:val="000000" w:themeColor="text1"/>
          <w:spacing w:val="2"/>
          <w:szCs w:val="24"/>
          <w:vertAlign w:val="superscript"/>
        </w:rPr>
        <w:t>-1</w:t>
      </w:r>
      <w:r w:rsidRPr="00AB1438">
        <w:rPr>
          <w:rFonts w:ascii="Times New Roman" w:eastAsia="Helvetica" w:hAnsi="Times New Roman"/>
          <w:color w:val="000000" w:themeColor="text1"/>
          <w:spacing w:val="2"/>
          <w:szCs w:val="24"/>
        </w:rPr>
        <w:t xml:space="preserve"> in the Blank group, confirming that the peak response at this position originated from</w:t>
      </w:r>
      <w:r w:rsidRPr="00AB1438">
        <w:rPr>
          <w:rFonts w:ascii="Times New Roman" w:eastAsia="Helvetica" w:hAnsi="Times New Roman"/>
          <w:color w:val="000000" w:themeColor="text1"/>
          <w:spacing w:val="2"/>
          <w:szCs w:val="24"/>
        </w:rPr>
        <w:t xml:space="preserve"> Aβ42. Compared with the Aβ42-alone control group, after the addition of kynurenine, dopamine, glucose, urea, albumin, or IgG, the p-values for the SERS signal intensity at 1322 cm⁻¹ were 0.58181, 0.96371, 0.85631, 0.52637, 0.84333, and 0.64326, respective</w:t>
      </w:r>
      <w:r w:rsidRPr="00AB1438">
        <w:rPr>
          <w:rFonts w:ascii="Times New Roman" w:eastAsia="Helvetica" w:hAnsi="Times New Roman"/>
          <w:color w:val="000000" w:themeColor="text1"/>
          <w:spacing w:val="2"/>
          <w:szCs w:val="24"/>
        </w:rPr>
        <w:t>ly, all &gt; 0.05, indicating no statistically significant differences. The inter-group relative standard deviation was 6.08%. These results demonstrate that the chiral microarray chip sensor possesses good anti-interference capability for Aβ42 detection in a</w:t>
      </w:r>
      <w:r w:rsidRPr="00AB1438">
        <w:rPr>
          <w:rFonts w:ascii="Times New Roman" w:eastAsia="Helvetica" w:hAnsi="Times New Roman"/>
          <w:color w:val="000000" w:themeColor="text1"/>
          <w:spacing w:val="2"/>
          <w:szCs w:val="24"/>
        </w:rPr>
        <w:t xml:space="preserve"> complex serum environment containing multiple physiologically relevant interferents.</w:t>
      </w:r>
    </w:p>
    <w:p w:rsidR="008B2ABA" w:rsidRPr="00AB1438" w:rsidRDefault="008B2ABA">
      <w:pPr>
        <w:pStyle w:val="NormalWeb"/>
        <w:widowControl/>
        <w:spacing w:beforeAutospacing="0" w:after="288" w:afterAutospacing="0" w:line="360" w:lineRule="auto"/>
        <w:jc w:val="both"/>
        <w:rPr>
          <w:rFonts w:ascii="Times New Roman" w:eastAsia="Helvetica" w:hAnsi="Times New Roman"/>
          <w:color w:val="000000" w:themeColor="text1"/>
          <w:spacing w:val="2"/>
          <w:szCs w:val="24"/>
        </w:rPr>
      </w:pPr>
    </w:p>
    <w:p w:rsidR="008B2ABA" w:rsidRPr="00AB1438" w:rsidRDefault="008B2ABA">
      <w:pPr>
        <w:pStyle w:val="NormalWeb"/>
        <w:widowControl/>
        <w:spacing w:beforeAutospacing="0" w:after="288" w:afterAutospacing="0" w:line="360" w:lineRule="auto"/>
        <w:jc w:val="both"/>
        <w:rPr>
          <w:rFonts w:ascii="Helvetica" w:eastAsia="SimSun" w:hAnsi="Helvetica" w:cs="Helvetica"/>
          <w:color w:val="000000" w:themeColor="text1"/>
          <w:spacing w:val="2"/>
        </w:rPr>
      </w:pPr>
    </w:p>
    <w:p w:rsidR="008B2ABA" w:rsidRPr="00AB1438" w:rsidRDefault="00AB1438">
      <w:pPr>
        <w:pStyle w:val="NormalWeb"/>
        <w:widowControl/>
        <w:spacing w:beforeAutospacing="0" w:after="288" w:afterAutospacing="0" w:line="360" w:lineRule="auto"/>
        <w:jc w:val="both"/>
        <w:rPr>
          <w:rFonts w:ascii="Helvetica" w:eastAsia="SimSun" w:hAnsi="Helvetica" w:cs="Helvetica"/>
          <w:color w:val="000000" w:themeColor="text1"/>
          <w:spacing w:val="2"/>
        </w:rPr>
      </w:pPr>
      <w:r w:rsidRPr="00AB1438">
        <w:rPr>
          <w:rFonts w:ascii="Helvetica" w:eastAsia="SimSun" w:hAnsi="Helvetica" w:cs="Helvetica" w:hint="eastAsia"/>
          <w:noProof/>
          <w:color w:val="000000" w:themeColor="text1"/>
          <w:spacing w:val="2"/>
          <w:lang w:val="en-IN" w:eastAsia="en-IN"/>
        </w:rPr>
        <w:lastRenderedPageBreak/>
        <w:drawing>
          <wp:inline distT="0" distB="0" distL="114300" distR="114300">
            <wp:extent cx="5273675" cy="3738880"/>
            <wp:effectExtent l="0" t="0" r="14605" b="10160"/>
            <wp:docPr id="18" name="图片 18" descr="（返修）显著性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返修）显著性2-01"/>
                    <pic:cNvPicPr>
                      <a:picLocks noChangeAspect="1"/>
                    </pic:cNvPicPr>
                  </pic:nvPicPr>
                  <pic:blipFill>
                    <a:blip r:embed="rId14"/>
                    <a:stretch>
                      <a:fillRect/>
                    </a:stretch>
                  </pic:blipFill>
                  <pic:spPr>
                    <a:xfrm>
                      <a:off x="0" y="0"/>
                      <a:ext cx="5273675" cy="3738880"/>
                    </a:xfrm>
                    <a:prstGeom prst="rect">
                      <a:avLst/>
                    </a:prstGeom>
                  </pic:spPr>
                </pic:pic>
              </a:graphicData>
            </a:graphic>
          </wp:inline>
        </w:drawing>
      </w:r>
    </w:p>
    <w:p w:rsidR="008B2ABA" w:rsidRPr="00AB1438" w:rsidRDefault="00AB1438">
      <w:pPr>
        <w:pStyle w:val="NormalWeb"/>
        <w:widowControl/>
        <w:spacing w:beforeAutospacing="0" w:after="288" w:afterAutospacing="0" w:line="360" w:lineRule="auto"/>
        <w:jc w:val="center"/>
        <w:rPr>
          <w:rFonts w:ascii="Times New Roman" w:hAnsi="Times New Roman"/>
          <w:color w:val="000000" w:themeColor="text1"/>
          <w:spacing w:val="2"/>
          <w:szCs w:val="24"/>
        </w:rPr>
      </w:pPr>
      <w:r w:rsidRPr="00AB1438">
        <w:rPr>
          <w:rFonts w:ascii="Times New Roman" w:eastAsia="Helvetica" w:hAnsi="Times New Roman"/>
          <w:b/>
          <w:bCs/>
          <w:color w:val="000000" w:themeColor="text1"/>
          <w:spacing w:val="2"/>
          <w:szCs w:val="24"/>
        </w:rPr>
        <w:t>Figure S</w:t>
      </w:r>
      <w:r w:rsidRPr="00AB1438">
        <w:rPr>
          <w:rFonts w:ascii="Times New Roman" w:eastAsia="SimSun" w:hAnsi="Times New Roman" w:hint="eastAsia"/>
          <w:b/>
          <w:bCs/>
          <w:color w:val="000000" w:themeColor="text1"/>
          <w:spacing w:val="2"/>
          <w:szCs w:val="24"/>
        </w:rPr>
        <w:t>10</w:t>
      </w:r>
      <w:r w:rsidRPr="00AB1438">
        <w:rPr>
          <w:rFonts w:ascii="Times New Roman" w:eastAsia="Helvetica" w:hAnsi="Times New Roman"/>
          <w:b/>
          <w:bCs/>
          <w:color w:val="000000" w:themeColor="text1"/>
          <w:spacing w:val="2"/>
          <w:szCs w:val="24"/>
        </w:rPr>
        <w:t>.</w:t>
      </w:r>
      <w:r w:rsidRPr="00AB1438">
        <w:rPr>
          <w:rFonts w:ascii="Times New Roman" w:eastAsia="Helvetica" w:hAnsi="Times New Roman"/>
          <w:color w:val="000000" w:themeColor="text1"/>
          <w:spacing w:val="2"/>
          <w:szCs w:val="24"/>
        </w:rPr>
        <w:t xml:space="preserve"> SERS intensity at 1322 cm</w:t>
      </w:r>
      <w:r w:rsidRPr="00AB1438">
        <w:rPr>
          <w:rFonts w:ascii="Times New Roman" w:eastAsia="SimSun" w:hAnsi="Times New Roman" w:hint="eastAsia"/>
          <w:color w:val="000000" w:themeColor="text1"/>
          <w:spacing w:val="2"/>
          <w:szCs w:val="24"/>
          <w:vertAlign w:val="superscript"/>
        </w:rPr>
        <w:t>-1</w:t>
      </w:r>
      <w:r w:rsidRPr="00AB1438">
        <w:rPr>
          <w:rFonts w:ascii="Times New Roman" w:eastAsia="Helvetica" w:hAnsi="Times New Roman"/>
          <w:color w:val="000000" w:themeColor="text1"/>
          <w:spacing w:val="2"/>
          <w:szCs w:val="24"/>
        </w:rPr>
        <w:t xml:space="preserve"> for Blank, Aβ42 alone, and Aβ42 with interferents.</w:t>
      </w:r>
    </w:p>
    <w:p w:rsidR="008B2ABA" w:rsidRPr="00AB1438" w:rsidRDefault="00AB1438">
      <w:pPr>
        <w:spacing w:line="360" w:lineRule="auto"/>
        <w:rPr>
          <w:rFonts w:ascii="Times New Roman" w:eastAsia="方正仿宋_GBK" w:hAnsi="Times New Roman" w:cs="Times New Roman"/>
          <w:b/>
          <w:bCs/>
          <w:color w:val="000000" w:themeColor="text1"/>
          <w:sz w:val="28"/>
          <w:szCs w:val="28"/>
        </w:rPr>
      </w:pPr>
      <w:r w:rsidRPr="00AB1438">
        <w:rPr>
          <w:rFonts w:ascii="Times New Roman" w:eastAsia="方正仿宋_GBK" w:hAnsi="Times New Roman" w:cs="Times New Roman" w:hint="eastAsia"/>
          <w:b/>
          <w:bCs/>
          <w:color w:val="000000" w:themeColor="text1"/>
          <w:sz w:val="28"/>
          <w:szCs w:val="28"/>
        </w:rPr>
        <w:t>S7.</w:t>
      </w:r>
    </w:p>
    <w:p w:rsidR="008B2ABA" w:rsidRPr="00AB1438" w:rsidRDefault="00AB1438">
      <w:pPr>
        <w:spacing w:line="360" w:lineRule="auto"/>
        <w:jc w:val="center"/>
        <w:rPr>
          <w:rFonts w:ascii="Times New Roman" w:eastAsia="方正仿宋_GBK" w:hAnsi="Times New Roman" w:cs="Times New Roman"/>
          <w:b/>
          <w:bCs/>
          <w:color w:val="000000" w:themeColor="text1"/>
          <w:sz w:val="28"/>
          <w:szCs w:val="28"/>
        </w:rPr>
      </w:pPr>
      <w:r w:rsidRPr="00AB1438">
        <w:rPr>
          <w:rFonts w:ascii="Times New Roman" w:eastAsia="方正仿宋_GBK" w:hAnsi="Times New Roman" w:cs="Times New Roman"/>
          <w:b/>
          <w:bCs/>
          <w:color w:val="000000" w:themeColor="text1"/>
          <w:sz w:val="28"/>
          <w:szCs w:val="28"/>
        </w:rPr>
        <w:t xml:space="preserve">Table S1. Concentrations of Aβ42 determined by SERS using the proposed </w:t>
      </w:r>
      <w:r w:rsidRPr="00AB1438">
        <w:rPr>
          <w:rFonts w:ascii="Times New Roman" w:eastAsia="方正仿宋_GBK" w:hAnsi="Times New Roman" w:cs="Times New Roman"/>
          <w:b/>
          <w:bCs/>
          <w:color w:val="000000" w:themeColor="text1"/>
          <w:sz w:val="28"/>
          <w:szCs w:val="28"/>
        </w:rPr>
        <w:t>sensing system and by ELISA in AD rats at different stages (Day 0, Day 5, Day 10, Day 15).</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AB1438" w:rsidRPr="00AB1438">
        <w:trPr>
          <w:jc w:val="center"/>
        </w:trPr>
        <w:tc>
          <w:tcPr>
            <w:tcW w:w="2074" w:type="dxa"/>
            <w:tcBorders>
              <w:top w:val="single" w:sz="4" w:space="0" w:color="auto"/>
              <w:bottom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Day</w:t>
            </w:r>
          </w:p>
        </w:tc>
        <w:tc>
          <w:tcPr>
            <w:tcW w:w="2074" w:type="dxa"/>
            <w:tcBorders>
              <w:top w:val="single" w:sz="4" w:space="0" w:color="auto"/>
              <w:bottom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Sample</w:t>
            </w:r>
          </w:p>
        </w:tc>
        <w:tc>
          <w:tcPr>
            <w:tcW w:w="2074" w:type="dxa"/>
            <w:tcBorders>
              <w:top w:val="single" w:sz="4" w:space="0" w:color="auto"/>
              <w:bottom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SERS</w:t>
            </w:r>
            <w:r w:rsidRPr="00AB1438">
              <w:rPr>
                <w:rFonts w:ascii="Times New Roman" w:hAnsi="Times New Roman" w:cs="Times New Roman" w:hint="eastAsia"/>
                <w:color w:val="000000" w:themeColor="text1"/>
                <w:sz w:val="24"/>
                <w:szCs w:val="24"/>
              </w:rPr>
              <w:t xml:space="preserve"> (</w:t>
            </w:r>
            <w:r w:rsidRPr="00AB1438">
              <w:rPr>
                <w:rFonts w:ascii="Times New Roman" w:hAnsi="Times New Roman" w:cs="Times New Roman"/>
                <w:color w:val="000000" w:themeColor="text1"/>
                <w:sz w:val="24"/>
                <w:szCs w:val="24"/>
              </w:rPr>
              <w:t>pg/ml</w:t>
            </w:r>
            <w:r w:rsidRPr="00AB1438">
              <w:rPr>
                <w:rFonts w:ascii="Times New Roman" w:hAnsi="Times New Roman" w:cs="Times New Roman" w:hint="eastAsia"/>
                <w:color w:val="000000" w:themeColor="text1"/>
                <w:sz w:val="24"/>
                <w:szCs w:val="24"/>
              </w:rPr>
              <w:t>)</w:t>
            </w:r>
          </w:p>
        </w:tc>
        <w:tc>
          <w:tcPr>
            <w:tcW w:w="2074" w:type="dxa"/>
            <w:tcBorders>
              <w:top w:val="single" w:sz="4" w:space="0" w:color="auto"/>
              <w:bottom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ELISA (pg/ml)</w:t>
            </w:r>
          </w:p>
        </w:tc>
      </w:tr>
      <w:tr w:rsidR="00AB1438" w:rsidRPr="00AB1438">
        <w:trPr>
          <w:jc w:val="center"/>
        </w:trPr>
        <w:tc>
          <w:tcPr>
            <w:tcW w:w="2074" w:type="dxa"/>
            <w:vMerge w:val="restart"/>
            <w:tcBorders>
              <w:top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 xml:space="preserve">Day </w:t>
            </w:r>
            <w:r w:rsidRPr="00AB1438">
              <w:rPr>
                <w:rFonts w:ascii="Times New Roman" w:hAnsi="Times New Roman" w:cs="Times New Roman" w:hint="eastAsia"/>
                <w:color w:val="000000" w:themeColor="text1"/>
                <w:sz w:val="24"/>
                <w:szCs w:val="24"/>
              </w:rPr>
              <w:t>0</w:t>
            </w:r>
          </w:p>
        </w:tc>
        <w:tc>
          <w:tcPr>
            <w:tcW w:w="2074" w:type="dxa"/>
            <w:tcBorders>
              <w:top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w:t>
            </w:r>
          </w:p>
        </w:tc>
        <w:tc>
          <w:tcPr>
            <w:tcW w:w="2074" w:type="dxa"/>
            <w:tcBorders>
              <w:top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9.17</w:t>
            </w:r>
          </w:p>
        </w:tc>
        <w:tc>
          <w:tcPr>
            <w:tcW w:w="2074" w:type="dxa"/>
            <w:tcBorders>
              <w:top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7.71</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5.82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6.53</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3</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13.58</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12.04</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4</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2.65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4.49</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8.13</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9.45</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6</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11.74</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13.89</w:t>
            </w:r>
          </w:p>
        </w:tc>
      </w:tr>
      <w:tr w:rsidR="00AB1438" w:rsidRPr="00AB1438">
        <w:trPr>
          <w:jc w:val="center"/>
        </w:trPr>
        <w:tc>
          <w:tcPr>
            <w:tcW w:w="2074" w:type="dxa"/>
            <w:vMerge w:val="restart"/>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 xml:space="preserve">Day </w:t>
            </w:r>
            <w:r w:rsidRPr="00AB1438">
              <w:rPr>
                <w:rFonts w:ascii="Times New Roman" w:hAnsi="Times New Roman" w:cs="Times New Roman" w:hint="eastAsia"/>
                <w:color w:val="000000" w:themeColor="text1"/>
                <w:sz w:val="24"/>
                <w:szCs w:val="24"/>
              </w:rPr>
              <w:t>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29.36</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31.67</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10.5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18.71</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3</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31.14</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26.71</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4</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25.53</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21.44</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21.86</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17.56</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6</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14.42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22.94</w:t>
            </w:r>
          </w:p>
        </w:tc>
      </w:tr>
      <w:tr w:rsidR="00AB1438" w:rsidRPr="00AB1438">
        <w:trPr>
          <w:jc w:val="center"/>
        </w:trPr>
        <w:tc>
          <w:tcPr>
            <w:tcW w:w="2074" w:type="dxa"/>
            <w:vMerge w:val="restart"/>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Day 1</w:t>
            </w:r>
            <w:r w:rsidRPr="00AB1438">
              <w:rPr>
                <w:rFonts w:ascii="Times New Roman" w:hAnsi="Times New Roman" w:cs="Times New Roman" w:hint="eastAsia"/>
                <w:color w:val="000000" w:themeColor="text1"/>
                <w:sz w:val="24"/>
                <w:szCs w:val="24"/>
              </w:rPr>
              <w:t>0</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82.89</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98.06</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96.26</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85.71</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3</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101.82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78.36</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4</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91.15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98.36</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86.61</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79.71</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6</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98.52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84.36</w:t>
            </w:r>
          </w:p>
        </w:tc>
      </w:tr>
      <w:tr w:rsidR="00AB1438" w:rsidRPr="00AB1438">
        <w:trPr>
          <w:jc w:val="center"/>
        </w:trPr>
        <w:tc>
          <w:tcPr>
            <w:tcW w:w="2074" w:type="dxa"/>
            <w:vMerge w:val="restart"/>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 xml:space="preserve">Day </w:t>
            </w:r>
            <w:r w:rsidRPr="00AB1438">
              <w:rPr>
                <w:rFonts w:ascii="Times New Roman" w:hAnsi="Times New Roman" w:cs="Times New Roman" w:hint="eastAsia"/>
                <w:color w:val="000000" w:themeColor="text1"/>
                <w:sz w:val="24"/>
                <w:szCs w:val="24"/>
              </w:rPr>
              <w:t>15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124.94</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136.06</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123.52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134.36</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3</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136.56</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151.71</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4</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127.62</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124.36</w:t>
            </w:r>
          </w:p>
        </w:tc>
      </w:tr>
      <w:tr w:rsidR="00AB1438" w:rsidRPr="00AB1438">
        <w:trPr>
          <w:jc w:val="center"/>
        </w:trPr>
        <w:tc>
          <w:tcPr>
            <w:tcW w:w="2074" w:type="dxa"/>
            <w:vMerge/>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116.15</w:t>
            </w:r>
          </w:p>
        </w:tc>
        <w:tc>
          <w:tcPr>
            <w:tcW w:w="2074" w:type="dxa"/>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138.71</w:t>
            </w:r>
          </w:p>
        </w:tc>
      </w:tr>
      <w:tr w:rsidR="00AB1438" w:rsidRPr="00AB1438">
        <w:trPr>
          <w:jc w:val="center"/>
        </w:trPr>
        <w:tc>
          <w:tcPr>
            <w:tcW w:w="2074" w:type="dxa"/>
            <w:vMerge/>
            <w:tcBorders>
              <w:bottom w:val="single" w:sz="4" w:space="0" w:color="auto"/>
            </w:tcBorders>
            <w:vAlign w:val="center"/>
          </w:tcPr>
          <w:p w:rsidR="008B2ABA" w:rsidRPr="00AB1438" w:rsidRDefault="008B2ABA">
            <w:pPr>
              <w:spacing w:line="360" w:lineRule="auto"/>
              <w:jc w:val="center"/>
              <w:rPr>
                <w:rFonts w:ascii="Times New Roman" w:hAnsi="Times New Roman" w:cs="Times New Roman"/>
                <w:color w:val="000000" w:themeColor="text1"/>
                <w:sz w:val="24"/>
                <w:szCs w:val="24"/>
              </w:rPr>
            </w:pPr>
          </w:p>
        </w:tc>
        <w:tc>
          <w:tcPr>
            <w:tcW w:w="2074" w:type="dxa"/>
            <w:tcBorders>
              <w:bottom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6</w:t>
            </w:r>
          </w:p>
        </w:tc>
        <w:tc>
          <w:tcPr>
            <w:tcW w:w="2074" w:type="dxa"/>
            <w:tcBorders>
              <w:bottom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114.27</w:t>
            </w:r>
          </w:p>
        </w:tc>
        <w:tc>
          <w:tcPr>
            <w:tcW w:w="2074" w:type="dxa"/>
            <w:tcBorders>
              <w:bottom w:val="single" w:sz="4" w:space="0" w:color="auto"/>
            </w:tcBorders>
            <w:vAlign w:val="center"/>
          </w:tcPr>
          <w:p w:rsidR="008B2ABA" w:rsidRPr="00AB1438" w:rsidRDefault="00AB1438">
            <w:pPr>
              <w:spacing w:line="360" w:lineRule="auto"/>
              <w:jc w:val="center"/>
              <w:rPr>
                <w:rFonts w:ascii="Times New Roman" w:hAnsi="Times New Roman" w:cs="Times New Roman"/>
                <w:color w:val="000000" w:themeColor="text1"/>
                <w:sz w:val="24"/>
                <w:szCs w:val="24"/>
              </w:rPr>
            </w:pPr>
            <w:r w:rsidRPr="00AB1438">
              <w:rPr>
                <w:rFonts w:ascii="Times New Roman" w:hAnsi="Times New Roman" w:cs="Times New Roman"/>
                <w:color w:val="000000" w:themeColor="text1"/>
                <w:sz w:val="24"/>
                <w:szCs w:val="24"/>
              </w:rPr>
              <w:t>132.06</w:t>
            </w:r>
          </w:p>
        </w:tc>
      </w:tr>
    </w:tbl>
    <w:p w:rsidR="008B2ABA" w:rsidRPr="00AB1438" w:rsidRDefault="00AB1438">
      <w:pPr>
        <w:spacing w:line="480" w:lineRule="auto"/>
        <w:jc w:val="left"/>
        <w:rPr>
          <w:rFonts w:ascii="SimSun" w:eastAsia="SimSun" w:hAnsi="SimSun" w:cs="SimSun"/>
          <w:color w:val="000000" w:themeColor="text1"/>
          <w:sz w:val="24"/>
          <w:szCs w:val="24"/>
        </w:rPr>
      </w:pPr>
      <w:r w:rsidRPr="00AB1438">
        <w:rPr>
          <w:rFonts w:ascii="Times New Roman" w:hAnsi="Times New Roman" w:hint="eastAsia"/>
          <w:b/>
          <w:bCs/>
          <w:color w:val="000000" w:themeColor="text1"/>
          <w:sz w:val="24"/>
          <w:szCs w:val="24"/>
        </w:rPr>
        <w:t>S8.Clinical samples</w:t>
      </w:r>
    </w:p>
    <w:p w:rsidR="008B2ABA" w:rsidRPr="00AB1438" w:rsidRDefault="00AB1438">
      <w:pPr>
        <w:pStyle w:val="NormalWeb"/>
        <w:widowControl/>
        <w:spacing w:beforeAutospacing="0" w:afterAutospacing="0" w:line="360" w:lineRule="auto"/>
        <w:rPr>
          <w:rFonts w:ascii="Times New Roman" w:eastAsia="SimSun" w:hAnsi="Times New Roman"/>
          <w:color w:val="000000" w:themeColor="text1"/>
          <w:szCs w:val="24"/>
        </w:rPr>
      </w:pPr>
      <w:r w:rsidRPr="00AB1438">
        <w:rPr>
          <w:rFonts w:ascii="Times New Roman" w:eastAsia="Segoe UI" w:hAnsi="Times New Roman"/>
          <w:color w:val="000000" w:themeColor="text1"/>
          <w:szCs w:val="24"/>
          <w:shd w:val="clear" w:color="auto" w:fill="FFFFFF"/>
        </w:rPr>
        <w:t xml:space="preserve">To further evaluate the detection reliability of the established method in complex serum matrices, we performed independent LOD validation using serum samples from different healthy individuals. Six </w:t>
      </w:r>
      <w:r w:rsidRPr="00AB1438">
        <w:rPr>
          <w:rFonts w:ascii="Times New Roman" w:eastAsia="Segoe UI" w:hAnsi="Times New Roman"/>
          <w:color w:val="000000" w:themeColor="text1"/>
          <w:szCs w:val="24"/>
          <w:shd w:val="clear" w:color="auto" w:fill="FFFFFF"/>
        </w:rPr>
        <w:t>serum samples from different healthy individuals were selected, and a high-concentration Aβ42 stock solution (10</w:t>
      </w:r>
      <w:r w:rsidRPr="00AB1438">
        <w:rPr>
          <w:rFonts w:ascii="Times New Roman" w:eastAsia="SimSun" w:hAnsi="Times New Roman" w:hint="eastAsia"/>
          <w:color w:val="000000" w:themeColor="text1"/>
          <w:szCs w:val="24"/>
          <w:shd w:val="clear" w:color="auto" w:fill="FFFFFF"/>
          <w:vertAlign w:val="superscript"/>
        </w:rPr>
        <w:t>4</w:t>
      </w:r>
      <w:r w:rsidRPr="00AB1438">
        <w:rPr>
          <w:rFonts w:ascii="Times New Roman" w:eastAsia="Segoe UI" w:hAnsi="Times New Roman"/>
          <w:color w:val="000000" w:themeColor="text1"/>
          <w:szCs w:val="24"/>
          <w:shd w:val="clear" w:color="auto" w:fill="FFFFFF"/>
        </w:rPr>
        <w:t xml:space="preserve"> pg/mL) was first added to each sample, followed by serial dilution to obtain Aβ42 concentrations ranging from 10</w:t>
      </w:r>
      <w:r w:rsidRPr="00AB1438">
        <w:rPr>
          <w:rFonts w:ascii="Times New Roman" w:eastAsia="SimSun" w:hAnsi="Times New Roman" w:hint="eastAsia"/>
          <w:color w:val="000000" w:themeColor="text1"/>
          <w:szCs w:val="24"/>
          <w:shd w:val="clear" w:color="auto" w:fill="FFFFFF"/>
          <w:vertAlign w:val="superscript"/>
        </w:rPr>
        <w:t>3</w:t>
      </w:r>
      <w:r w:rsidRPr="00AB1438">
        <w:rPr>
          <w:rFonts w:ascii="Times New Roman" w:eastAsia="Segoe UI" w:hAnsi="Times New Roman"/>
          <w:color w:val="000000" w:themeColor="text1"/>
          <w:szCs w:val="24"/>
          <w:shd w:val="clear" w:color="auto" w:fill="FFFFFF"/>
        </w:rPr>
        <w:t xml:space="preserve"> to 10</w:t>
      </w:r>
      <w:r w:rsidRPr="00AB1438">
        <w:rPr>
          <w:rFonts w:ascii="Times New Roman" w:eastAsia="SimSun" w:hAnsi="Times New Roman" w:hint="eastAsia"/>
          <w:color w:val="000000" w:themeColor="text1"/>
          <w:szCs w:val="24"/>
          <w:shd w:val="clear" w:color="auto" w:fill="FFFFFF"/>
          <w:vertAlign w:val="superscript"/>
        </w:rPr>
        <w:t>-1</w:t>
      </w:r>
      <w:r w:rsidRPr="00AB1438">
        <w:rPr>
          <w:rFonts w:ascii="Times New Roman" w:eastAsia="Segoe UI" w:hAnsi="Times New Roman"/>
          <w:color w:val="000000" w:themeColor="text1"/>
          <w:szCs w:val="24"/>
          <w:shd w:val="clear" w:color="auto" w:fill="FFFFFF"/>
        </w:rPr>
        <w:t xml:space="preserve"> pg/mL. SERS spectra were recorded at each concentration under the same experimental conditions, and the detection limit was calculated separately for each serum sample. The results showed that the LOD obtained from the six independent serum samples was 16</w:t>
      </w:r>
      <w:r w:rsidRPr="00AB1438">
        <w:rPr>
          <w:rFonts w:ascii="Times New Roman" w:eastAsia="Segoe UI" w:hAnsi="Times New Roman"/>
          <w:color w:val="000000" w:themeColor="text1"/>
          <w:szCs w:val="24"/>
          <w:shd w:val="clear" w:color="auto" w:fill="FFFFFF"/>
        </w:rPr>
        <w:t>.60 ± 0.35 fg mL</w:t>
      </w:r>
      <w:r w:rsidRPr="00AB1438">
        <w:rPr>
          <w:rFonts w:ascii="Times New Roman" w:eastAsia="SimSun" w:hAnsi="Times New Roman" w:hint="eastAsia"/>
          <w:color w:val="000000" w:themeColor="text1"/>
          <w:spacing w:val="2"/>
          <w:szCs w:val="24"/>
          <w:vertAlign w:val="superscript"/>
        </w:rPr>
        <w:t>-1</w:t>
      </w:r>
      <w:r w:rsidRPr="00AB1438">
        <w:rPr>
          <w:rFonts w:ascii="Times New Roman" w:eastAsia="Segoe UI" w:hAnsi="Times New Roman"/>
          <w:color w:val="000000" w:themeColor="text1"/>
          <w:szCs w:val="24"/>
          <w:shd w:val="clear" w:color="auto" w:fill="FFFFFF"/>
        </w:rPr>
        <w:t>, with an RSD of 2.09% and a 95% confidence interval of 16.32</w:t>
      </w:r>
      <w:r w:rsidRPr="00AB1438">
        <w:rPr>
          <w:rFonts w:ascii="Times New Roman" w:eastAsia="SimSun" w:hAnsi="Times New Roman" w:hint="eastAsia"/>
          <w:color w:val="000000" w:themeColor="text1"/>
          <w:szCs w:val="24"/>
          <w:shd w:val="clear" w:color="auto" w:fill="FFFFFF"/>
        </w:rPr>
        <w:t>-</w:t>
      </w:r>
      <w:r w:rsidRPr="00AB1438">
        <w:rPr>
          <w:rFonts w:ascii="Times New Roman" w:eastAsia="Segoe UI" w:hAnsi="Times New Roman"/>
          <w:color w:val="000000" w:themeColor="text1"/>
          <w:szCs w:val="24"/>
          <w:shd w:val="clear" w:color="auto" w:fill="FFFFFF"/>
        </w:rPr>
        <w:t>16.88 fg mL</w:t>
      </w:r>
      <w:r w:rsidRPr="00AB1438">
        <w:rPr>
          <w:rFonts w:ascii="Times New Roman" w:eastAsia="SimSun" w:hAnsi="Times New Roman" w:hint="eastAsia"/>
          <w:color w:val="000000" w:themeColor="text1"/>
          <w:spacing w:val="2"/>
          <w:szCs w:val="24"/>
          <w:vertAlign w:val="superscript"/>
        </w:rPr>
        <w:t>-1</w:t>
      </w:r>
      <w:r w:rsidRPr="00AB1438">
        <w:rPr>
          <w:rFonts w:ascii="Times New Roman" w:eastAsia="Segoe UI" w:hAnsi="Times New Roman"/>
          <w:color w:val="000000" w:themeColor="text1"/>
          <w:szCs w:val="24"/>
          <w:shd w:val="clear" w:color="auto" w:fill="FFFFFF"/>
        </w:rPr>
        <w:t>, indicating good repeatability and statistical stability of the platform in serum matrices (Figure S</w:t>
      </w:r>
      <w:r w:rsidRPr="00AB1438">
        <w:rPr>
          <w:rFonts w:ascii="Times New Roman" w:eastAsia="SimSun" w:hAnsi="Times New Roman" w:hint="eastAsia"/>
          <w:color w:val="000000" w:themeColor="text1"/>
          <w:szCs w:val="24"/>
          <w:shd w:val="clear" w:color="auto" w:fill="FFFFFF"/>
        </w:rPr>
        <w:t>11</w:t>
      </w:r>
      <w:r w:rsidRPr="00AB1438">
        <w:rPr>
          <w:rFonts w:ascii="Times New Roman" w:eastAsia="Segoe UI" w:hAnsi="Times New Roman"/>
          <w:color w:val="000000" w:themeColor="text1"/>
          <w:szCs w:val="24"/>
          <w:shd w:val="clear" w:color="auto" w:fill="FFFFFF"/>
        </w:rPr>
        <w:t>A).</w:t>
      </w:r>
      <w:r w:rsidRPr="00AB1438">
        <w:rPr>
          <w:rFonts w:ascii="Times New Roman" w:hAnsi="Times New Roman" w:hint="eastAsia"/>
          <w:color w:val="000000" w:themeColor="text1"/>
          <w:szCs w:val="24"/>
          <w:shd w:val="clear" w:color="auto" w:fill="FFFFFF"/>
        </w:rPr>
        <w:t xml:space="preserve"> </w:t>
      </w:r>
      <w:r w:rsidRPr="00AB1438">
        <w:rPr>
          <w:rFonts w:ascii="Times New Roman" w:eastAsia="Segoe UI" w:hAnsi="Times New Roman"/>
          <w:color w:val="000000" w:themeColor="text1"/>
          <w:szCs w:val="24"/>
          <w:shd w:val="clear" w:color="auto" w:fill="FFFFFF"/>
        </w:rPr>
        <w:lastRenderedPageBreak/>
        <w:t>As shown in Figures S</w:t>
      </w:r>
      <w:r w:rsidRPr="00AB1438">
        <w:rPr>
          <w:rFonts w:ascii="Times New Roman" w:eastAsia="SimSun" w:hAnsi="Times New Roman" w:hint="eastAsia"/>
          <w:color w:val="000000" w:themeColor="text1"/>
          <w:szCs w:val="24"/>
          <w:shd w:val="clear" w:color="auto" w:fill="FFFFFF"/>
        </w:rPr>
        <w:t>11</w:t>
      </w:r>
      <w:r w:rsidRPr="00AB1438">
        <w:rPr>
          <w:rFonts w:ascii="Times New Roman" w:eastAsia="Segoe UI" w:hAnsi="Times New Roman"/>
          <w:color w:val="000000" w:themeColor="text1"/>
          <w:szCs w:val="24"/>
          <w:shd w:val="clear" w:color="auto" w:fill="FFFFFF"/>
        </w:rPr>
        <w:t>B and S</w:t>
      </w:r>
      <w:r w:rsidRPr="00AB1438">
        <w:rPr>
          <w:rFonts w:ascii="Times New Roman" w:eastAsia="SimSun" w:hAnsi="Times New Roman" w:hint="eastAsia"/>
          <w:color w:val="000000" w:themeColor="text1"/>
          <w:szCs w:val="24"/>
          <w:shd w:val="clear" w:color="auto" w:fill="FFFFFF"/>
        </w:rPr>
        <w:t>11</w:t>
      </w:r>
      <w:r w:rsidRPr="00AB1438">
        <w:rPr>
          <w:rFonts w:ascii="Times New Roman" w:eastAsia="Segoe UI" w:hAnsi="Times New Roman"/>
          <w:color w:val="000000" w:themeColor="text1"/>
          <w:szCs w:val="24"/>
          <w:shd w:val="clear" w:color="auto" w:fill="FFFFFF"/>
        </w:rPr>
        <w:t>C, we performed six inde</w:t>
      </w:r>
      <w:r w:rsidRPr="00AB1438">
        <w:rPr>
          <w:rFonts w:ascii="Times New Roman" w:eastAsia="Segoe UI" w:hAnsi="Times New Roman"/>
          <w:color w:val="000000" w:themeColor="text1"/>
          <w:szCs w:val="24"/>
          <w:shd w:val="clear" w:color="auto" w:fill="FFFFFF"/>
        </w:rPr>
        <w:t xml:space="preserve">pendent repeated measurements on the same serum samples from a healthy individual and an AD patient. The RSD was 6.14% for the healthy sample and 7.53% for the AD patient sample, indicating good repeatability of the method in clinical samples. As shown in </w:t>
      </w:r>
      <w:r w:rsidRPr="00AB1438">
        <w:rPr>
          <w:rFonts w:ascii="Times New Roman" w:eastAsia="Segoe UI" w:hAnsi="Times New Roman"/>
          <w:color w:val="000000" w:themeColor="text1"/>
          <w:szCs w:val="24"/>
          <w:shd w:val="clear" w:color="auto" w:fill="FFFFFF"/>
        </w:rPr>
        <w:t>Figure S</w:t>
      </w:r>
      <w:r w:rsidRPr="00AB1438">
        <w:rPr>
          <w:rFonts w:ascii="Times New Roman" w:eastAsia="SimSun" w:hAnsi="Times New Roman" w:hint="eastAsia"/>
          <w:color w:val="000000" w:themeColor="text1"/>
          <w:szCs w:val="24"/>
          <w:shd w:val="clear" w:color="auto" w:fill="FFFFFF"/>
        </w:rPr>
        <w:t>11</w:t>
      </w:r>
      <w:r w:rsidRPr="00AB1438">
        <w:rPr>
          <w:rFonts w:ascii="Times New Roman" w:eastAsia="Segoe UI" w:hAnsi="Times New Roman"/>
          <w:color w:val="000000" w:themeColor="text1"/>
          <w:szCs w:val="24"/>
          <w:shd w:val="clear" w:color="auto" w:fill="FFFFFF"/>
        </w:rPr>
        <w:t>D, we used the SERS microarray chip to analyze clinical serum samples from 30 healthy controls and 30 AD patients. In parallel, ELISA was used for validation. As shown in Figure S</w:t>
      </w:r>
      <w:r w:rsidRPr="00AB1438">
        <w:rPr>
          <w:rFonts w:ascii="Times New Roman" w:eastAsia="SimSun" w:hAnsi="Times New Roman" w:hint="eastAsia"/>
          <w:color w:val="000000" w:themeColor="text1"/>
          <w:szCs w:val="24"/>
          <w:shd w:val="clear" w:color="auto" w:fill="FFFFFF"/>
        </w:rPr>
        <w:t>11</w:t>
      </w:r>
      <w:r w:rsidRPr="00AB1438">
        <w:rPr>
          <w:rFonts w:ascii="Times New Roman" w:eastAsia="Segoe UI" w:hAnsi="Times New Roman"/>
          <w:color w:val="000000" w:themeColor="text1"/>
          <w:szCs w:val="24"/>
          <w:shd w:val="clear" w:color="auto" w:fill="FFFFFF"/>
        </w:rPr>
        <w:t xml:space="preserve">E, linear regression analysis between the SERS and ELISA results </w:t>
      </w:r>
      <w:r w:rsidRPr="00AB1438">
        <w:rPr>
          <w:rFonts w:ascii="Times New Roman" w:eastAsia="Segoe UI" w:hAnsi="Times New Roman"/>
          <w:color w:val="000000" w:themeColor="text1"/>
          <w:szCs w:val="24"/>
          <w:shd w:val="clear" w:color="auto" w:fill="FFFFFF"/>
        </w:rPr>
        <w:t>revealed a strong positive correlation (R</w:t>
      </w:r>
      <w:r w:rsidRPr="00AB1438">
        <w:rPr>
          <w:rFonts w:ascii="Times New Roman" w:eastAsia="SimSun" w:hAnsi="Times New Roman" w:hint="eastAsia"/>
          <w:color w:val="000000" w:themeColor="text1"/>
          <w:szCs w:val="24"/>
          <w:shd w:val="clear" w:color="auto" w:fill="FFFFFF"/>
          <w:vertAlign w:val="superscript"/>
        </w:rPr>
        <w:t>2</w:t>
      </w:r>
      <w:r w:rsidRPr="00AB1438">
        <w:rPr>
          <w:rFonts w:ascii="Times New Roman" w:eastAsia="Segoe UI" w:hAnsi="Times New Roman"/>
          <w:color w:val="000000" w:themeColor="text1"/>
          <w:szCs w:val="24"/>
          <w:shd w:val="clear" w:color="auto" w:fill="FFFFFF"/>
        </w:rPr>
        <w:t xml:space="preserve"> = 0.943), indicating a strong linear association between the two methods. We further performed Bland–Altman analysis based on the paired SERS and ELISA measurements (Figure S</w:t>
      </w:r>
      <w:r w:rsidRPr="00AB1438">
        <w:rPr>
          <w:rFonts w:ascii="Times New Roman" w:eastAsia="SimSun" w:hAnsi="Times New Roman" w:hint="eastAsia"/>
          <w:color w:val="000000" w:themeColor="text1"/>
          <w:szCs w:val="24"/>
          <w:shd w:val="clear" w:color="auto" w:fill="FFFFFF"/>
        </w:rPr>
        <w:t>11</w:t>
      </w:r>
      <w:r w:rsidRPr="00AB1438">
        <w:rPr>
          <w:rFonts w:ascii="Times New Roman" w:eastAsia="Segoe UI" w:hAnsi="Times New Roman"/>
          <w:color w:val="000000" w:themeColor="text1"/>
          <w:szCs w:val="24"/>
          <w:shd w:val="clear" w:color="auto" w:fill="FFFFFF"/>
        </w:rPr>
        <w:t>F). The results showed a mean bias of</w:t>
      </w:r>
      <w:r w:rsidRPr="00AB1438">
        <w:rPr>
          <w:rFonts w:ascii="Times New Roman" w:eastAsia="Segoe UI" w:hAnsi="Times New Roman"/>
          <w:color w:val="000000" w:themeColor="text1"/>
          <w:szCs w:val="24"/>
          <w:shd w:val="clear" w:color="auto" w:fill="FFFFFF"/>
        </w:rPr>
        <w:t xml:space="preserve"> 1.325 between the two methods, with 95% limits of agreement ranging from -12.381 to 15.531, and most of the measurement results fell within the limits of agreement, providing preliminary evidence for the detection of Aβ42 in human serum samples using the </w:t>
      </w:r>
      <w:r w:rsidRPr="00AB1438">
        <w:rPr>
          <w:rFonts w:ascii="Times New Roman" w:eastAsia="Segoe UI" w:hAnsi="Times New Roman"/>
          <w:color w:val="000000" w:themeColor="text1"/>
          <w:szCs w:val="24"/>
          <w:shd w:val="clear" w:color="auto" w:fill="FFFFFF"/>
        </w:rPr>
        <w:t>proposed platform.</w:t>
      </w:r>
    </w:p>
    <w:p w:rsidR="008B2ABA" w:rsidRPr="00AB1438" w:rsidRDefault="00AB1438">
      <w:pPr>
        <w:pStyle w:val="NormalWeb"/>
        <w:widowControl/>
        <w:spacing w:line="360" w:lineRule="auto"/>
        <w:rPr>
          <w:rFonts w:ascii="SimSun" w:eastAsia="SimSun" w:hAnsi="SimSun" w:cs="SimSun"/>
          <w:color w:val="000000" w:themeColor="text1"/>
          <w:szCs w:val="24"/>
        </w:rPr>
      </w:pPr>
      <w:r w:rsidRPr="00AB1438">
        <w:rPr>
          <w:rFonts w:ascii="SimSun" w:eastAsia="SimSun" w:hAnsi="SimSun" w:cs="SimSun" w:hint="eastAsia"/>
          <w:noProof/>
          <w:color w:val="000000" w:themeColor="text1"/>
          <w:szCs w:val="24"/>
          <w:lang w:val="en-IN" w:eastAsia="en-IN"/>
        </w:rPr>
        <w:drawing>
          <wp:inline distT="0" distB="0" distL="114300" distR="114300">
            <wp:extent cx="5264150" cy="3048635"/>
            <wp:effectExtent l="0" t="0" r="8890" b="14605"/>
            <wp:docPr id="4" name="图片 4" descr="人 相关性大图-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人 相关性大图-01"/>
                    <pic:cNvPicPr>
                      <a:picLocks noChangeAspect="1"/>
                    </pic:cNvPicPr>
                  </pic:nvPicPr>
                  <pic:blipFill>
                    <a:blip r:embed="rId15"/>
                    <a:stretch>
                      <a:fillRect/>
                    </a:stretch>
                  </pic:blipFill>
                  <pic:spPr>
                    <a:xfrm>
                      <a:off x="0" y="0"/>
                      <a:ext cx="5264150" cy="3048635"/>
                    </a:xfrm>
                    <a:prstGeom prst="rect">
                      <a:avLst/>
                    </a:prstGeom>
                  </pic:spPr>
                </pic:pic>
              </a:graphicData>
            </a:graphic>
          </wp:inline>
        </w:drawing>
      </w:r>
    </w:p>
    <w:p w:rsidR="008B2ABA" w:rsidRPr="00AB1438" w:rsidRDefault="00AB1438">
      <w:pPr>
        <w:pStyle w:val="NormalWeb"/>
        <w:widowControl/>
        <w:spacing w:line="360" w:lineRule="auto"/>
        <w:jc w:val="center"/>
        <w:rPr>
          <w:rFonts w:ascii="Times New Roman" w:eastAsia="SimSun" w:hAnsi="Times New Roman"/>
          <w:color w:val="000000" w:themeColor="text1"/>
          <w:szCs w:val="24"/>
        </w:rPr>
      </w:pPr>
      <w:r w:rsidRPr="00AB1438">
        <w:rPr>
          <w:rFonts w:ascii="Times New Roman" w:eastAsia="SimSun" w:hAnsi="Times New Roman"/>
          <w:b/>
          <w:bCs/>
          <w:color w:val="000000" w:themeColor="text1"/>
          <w:szCs w:val="24"/>
        </w:rPr>
        <w:t>Figure S</w:t>
      </w:r>
      <w:r w:rsidRPr="00AB1438">
        <w:rPr>
          <w:rFonts w:ascii="Times New Roman" w:eastAsia="SimSun" w:hAnsi="Times New Roman" w:hint="eastAsia"/>
          <w:b/>
          <w:bCs/>
          <w:color w:val="000000" w:themeColor="text1"/>
          <w:szCs w:val="24"/>
        </w:rPr>
        <w:t>11</w:t>
      </w:r>
      <w:r w:rsidRPr="00AB1438">
        <w:rPr>
          <w:rFonts w:ascii="Times New Roman" w:eastAsia="SimSun" w:hAnsi="Times New Roman"/>
          <w:b/>
          <w:bCs/>
          <w:color w:val="000000" w:themeColor="text1"/>
          <w:szCs w:val="24"/>
        </w:rPr>
        <w:t xml:space="preserve">. </w:t>
      </w:r>
      <w:r w:rsidRPr="00AB1438">
        <w:rPr>
          <w:rFonts w:ascii="Times New Roman" w:eastAsia="SimSun" w:hAnsi="Times New Roman"/>
          <w:color w:val="000000" w:themeColor="text1"/>
          <w:szCs w:val="24"/>
        </w:rPr>
        <w:t>(A) Repeatability validation of the LOD based on clinical serum samples; (B) Repeatability for healthy</w:t>
      </w:r>
      <w:r w:rsidRPr="00AB1438">
        <w:rPr>
          <w:rFonts w:ascii="Times New Roman" w:eastAsia="SimSun" w:hAnsi="Times New Roman"/>
          <w:color w:val="000000" w:themeColor="text1"/>
          <w:szCs w:val="24"/>
        </w:rPr>
        <w:noBreakHyphen/>
        <w:t xml:space="preserve">control serum samples; (C) Repeatability for serum samples from AD patients; (D) Detection results of Aβ42 in serum </w:t>
      </w:r>
      <w:r w:rsidRPr="00AB1438">
        <w:rPr>
          <w:rFonts w:ascii="Times New Roman" w:eastAsia="SimSun" w:hAnsi="Times New Roman"/>
          <w:color w:val="000000" w:themeColor="text1"/>
          <w:szCs w:val="24"/>
        </w:rPr>
        <w:t xml:space="preserve">samples from 30 healthy controls and 30 AD patients; (E) Correlation analysis between SERS </w:t>
      </w:r>
      <w:r w:rsidRPr="00AB1438">
        <w:rPr>
          <w:rFonts w:ascii="Times New Roman" w:eastAsia="SimSun" w:hAnsi="Times New Roman"/>
          <w:color w:val="000000" w:themeColor="text1"/>
          <w:szCs w:val="24"/>
        </w:rPr>
        <w:lastRenderedPageBreak/>
        <w:t>and ELISA measurement results; (F) Bland–Altman agreement analysis of SERS and ELISA measurement results.</w:t>
      </w:r>
    </w:p>
    <w:p w:rsidR="008B2ABA" w:rsidRPr="00AB1438" w:rsidRDefault="008B2ABA">
      <w:pPr>
        <w:spacing w:line="360" w:lineRule="auto"/>
        <w:rPr>
          <w:rFonts w:ascii="Times New Roman" w:hAnsi="Times New Roman" w:cs="Times New Roman"/>
          <w:color w:val="000000" w:themeColor="text1"/>
          <w:sz w:val="24"/>
          <w:szCs w:val="24"/>
        </w:rPr>
      </w:pPr>
    </w:p>
    <w:sectPr w:rsidR="008B2ABA" w:rsidRPr="00AB14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panose1 w:val="02010600030101010101"/>
    <w:charset w:val="86"/>
    <w:family w:val="auto"/>
    <w:pitch w:val="default"/>
    <w:sig w:usb0="A00002BF" w:usb1="38CF7CFA" w:usb2="00000016" w:usb3="00000000" w:csb0="0004000F" w:csb1="00000000"/>
  </w:font>
  <w:font w:name="DengXian Light">
    <w:altName w:val="Microsoft YaHei UI"/>
    <w:charset w:val="86"/>
    <w:family w:val="auto"/>
    <w:pitch w:val="default"/>
    <w:sig w:usb0="00000000" w:usb1="38CF7CFA" w:usb2="00000016" w:usb3="00000000" w:csb0="0004000F" w:csb1="00000000"/>
  </w:font>
  <w:font w:name="方正仿宋_GBK">
    <w:altName w:val="Microsoft YaHei"/>
    <w:charset w:val="86"/>
    <w:family w:val="auto"/>
    <w:pitch w:val="default"/>
    <w:sig w:usb0="00000000" w:usb1="00000000" w:usb2="00082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529"/>
    <w:rsid w:val="00000D01"/>
    <w:rsid w:val="00003925"/>
    <w:rsid w:val="0003684C"/>
    <w:rsid w:val="00040D59"/>
    <w:rsid w:val="00041593"/>
    <w:rsid w:val="00061C72"/>
    <w:rsid w:val="0006301F"/>
    <w:rsid w:val="00073708"/>
    <w:rsid w:val="00074BDC"/>
    <w:rsid w:val="00075216"/>
    <w:rsid w:val="00077B4F"/>
    <w:rsid w:val="0008474A"/>
    <w:rsid w:val="00093237"/>
    <w:rsid w:val="000A51AD"/>
    <w:rsid w:val="000A523C"/>
    <w:rsid w:val="000B6C73"/>
    <w:rsid w:val="000C2E10"/>
    <w:rsid w:val="000E36B1"/>
    <w:rsid w:val="000F3B96"/>
    <w:rsid w:val="000F5950"/>
    <w:rsid w:val="00101CC1"/>
    <w:rsid w:val="00103DAB"/>
    <w:rsid w:val="00115AC2"/>
    <w:rsid w:val="00133182"/>
    <w:rsid w:val="001345B9"/>
    <w:rsid w:val="001516BD"/>
    <w:rsid w:val="001651FA"/>
    <w:rsid w:val="00165B16"/>
    <w:rsid w:val="00170A8C"/>
    <w:rsid w:val="00181459"/>
    <w:rsid w:val="001821E8"/>
    <w:rsid w:val="0018542F"/>
    <w:rsid w:val="001A263E"/>
    <w:rsid w:val="001B24A3"/>
    <w:rsid w:val="001B3B79"/>
    <w:rsid w:val="001B6B2B"/>
    <w:rsid w:val="001C1399"/>
    <w:rsid w:val="001D787A"/>
    <w:rsid w:val="001E43E4"/>
    <w:rsid w:val="001E6E12"/>
    <w:rsid w:val="001E6FB4"/>
    <w:rsid w:val="001E7483"/>
    <w:rsid w:val="001F4C6B"/>
    <w:rsid w:val="00210EC3"/>
    <w:rsid w:val="00213233"/>
    <w:rsid w:val="00224305"/>
    <w:rsid w:val="002247F6"/>
    <w:rsid w:val="00236559"/>
    <w:rsid w:val="00237595"/>
    <w:rsid w:val="002420E4"/>
    <w:rsid w:val="00270505"/>
    <w:rsid w:val="00272AE3"/>
    <w:rsid w:val="0027403A"/>
    <w:rsid w:val="00281DD2"/>
    <w:rsid w:val="00290D82"/>
    <w:rsid w:val="002A52C3"/>
    <w:rsid w:val="002C3FEE"/>
    <w:rsid w:val="002C4B4E"/>
    <w:rsid w:val="002D510F"/>
    <w:rsid w:val="002D5111"/>
    <w:rsid w:val="002D6A9A"/>
    <w:rsid w:val="002D7529"/>
    <w:rsid w:val="002E1EBD"/>
    <w:rsid w:val="002E24DB"/>
    <w:rsid w:val="002E28CE"/>
    <w:rsid w:val="002E35D6"/>
    <w:rsid w:val="002E6080"/>
    <w:rsid w:val="002F2174"/>
    <w:rsid w:val="00302E73"/>
    <w:rsid w:val="003128A5"/>
    <w:rsid w:val="003135A5"/>
    <w:rsid w:val="00313A81"/>
    <w:rsid w:val="003144D8"/>
    <w:rsid w:val="003173D8"/>
    <w:rsid w:val="00317474"/>
    <w:rsid w:val="003222C4"/>
    <w:rsid w:val="00330842"/>
    <w:rsid w:val="00335C80"/>
    <w:rsid w:val="00340923"/>
    <w:rsid w:val="00344E04"/>
    <w:rsid w:val="0034542E"/>
    <w:rsid w:val="00353646"/>
    <w:rsid w:val="003541CF"/>
    <w:rsid w:val="003622B8"/>
    <w:rsid w:val="0037436B"/>
    <w:rsid w:val="003744E3"/>
    <w:rsid w:val="00384963"/>
    <w:rsid w:val="003942CE"/>
    <w:rsid w:val="00396EE2"/>
    <w:rsid w:val="003A0CB3"/>
    <w:rsid w:val="003A372E"/>
    <w:rsid w:val="003B1CCA"/>
    <w:rsid w:val="003B4B49"/>
    <w:rsid w:val="003B6CE2"/>
    <w:rsid w:val="003B7985"/>
    <w:rsid w:val="003B7BF4"/>
    <w:rsid w:val="003C2932"/>
    <w:rsid w:val="003C433C"/>
    <w:rsid w:val="003C4EE8"/>
    <w:rsid w:val="003C5824"/>
    <w:rsid w:val="003E63D6"/>
    <w:rsid w:val="003F67DF"/>
    <w:rsid w:val="0041289F"/>
    <w:rsid w:val="00416CA1"/>
    <w:rsid w:val="004314D8"/>
    <w:rsid w:val="004360BB"/>
    <w:rsid w:val="0044536B"/>
    <w:rsid w:val="00446CF8"/>
    <w:rsid w:val="0046545E"/>
    <w:rsid w:val="004755C8"/>
    <w:rsid w:val="00476CD7"/>
    <w:rsid w:val="00480100"/>
    <w:rsid w:val="00487560"/>
    <w:rsid w:val="0049049D"/>
    <w:rsid w:val="004A042C"/>
    <w:rsid w:val="004A585C"/>
    <w:rsid w:val="004B2080"/>
    <w:rsid w:val="004B24B5"/>
    <w:rsid w:val="004D5CBA"/>
    <w:rsid w:val="004E0495"/>
    <w:rsid w:val="004E084F"/>
    <w:rsid w:val="004E4AAB"/>
    <w:rsid w:val="00506931"/>
    <w:rsid w:val="00510623"/>
    <w:rsid w:val="00517676"/>
    <w:rsid w:val="005176A8"/>
    <w:rsid w:val="00526384"/>
    <w:rsid w:val="00532F39"/>
    <w:rsid w:val="00554BF1"/>
    <w:rsid w:val="0057004E"/>
    <w:rsid w:val="00591720"/>
    <w:rsid w:val="00591B8E"/>
    <w:rsid w:val="005A2EEC"/>
    <w:rsid w:val="005A46DA"/>
    <w:rsid w:val="005A4845"/>
    <w:rsid w:val="005A4D26"/>
    <w:rsid w:val="005B3BE4"/>
    <w:rsid w:val="005B531B"/>
    <w:rsid w:val="005B6075"/>
    <w:rsid w:val="005C0973"/>
    <w:rsid w:val="005C534E"/>
    <w:rsid w:val="005C6AB8"/>
    <w:rsid w:val="005D2758"/>
    <w:rsid w:val="005E574D"/>
    <w:rsid w:val="005E7D07"/>
    <w:rsid w:val="005F4584"/>
    <w:rsid w:val="00600C67"/>
    <w:rsid w:val="00606862"/>
    <w:rsid w:val="00611A3C"/>
    <w:rsid w:val="00611AFB"/>
    <w:rsid w:val="00615B96"/>
    <w:rsid w:val="00621D92"/>
    <w:rsid w:val="00623F74"/>
    <w:rsid w:val="006352F6"/>
    <w:rsid w:val="00635989"/>
    <w:rsid w:val="00642915"/>
    <w:rsid w:val="006563CC"/>
    <w:rsid w:val="00665117"/>
    <w:rsid w:val="006773A8"/>
    <w:rsid w:val="00685BE3"/>
    <w:rsid w:val="00686BC4"/>
    <w:rsid w:val="006A3908"/>
    <w:rsid w:val="006B06A0"/>
    <w:rsid w:val="006B0A21"/>
    <w:rsid w:val="006B272F"/>
    <w:rsid w:val="006C375F"/>
    <w:rsid w:val="006E409F"/>
    <w:rsid w:val="006F353A"/>
    <w:rsid w:val="0071781E"/>
    <w:rsid w:val="00724AAB"/>
    <w:rsid w:val="00746A60"/>
    <w:rsid w:val="00757583"/>
    <w:rsid w:val="007610BA"/>
    <w:rsid w:val="00762B73"/>
    <w:rsid w:val="00767865"/>
    <w:rsid w:val="00776C7F"/>
    <w:rsid w:val="00794232"/>
    <w:rsid w:val="007A49A8"/>
    <w:rsid w:val="007A770A"/>
    <w:rsid w:val="007A7712"/>
    <w:rsid w:val="007D532C"/>
    <w:rsid w:val="007E625F"/>
    <w:rsid w:val="007F2282"/>
    <w:rsid w:val="007F26F8"/>
    <w:rsid w:val="007F77B9"/>
    <w:rsid w:val="0080040B"/>
    <w:rsid w:val="0080138F"/>
    <w:rsid w:val="00802F4A"/>
    <w:rsid w:val="00812D25"/>
    <w:rsid w:val="008313BA"/>
    <w:rsid w:val="00843A90"/>
    <w:rsid w:val="008457FA"/>
    <w:rsid w:val="00855313"/>
    <w:rsid w:val="008602AB"/>
    <w:rsid w:val="00861F6A"/>
    <w:rsid w:val="008646EE"/>
    <w:rsid w:val="008676FE"/>
    <w:rsid w:val="00874458"/>
    <w:rsid w:val="008779AC"/>
    <w:rsid w:val="008801FE"/>
    <w:rsid w:val="00891B4C"/>
    <w:rsid w:val="00892A01"/>
    <w:rsid w:val="00893353"/>
    <w:rsid w:val="00895D10"/>
    <w:rsid w:val="0089794B"/>
    <w:rsid w:val="008A1B0B"/>
    <w:rsid w:val="008A57E5"/>
    <w:rsid w:val="008A6F62"/>
    <w:rsid w:val="008B2ABA"/>
    <w:rsid w:val="008B5D13"/>
    <w:rsid w:val="008C737F"/>
    <w:rsid w:val="008D0C23"/>
    <w:rsid w:val="008E189D"/>
    <w:rsid w:val="008E4386"/>
    <w:rsid w:val="008F287A"/>
    <w:rsid w:val="008F44FA"/>
    <w:rsid w:val="008F62B2"/>
    <w:rsid w:val="008F6FED"/>
    <w:rsid w:val="009239EF"/>
    <w:rsid w:val="00924493"/>
    <w:rsid w:val="00924DE0"/>
    <w:rsid w:val="00955CF8"/>
    <w:rsid w:val="0096157B"/>
    <w:rsid w:val="00964831"/>
    <w:rsid w:val="0096568A"/>
    <w:rsid w:val="00970255"/>
    <w:rsid w:val="00976735"/>
    <w:rsid w:val="009767D1"/>
    <w:rsid w:val="009774E7"/>
    <w:rsid w:val="00983A21"/>
    <w:rsid w:val="00986D02"/>
    <w:rsid w:val="00993885"/>
    <w:rsid w:val="00996147"/>
    <w:rsid w:val="009A69EB"/>
    <w:rsid w:val="009B4335"/>
    <w:rsid w:val="009C5824"/>
    <w:rsid w:val="009D0BC3"/>
    <w:rsid w:val="009D37BF"/>
    <w:rsid w:val="009E3658"/>
    <w:rsid w:val="00A005B3"/>
    <w:rsid w:val="00A01F67"/>
    <w:rsid w:val="00A031B1"/>
    <w:rsid w:val="00A0678A"/>
    <w:rsid w:val="00A111F8"/>
    <w:rsid w:val="00A13004"/>
    <w:rsid w:val="00A1349A"/>
    <w:rsid w:val="00A27241"/>
    <w:rsid w:val="00A32372"/>
    <w:rsid w:val="00A355CB"/>
    <w:rsid w:val="00A44043"/>
    <w:rsid w:val="00A5304D"/>
    <w:rsid w:val="00A71714"/>
    <w:rsid w:val="00A759A5"/>
    <w:rsid w:val="00A9140A"/>
    <w:rsid w:val="00AA58E4"/>
    <w:rsid w:val="00AA60D8"/>
    <w:rsid w:val="00AA637A"/>
    <w:rsid w:val="00AB1438"/>
    <w:rsid w:val="00AB4759"/>
    <w:rsid w:val="00AB64AC"/>
    <w:rsid w:val="00AC2245"/>
    <w:rsid w:val="00AD2255"/>
    <w:rsid w:val="00AD4641"/>
    <w:rsid w:val="00AE2976"/>
    <w:rsid w:val="00AE7AC1"/>
    <w:rsid w:val="00AF0C7F"/>
    <w:rsid w:val="00B04529"/>
    <w:rsid w:val="00B055AC"/>
    <w:rsid w:val="00B10EB7"/>
    <w:rsid w:val="00B22BE4"/>
    <w:rsid w:val="00B24670"/>
    <w:rsid w:val="00B31E2E"/>
    <w:rsid w:val="00B3267C"/>
    <w:rsid w:val="00B37A98"/>
    <w:rsid w:val="00B41A5D"/>
    <w:rsid w:val="00B46F7D"/>
    <w:rsid w:val="00B62196"/>
    <w:rsid w:val="00B64253"/>
    <w:rsid w:val="00B84A4B"/>
    <w:rsid w:val="00B86BA1"/>
    <w:rsid w:val="00B925F7"/>
    <w:rsid w:val="00B9779F"/>
    <w:rsid w:val="00BB15E8"/>
    <w:rsid w:val="00BB494C"/>
    <w:rsid w:val="00BB6644"/>
    <w:rsid w:val="00BD43EE"/>
    <w:rsid w:val="00BE044F"/>
    <w:rsid w:val="00BF7697"/>
    <w:rsid w:val="00C01D09"/>
    <w:rsid w:val="00C02368"/>
    <w:rsid w:val="00C1615B"/>
    <w:rsid w:val="00C24C3C"/>
    <w:rsid w:val="00C26401"/>
    <w:rsid w:val="00C34B12"/>
    <w:rsid w:val="00C36917"/>
    <w:rsid w:val="00C4078F"/>
    <w:rsid w:val="00C50059"/>
    <w:rsid w:val="00C5073A"/>
    <w:rsid w:val="00C653A9"/>
    <w:rsid w:val="00C7351B"/>
    <w:rsid w:val="00C763DD"/>
    <w:rsid w:val="00C81746"/>
    <w:rsid w:val="00C82264"/>
    <w:rsid w:val="00C83754"/>
    <w:rsid w:val="00C85B2B"/>
    <w:rsid w:val="00C8695A"/>
    <w:rsid w:val="00C86963"/>
    <w:rsid w:val="00C907CB"/>
    <w:rsid w:val="00C941D1"/>
    <w:rsid w:val="00C95253"/>
    <w:rsid w:val="00CA0B12"/>
    <w:rsid w:val="00CA3780"/>
    <w:rsid w:val="00CA59BC"/>
    <w:rsid w:val="00CB02D7"/>
    <w:rsid w:val="00CD234D"/>
    <w:rsid w:val="00CD3AA3"/>
    <w:rsid w:val="00CD494B"/>
    <w:rsid w:val="00CE0190"/>
    <w:rsid w:val="00CF36B3"/>
    <w:rsid w:val="00D17043"/>
    <w:rsid w:val="00D40160"/>
    <w:rsid w:val="00D426ED"/>
    <w:rsid w:val="00D504D4"/>
    <w:rsid w:val="00D57AC9"/>
    <w:rsid w:val="00D67C22"/>
    <w:rsid w:val="00D70AB0"/>
    <w:rsid w:val="00D81D7C"/>
    <w:rsid w:val="00D830AB"/>
    <w:rsid w:val="00D9299E"/>
    <w:rsid w:val="00DA2AF7"/>
    <w:rsid w:val="00DC0C00"/>
    <w:rsid w:val="00DD1EB5"/>
    <w:rsid w:val="00DE5389"/>
    <w:rsid w:val="00DE5D65"/>
    <w:rsid w:val="00DE5F55"/>
    <w:rsid w:val="00DF1EA4"/>
    <w:rsid w:val="00DF4B9C"/>
    <w:rsid w:val="00E00B15"/>
    <w:rsid w:val="00E04D66"/>
    <w:rsid w:val="00E06721"/>
    <w:rsid w:val="00E07BC0"/>
    <w:rsid w:val="00E12CBA"/>
    <w:rsid w:val="00E22D75"/>
    <w:rsid w:val="00E315CC"/>
    <w:rsid w:val="00E3439E"/>
    <w:rsid w:val="00E37C1B"/>
    <w:rsid w:val="00E5211E"/>
    <w:rsid w:val="00E67852"/>
    <w:rsid w:val="00E77183"/>
    <w:rsid w:val="00E84EB0"/>
    <w:rsid w:val="00E95FB5"/>
    <w:rsid w:val="00E967AE"/>
    <w:rsid w:val="00EA4224"/>
    <w:rsid w:val="00EA76D7"/>
    <w:rsid w:val="00EB3B8E"/>
    <w:rsid w:val="00EC4A24"/>
    <w:rsid w:val="00EC7173"/>
    <w:rsid w:val="00ED4F5C"/>
    <w:rsid w:val="00EE5BC3"/>
    <w:rsid w:val="00EE74A1"/>
    <w:rsid w:val="00EF4B09"/>
    <w:rsid w:val="00EF7E8A"/>
    <w:rsid w:val="00F00E24"/>
    <w:rsid w:val="00F201E2"/>
    <w:rsid w:val="00F25D1B"/>
    <w:rsid w:val="00F32C97"/>
    <w:rsid w:val="00F36D30"/>
    <w:rsid w:val="00F3790E"/>
    <w:rsid w:val="00F565A2"/>
    <w:rsid w:val="00F711D6"/>
    <w:rsid w:val="00F750BE"/>
    <w:rsid w:val="00F811D6"/>
    <w:rsid w:val="00F9180D"/>
    <w:rsid w:val="00FA1501"/>
    <w:rsid w:val="00FC243B"/>
    <w:rsid w:val="00FC4748"/>
    <w:rsid w:val="00FD14F1"/>
    <w:rsid w:val="00FD36C7"/>
    <w:rsid w:val="00FD75D8"/>
    <w:rsid w:val="00FE7630"/>
    <w:rsid w:val="00FF0026"/>
    <w:rsid w:val="00FF147E"/>
    <w:rsid w:val="00FF2C19"/>
    <w:rsid w:val="25923823"/>
    <w:rsid w:val="2C4301DE"/>
    <w:rsid w:val="3DA42743"/>
    <w:rsid w:val="40FD1942"/>
    <w:rsid w:val="4BE03001"/>
    <w:rsid w:val="4D1552C1"/>
    <w:rsid w:val="4F9F57E6"/>
    <w:rsid w:val="6DBA1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2767"/>
  <w15:docId w15:val="{1A499EA4-83C0-40EC-9461-C69B9CAAD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NormalWeb">
    <w:name w:val="Normal (Web)"/>
    <w:basedOn w:val="Normal"/>
    <w:link w:val="NormalWebChar"/>
    <w:qFormat/>
    <w:pPr>
      <w:spacing w:beforeAutospacing="1" w:afterAutospacing="1"/>
      <w:jc w:val="left"/>
    </w:pPr>
    <w:rPr>
      <w:rFonts w:cs="Times New Roman"/>
      <w:kern w:val="0"/>
      <w:sz w:val="24"/>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yperlink">
    <w:name w:val="Hyperlink"/>
    <w:basedOn w:val="DefaultParagraphFont"/>
    <w:uiPriority w:val="99"/>
    <w:unhideWhenUsed/>
    <w:qFormat/>
    <w:rPr>
      <w:color w:val="467886" w:themeColor="hyperlink"/>
      <w:u w:val="singl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NormalWebChar">
    <w:name w:val="Normal (Web) Char"/>
    <w:basedOn w:val="DefaultParagraphFont"/>
    <w:link w:val="NormalWeb"/>
    <w:qFormat/>
    <w:rPr>
      <w:rFonts w:asciiTheme="minorHAnsi" w:eastAsiaTheme="minorEastAsia" w:hAnsiTheme="minorHAnsi"/>
      <w:sz w:val="24"/>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hyperlink" Target="mailto:jinxing6691@163.com" TargetMode="Externa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2306</Words>
  <Characters>13149</Characters>
  <Application>Microsoft Office Word</Application>
  <DocSecurity>0</DocSecurity>
  <Lines>109</Lines>
  <Paragraphs>30</Paragraphs>
  <ScaleCrop>false</ScaleCrop>
  <Company/>
  <LinksUpToDate>false</LinksUpToDate>
  <CharactersWithSpaces>15425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紫珣 王</dc:creator>
  <cp:lastModifiedBy>Aswin Jawahar</cp:lastModifiedBy>
  <cp:revision>7</cp:revision>
  <dcterms:created xsi:type="dcterms:W3CDTF">2026-04-28T02:38:00Z</dcterms:created>
  <dcterms:modified xsi:type="dcterms:W3CDTF">2026-09-20T01:16:00Z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eyJoZGlkIjoiMzU4N2NhYzk2OTE0Mzg5ZGI5ODQ0YTc1ZDE0OTAwZjciLCJ1c2VySWQiOiIxNTM2MTA3MDI0In0=</vt:lpwstr>
  </property>
  <property fmtid="{D5CDD505-2E9C-101B-9397-08002B2CF9AE}" pid="3" name="KSOProductBuildVer">
    <vt:lpwstr>2052-12.1.0.28505</vt:lpwstr>
  </property>
  <property fmtid="{D5CDD505-2E9C-101B-9397-08002B2CF9AE}" pid="4" name="ICV">
    <vt:lpwstr>8A4342B414174E199A723FB8C8DB0C91_12</vt:lpwstr>
  </property>
</Properties>
</file>