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47AEE" w14:textId="0241B3AF" w:rsidR="00823047" w:rsidRDefault="00C04390">
      <w:pPr>
        <w:rPr>
          <w:rFonts w:hint="eastAsia"/>
        </w:rPr>
      </w:pPr>
      <w:r>
        <w:rPr>
          <w:noProof/>
        </w:rPr>
        <w:drawing>
          <wp:inline distT="0" distB="0" distL="0" distR="0" wp14:anchorId="695751DC" wp14:editId="6004855E">
            <wp:extent cx="5274310" cy="5643880"/>
            <wp:effectExtent l="0" t="0" r="2540" b="0"/>
            <wp:docPr id="18444831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64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7CB0A" w14:textId="4399D8ED" w:rsidR="005C04C2" w:rsidRPr="003C5E31" w:rsidRDefault="005C04C2" w:rsidP="003C5E31">
      <w:pPr>
        <w:jc w:val="both"/>
        <w:rPr>
          <w:rFonts w:ascii="Times New Roman" w:hAnsi="Times New Roman" w:cs="Times New Roman" w:hint="eastAsia"/>
          <w:b/>
          <w:bCs/>
        </w:rPr>
      </w:pPr>
      <w:r w:rsidRPr="005C04C2">
        <w:rPr>
          <w:rFonts w:ascii="Times New Roman" w:hAnsi="Times New Roman" w:cs="Times New Roman"/>
          <w:b/>
          <w:bCs/>
        </w:rPr>
        <w:t>Supplemental F</w:t>
      </w:r>
      <w:r w:rsidR="00881739">
        <w:rPr>
          <w:rFonts w:ascii="Times New Roman" w:hAnsi="Times New Roman" w:cs="Times New Roman" w:hint="eastAsia"/>
          <w:b/>
          <w:bCs/>
        </w:rPr>
        <w:t>i</w:t>
      </w:r>
      <w:r w:rsidR="00C04390">
        <w:rPr>
          <w:rFonts w:ascii="Times New Roman" w:hAnsi="Times New Roman" w:cs="Times New Roman" w:hint="eastAsia"/>
          <w:b/>
          <w:bCs/>
        </w:rPr>
        <w:t>gure 1</w:t>
      </w:r>
      <w:r w:rsidRPr="005C04C2">
        <w:rPr>
          <w:rFonts w:ascii="Times New Roman" w:hAnsi="Times New Roman" w:cs="Times New Roman"/>
          <w:b/>
          <w:bCs/>
        </w:rPr>
        <w:t xml:space="preserve">. </w:t>
      </w:r>
      <w:r w:rsidR="002B2BC1" w:rsidRPr="002B2BC1">
        <w:rPr>
          <w:rFonts w:ascii="Times New Roman" w:hAnsi="Times New Roman" w:cs="Times New Roman"/>
          <w:b/>
          <w:bCs/>
        </w:rPr>
        <w:t xml:space="preserve">Generation and identification of </w:t>
      </w:r>
      <w:proofErr w:type="spellStart"/>
      <w:r w:rsidR="002B2BC1" w:rsidRPr="002B2BC1">
        <w:rPr>
          <w:rFonts w:ascii="Times New Roman" w:hAnsi="Times New Roman" w:cs="Times New Roman"/>
          <w:b/>
          <w:bCs/>
        </w:rPr>
        <w:t>Hotair</w:t>
      </w:r>
      <w:proofErr w:type="spellEnd"/>
      <w:r w:rsidR="002B2BC1" w:rsidRPr="002B2BC1">
        <w:rPr>
          <w:rFonts w:ascii="Times New Roman" w:hAnsi="Times New Roman" w:cs="Times New Roman"/>
          <w:b/>
          <w:bCs/>
        </w:rPr>
        <w:t xml:space="preserve"> knockout mice.</w:t>
      </w:r>
      <w:r w:rsidR="002B2BC1">
        <w:rPr>
          <w:rFonts w:ascii="Times New Roman" w:hAnsi="Times New Roman" w:cs="Times New Roman" w:hint="eastAsia"/>
          <w:b/>
          <w:bCs/>
        </w:rPr>
        <w:t xml:space="preserve"> </w:t>
      </w:r>
      <w:r w:rsidR="002B2BC1" w:rsidRPr="002B2BC1">
        <w:rPr>
          <w:rFonts w:ascii="Times New Roman" w:hAnsi="Times New Roman" w:cs="Times New Roman"/>
        </w:rPr>
        <w:t xml:space="preserve">(A) Schematic illustration of the CRISPR/Cas9-mediated </w:t>
      </w:r>
      <w:proofErr w:type="spellStart"/>
      <w:r w:rsidR="002B2BC1" w:rsidRPr="002B2BC1">
        <w:rPr>
          <w:rFonts w:ascii="Times New Roman" w:hAnsi="Times New Roman" w:cs="Times New Roman"/>
          <w:i/>
          <w:iCs/>
        </w:rPr>
        <w:t>Hotair</w:t>
      </w:r>
      <w:proofErr w:type="spellEnd"/>
      <w:r w:rsidR="002B2BC1" w:rsidRPr="002B2BC1">
        <w:rPr>
          <w:rFonts w:ascii="Times New Roman" w:hAnsi="Times New Roman" w:cs="Times New Roman"/>
        </w:rPr>
        <w:t xml:space="preserve"> knockout strategy. Two gRNA target sites flanking the </w:t>
      </w:r>
      <w:proofErr w:type="spellStart"/>
      <w:r w:rsidR="002B2BC1" w:rsidRPr="002B2BC1">
        <w:rPr>
          <w:rFonts w:ascii="Times New Roman" w:hAnsi="Times New Roman" w:cs="Times New Roman"/>
        </w:rPr>
        <w:t>Hotair</w:t>
      </w:r>
      <w:proofErr w:type="spellEnd"/>
      <w:r w:rsidR="002B2BC1" w:rsidRPr="002B2BC1">
        <w:rPr>
          <w:rFonts w:ascii="Times New Roman" w:hAnsi="Times New Roman" w:cs="Times New Roman"/>
        </w:rPr>
        <w:t xml:space="preserve"> genomic region were designed to delete the critical exon region. The positions of PCR primers (F1/R</w:t>
      </w:r>
      <w:r w:rsidR="002B2BC1">
        <w:rPr>
          <w:rFonts w:ascii="Times New Roman" w:hAnsi="Times New Roman" w:cs="Times New Roman" w:hint="eastAsia"/>
        </w:rPr>
        <w:t>1</w:t>
      </w:r>
      <w:r w:rsidR="002B2BC1" w:rsidRPr="002B2BC1">
        <w:rPr>
          <w:rFonts w:ascii="Times New Roman" w:hAnsi="Times New Roman" w:cs="Times New Roman"/>
        </w:rPr>
        <w:t xml:space="preserve"> and </w:t>
      </w:r>
      <w:r w:rsidR="002B2BC1">
        <w:rPr>
          <w:rFonts w:ascii="Times New Roman" w:hAnsi="Times New Roman" w:cs="Times New Roman" w:hint="eastAsia"/>
        </w:rPr>
        <w:t>F</w:t>
      </w:r>
      <w:r w:rsidR="002B2BC1" w:rsidRPr="002B2BC1">
        <w:rPr>
          <w:rFonts w:ascii="Times New Roman" w:hAnsi="Times New Roman" w:cs="Times New Roman"/>
        </w:rPr>
        <w:t>1/R2) used for genotyping are indicated</w:t>
      </w:r>
      <w:r w:rsidR="002B2BC1">
        <w:rPr>
          <w:rFonts w:ascii="Times New Roman" w:hAnsi="Times New Roman" w:cs="Times New Roman" w:hint="eastAsia"/>
        </w:rPr>
        <w:t xml:space="preserve">; </w:t>
      </w:r>
      <w:r w:rsidR="002B2BC1" w:rsidRPr="002B2BC1">
        <w:rPr>
          <w:rFonts w:ascii="Times New Roman" w:hAnsi="Times New Roman" w:cs="Times New Roman"/>
        </w:rPr>
        <w:t>(B) Genotyping of founder mice by PCR analysis. PCR primers 1 amplified the mutant (MT) allele (595 bp), while PCR primers 2 amplified the wild-type (WT) allele (701 bp). Representative agarose gel electrophoresis images show PCR products from indicated mice. M, DNA marker; WT, wild-type control; Water, negative control.</w:t>
      </w:r>
    </w:p>
    <w:sectPr w:rsidR="005C04C2" w:rsidRPr="003C5E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E708E" w14:textId="77777777" w:rsidR="00803F19" w:rsidRDefault="00803F19" w:rsidP="00C0439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454894C" w14:textId="77777777" w:rsidR="00803F19" w:rsidRDefault="00803F19" w:rsidP="00C0439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EB5D0" w14:textId="77777777" w:rsidR="00803F19" w:rsidRDefault="00803F19" w:rsidP="00C0439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F431C78" w14:textId="77777777" w:rsidR="00803F19" w:rsidRDefault="00803F19" w:rsidP="00C0439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47"/>
    <w:rsid w:val="00272A62"/>
    <w:rsid w:val="002B2BC1"/>
    <w:rsid w:val="003C5E31"/>
    <w:rsid w:val="005C04C2"/>
    <w:rsid w:val="00803F19"/>
    <w:rsid w:val="00823047"/>
    <w:rsid w:val="00881739"/>
    <w:rsid w:val="00AB4BD8"/>
    <w:rsid w:val="00C04390"/>
    <w:rsid w:val="00C5735F"/>
    <w:rsid w:val="00E5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BA338"/>
  <w15:chartTrackingRefBased/>
  <w15:docId w15:val="{F09DA80D-D17D-471B-AADE-D146830CB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304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0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04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04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04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047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04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04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04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04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0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0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04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047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04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04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04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04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04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23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04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2304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0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230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04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304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0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2304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2304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0439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0439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0439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0439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 J</dc:creator>
  <cp:keywords/>
  <dc:description/>
  <cp:lastModifiedBy>He J</cp:lastModifiedBy>
  <cp:revision>6</cp:revision>
  <dcterms:created xsi:type="dcterms:W3CDTF">2025-12-07T14:21:00Z</dcterms:created>
  <dcterms:modified xsi:type="dcterms:W3CDTF">2026-05-01T06:56:00Z</dcterms:modified>
</cp:coreProperties>
</file>