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91C1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Arial" w:hAnsi="Arial" w:cs="Arial"/>
          <w:b/>
          <w:bCs/>
          <w:color w:val="auto"/>
          <w:sz w:val="32"/>
          <w:szCs w:val="32"/>
          <w:highlight w:val="none"/>
        </w:rPr>
      </w:pPr>
      <w:r>
        <w:rPr>
          <w:rFonts w:hint="default" w:ascii="Arial" w:hAnsi="Arial" w:cs="Arial"/>
          <w:b/>
          <w:bCs/>
          <w:color w:val="auto"/>
          <w:sz w:val="32"/>
          <w:szCs w:val="32"/>
          <w:highlight w:val="none"/>
        </w:rPr>
        <w:t>Supporting Information</w:t>
      </w:r>
    </w:p>
    <w:p w14:paraId="6333889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Arial" w:hAnsi="Arial" w:cs="Arial"/>
          <w:b/>
          <w:bCs/>
          <w:color w:val="auto"/>
          <w:sz w:val="24"/>
        </w:rPr>
      </w:pPr>
      <w:r>
        <w:rPr>
          <w:rFonts w:ascii="Arial" w:hAnsi="Arial" w:cs="Arial"/>
          <w:b/>
          <w:bCs/>
          <w:color w:val="auto"/>
          <w:sz w:val="24"/>
        </w:rPr>
        <w:t xml:space="preserve">Regulation of Gut Microbial </w:t>
      </w:r>
      <w:bookmarkStart w:id="0" w:name="_GoBack"/>
      <w:bookmarkEnd w:id="0"/>
      <w:r>
        <w:rPr>
          <w:rFonts w:ascii="Arial" w:hAnsi="Arial" w:cs="Arial"/>
          <w:b/>
          <w:bCs/>
          <w:color w:val="auto"/>
          <w:sz w:val="24"/>
        </w:rPr>
        <w:t>Dysbiosis and Inflammatory Microenvironment by GQD-Derived Nanoparticles for the Treatment of Colitis-Associated Osteoporosis</w:t>
      </w:r>
    </w:p>
    <w:p w14:paraId="5FD3FA0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Arial" w:hAnsi="Arial" w:cs="Arial"/>
          <w:b/>
          <w:bCs/>
          <w:color w:val="auto"/>
          <w:sz w:val="24"/>
        </w:rPr>
      </w:pPr>
      <w:r>
        <w:rPr>
          <w:color w:val="auto"/>
        </w:rPr>
        <w:drawing>
          <wp:inline distT="0" distB="0" distL="114300" distR="114300">
            <wp:extent cx="5271770" cy="218757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5271770" cy="2187575"/>
                    </a:xfrm>
                    <a:prstGeom prst="rect">
                      <a:avLst/>
                    </a:prstGeom>
                    <a:noFill/>
                    <a:ln>
                      <a:noFill/>
                    </a:ln>
                  </pic:spPr>
                </pic:pic>
              </a:graphicData>
            </a:graphic>
          </wp:inline>
        </w:drawing>
      </w:r>
    </w:p>
    <w:p w14:paraId="41251F2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Arial" w:hAnsi="Arial" w:cs="Arial"/>
          <w:b w:val="0"/>
          <w:bCs w:val="0"/>
          <w:color w:val="auto"/>
          <w:sz w:val="24"/>
          <w:highlight w:val="none"/>
        </w:rPr>
      </w:pPr>
      <w:r>
        <w:rPr>
          <w:rFonts w:hint="default" w:ascii="Arial" w:hAnsi="Arial" w:cs="Arial"/>
          <w:color w:val="auto"/>
          <w:sz w:val="24"/>
          <w:szCs w:val="24"/>
          <w:highlight w:val="none"/>
          <w:lang w:val="en-US" w:eastAsia="zh-CN"/>
        </w:rPr>
        <w:t>Fig</w:t>
      </w:r>
      <w:r>
        <w:rPr>
          <w:rFonts w:hint="eastAsia" w:ascii="Arial" w:hAnsi="Arial" w:cs="Arial"/>
          <w:color w:val="auto"/>
          <w:sz w:val="24"/>
          <w:szCs w:val="24"/>
          <w:highlight w:val="none"/>
          <w:lang w:val="en-US" w:eastAsia="zh-CN"/>
        </w:rPr>
        <w:t>.</w:t>
      </w:r>
      <w:r>
        <w:rPr>
          <w:rFonts w:hint="default" w:ascii="Arial" w:hAnsi="Arial" w:cs="Arial"/>
          <w:color w:val="auto"/>
          <w:sz w:val="24"/>
          <w:szCs w:val="24"/>
          <w:highlight w:val="none"/>
          <w:lang w:val="en-US" w:eastAsia="zh-CN"/>
        </w:rPr>
        <w:t xml:space="preserve"> S1.</w:t>
      </w:r>
      <w:r>
        <w:rPr>
          <w:rFonts w:hint="eastAsia" w:ascii="Arial" w:hAnsi="Arial" w:cs="Arial"/>
          <w:color w:val="auto"/>
          <w:sz w:val="24"/>
          <w:szCs w:val="24"/>
          <w:highlight w:val="none"/>
          <w:lang w:val="en-US" w:eastAsia="zh-CN"/>
        </w:rPr>
        <w:t xml:space="preserve"> </w:t>
      </w:r>
      <w:r>
        <w:rPr>
          <w:rFonts w:hint="eastAsia" w:ascii="Arial" w:hAnsi="Arial" w:cs="Arial"/>
          <w:b w:val="0"/>
          <w:bCs w:val="0"/>
          <w:color w:val="auto"/>
          <w:sz w:val="24"/>
          <w:highlight w:val="none"/>
        </w:rPr>
        <w:t>Plant analogous</w:t>
      </w:r>
      <w:r>
        <w:rPr>
          <w:rFonts w:hint="eastAsia" w:ascii="Arial" w:hAnsi="Arial" w:cs="Arial"/>
          <w:b w:val="0"/>
          <w:bCs w:val="0"/>
          <w:color w:val="auto"/>
          <w:sz w:val="24"/>
          <w:highlight w:val="none"/>
          <w:lang w:val="en-US" w:eastAsia="zh-CN"/>
        </w:rPr>
        <w:t xml:space="preserve"> w</w:t>
      </w:r>
      <w:r>
        <w:rPr>
          <w:rFonts w:hint="eastAsia" w:ascii="Arial" w:hAnsi="Arial" w:cs="Arial"/>
          <w:b w:val="0"/>
          <w:bCs w:val="0"/>
          <w:color w:val="auto"/>
          <w:sz w:val="24"/>
          <w:highlight w:val="none"/>
        </w:rPr>
        <w:t xml:space="preserve">idely </w:t>
      </w:r>
      <w:r>
        <w:rPr>
          <w:rFonts w:hint="eastAsia" w:ascii="Arial" w:hAnsi="Arial" w:cs="Arial"/>
          <w:b w:val="0"/>
          <w:bCs w:val="0"/>
          <w:color w:val="auto"/>
          <w:sz w:val="24"/>
          <w:highlight w:val="none"/>
          <w:lang w:val="en-US" w:eastAsia="zh-CN"/>
        </w:rPr>
        <w:t>t</w:t>
      </w:r>
      <w:r>
        <w:rPr>
          <w:rFonts w:hint="eastAsia" w:ascii="Arial" w:hAnsi="Arial" w:cs="Arial"/>
          <w:b w:val="0"/>
          <w:bCs w:val="0"/>
          <w:color w:val="auto"/>
          <w:sz w:val="24"/>
          <w:highlight w:val="none"/>
        </w:rPr>
        <w:t xml:space="preserve">argeted </w:t>
      </w:r>
      <w:r>
        <w:rPr>
          <w:rFonts w:hint="eastAsia" w:ascii="Arial" w:hAnsi="Arial" w:cs="Arial"/>
          <w:b w:val="0"/>
          <w:bCs w:val="0"/>
          <w:color w:val="auto"/>
          <w:sz w:val="24"/>
          <w:highlight w:val="none"/>
          <w:lang w:val="en-US" w:eastAsia="zh-CN"/>
        </w:rPr>
        <w:t>m</w:t>
      </w:r>
      <w:r>
        <w:rPr>
          <w:rFonts w:hint="eastAsia" w:ascii="Arial" w:hAnsi="Arial" w:cs="Arial"/>
          <w:b w:val="0"/>
          <w:bCs w:val="0"/>
          <w:color w:val="auto"/>
          <w:sz w:val="24"/>
          <w:highlight w:val="none"/>
        </w:rPr>
        <w:t xml:space="preserve">etabolomics </w:t>
      </w:r>
      <w:r>
        <w:rPr>
          <w:rFonts w:hint="eastAsia" w:ascii="Arial" w:hAnsi="Arial" w:cs="Arial"/>
          <w:b w:val="0"/>
          <w:bCs w:val="0"/>
          <w:color w:val="auto"/>
          <w:sz w:val="24"/>
          <w:highlight w:val="none"/>
          <w:lang w:val="en-US" w:eastAsia="zh-CN"/>
        </w:rPr>
        <w:t>a</w:t>
      </w:r>
      <w:r>
        <w:rPr>
          <w:rFonts w:hint="eastAsia" w:ascii="Arial" w:hAnsi="Arial" w:cs="Arial"/>
          <w:b w:val="0"/>
          <w:bCs w:val="0"/>
          <w:color w:val="auto"/>
          <w:sz w:val="24"/>
          <w:highlight w:val="none"/>
        </w:rPr>
        <w:t xml:space="preserve">nalysis of GQD_NPs. Hierarchical classification of metabolites identified in GQD_NPs by widely targeted plant metabolomics. The inner ring represents </w:t>
      </w:r>
      <w:r>
        <w:rPr>
          <w:rFonts w:hint="eastAsia" w:ascii="Arial" w:hAnsi="Arial" w:cs="Arial"/>
          <w:b w:val="0"/>
          <w:bCs w:val="0"/>
          <w:color w:val="auto"/>
          <w:sz w:val="24"/>
          <w:highlight w:val="none"/>
          <w:lang w:val="en-US" w:eastAsia="zh-CN"/>
        </w:rPr>
        <w:t>c</w:t>
      </w:r>
      <w:r>
        <w:rPr>
          <w:rFonts w:hint="eastAsia" w:ascii="Arial" w:hAnsi="Arial" w:cs="Arial"/>
          <w:b w:val="0"/>
          <w:bCs w:val="0"/>
          <w:color w:val="auto"/>
          <w:sz w:val="24"/>
          <w:highlight w:val="none"/>
        </w:rPr>
        <w:t xml:space="preserve">lass I metabolite categories, while the outer ring shows the corresponding </w:t>
      </w:r>
      <w:r>
        <w:rPr>
          <w:rFonts w:hint="eastAsia" w:ascii="Arial" w:hAnsi="Arial" w:cs="Arial"/>
          <w:b w:val="0"/>
          <w:bCs w:val="0"/>
          <w:color w:val="auto"/>
          <w:sz w:val="24"/>
          <w:highlight w:val="none"/>
          <w:lang w:val="en-US" w:eastAsia="zh-CN"/>
        </w:rPr>
        <w:t>c</w:t>
      </w:r>
      <w:r>
        <w:rPr>
          <w:rFonts w:hint="eastAsia" w:ascii="Arial" w:hAnsi="Arial" w:cs="Arial"/>
          <w:b w:val="0"/>
          <w:bCs w:val="0"/>
          <w:color w:val="auto"/>
          <w:sz w:val="24"/>
          <w:highlight w:val="none"/>
        </w:rPr>
        <w:t>lass II subclasses.</w:t>
      </w:r>
    </w:p>
    <w:p w14:paraId="0401384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Arial" w:hAnsi="Arial" w:cs="Arial"/>
          <w:b/>
          <w:bCs/>
          <w:color w:val="auto"/>
          <w:sz w:val="24"/>
        </w:rPr>
      </w:pPr>
    </w:p>
    <w:p w14:paraId="3D95B87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Arial" w:hAnsi="Arial" w:cs="Arial"/>
          <w:color w:val="auto"/>
          <w:sz w:val="24"/>
          <w:szCs w:val="24"/>
          <w:highlight w:val="none"/>
          <w:lang w:val="en-US" w:eastAsia="zh-CN"/>
        </w:rPr>
      </w:pPr>
      <w:r>
        <w:rPr>
          <w:color w:val="auto"/>
        </w:rPr>
        <w:drawing>
          <wp:inline distT="0" distB="0" distL="114300" distR="114300">
            <wp:extent cx="5271770" cy="5259070"/>
            <wp:effectExtent l="0" t="0" r="5080" b="825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6"/>
                    <a:stretch>
                      <a:fillRect/>
                    </a:stretch>
                  </pic:blipFill>
                  <pic:spPr>
                    <a:xfrm>
                      <a:off x="0" y="0"/>
                      <a:ext cx="5271770" cy="5259070"/>
                    </a:xfrm>
                    <a:prstGeom prst="rect">
                      <a:avLst/>
                    </a:prstGeom>
                    <a:noFill/>
                    <a:ln>
                      <a:noFill/>
                    </a:ln>
                  </pic:spPr>
                </pic:pic>
              </a:graphicData>
            </a:graphic>
          </wp:inline>
        </w:drawing>
      </w:r>
    </w:p>
    <w:p w14:paraId="19D2205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Arial" w:hAnsi="Arial" w:cs="Arial"/>
          <w:color w:val="auto"/>
          <w:sz w:val="24"/>
          <w:szCs w:val="24"/>
          <w:lang w:val="en-US" w:eastAsia="zh-CN"/>
        </w:rPr>
      </w:pPr>
      <w:r>
        <w:rPr>
          <w:rFonts w:hint="default" w:ascii="Arial" w:hAnsi="Arial" w:cs="Arial"/>
          <w:color w:val="auto"/>
          <w:sz w:val="24"/>
          <w:szCs w:val="24"/>
          <w:highlight w:val="none"/>
          <w:lang w:val="en-US" w:eastAsia="zh-CN"/>
        </w:rPr>
        <w:t>Fig</w:t>
      </w:r>
      <w:r>
        <w:rPr>
          <w:rFonts w:hint="eastAsia" w:ascii="Arial" w:hAnsi="Arial" w:cs="Arial"/>
          <w:color w:val="auto"/>
          <w:sz w:val="24"/>
          <w:szCs w:val="24"/>
          <w:highlight w:val="none"/>
          <w:lang w:val="en-US" w:eastAsia="zh-CN"/>
        </w:rPr>
        <w:t>.</w:t>
      </w:r>
      <w:r>
        <w:rPr>
          <w:rFonts w:hint="default" w:ascii="Arial" w:hAnsi="Arial" w:cs="Arial"/>
          <w:color w:val="auto"/>
          <w:sz w:val="24"/>
          <w:szCs w:val="24"/>
          <w:highlight w:val="none"/>
          <w:lang w:val="en-US" w:eastAsia="zh-CN"/>
        </w:rPr>
        <w:t xml:space="preserve"> S</w:t>
      </w:r>
      <w:r>
        <w:rPr>
          <w:rFonts w:hint="eastAsia" w:ascii="Arial" w:hAnsi="Arial" w:cs="Arial"/>
          <w:color w:val="auto"/>
          <w:sz w:val="24"/>
          <w:szCs w:val="24"/>
          <w:highlight w:val="none"/>
          <w:lang w:val="en-US" w:eastAsia="zh-CN"/>
        </w:rPr>
        <w:t>2</w:t>
      </w:r>
      <w:r>
        <w:rPr>
          <w:rFonts w:hint="default" w:ascii="Arial" w:hAnsi="Arial" w:cs="Arial"/>
          <w:color w:val="auto"/>
          <w:sz w:val="24"/>
          <w:szCs w:val="24"/>
          <w:highlight w:val="none"/>
          <w:lang w:val="en-US" w:eastAsia="zh-CN"/>
        </w:rPr>
        <w:t>. Chronic colitis induces osteoporosis in mice. (A) Schematic timeline of the experimental protocol.</w:t>
      </w:r>
      <w:r>
        <w:rPr>
          <w:rFonts w:hint="eastAsia" w:ascii="Arial" w:hAnsi="Arial" w:cs="Arial"/>
          <w:color w:val="auto"/>
          <w:sz w:val="24"/>
          <w:szCs w:val="24"/>
          <w:highlight w:val="none"/>
          <w:lang w:val="en-US" w:eastAsia="zh-CN"/>
        </w:rPr>
        <w:t xml:space="preserve"> (B) </w:t>
      </w:r>
      <w:r>
        <w:rPr>
          <w:rFonts w:hint="default" w:ascii="Arial" w:hAnsi="Arial" w:cs="Arial"/>
          <w:color w:val="auto"/>
          <w:sz w:val="24"/>
          <w:szCs w:val="24"/>
          <w:highlight w:val="none"/>
          <w:lang w:val="en-US" w:eastAsia="zh-CN"/>
        </w:rPr>
        <w:t xml:space="preserve">Representative H&amp;E staining of the distal femur. </w:t>
      </w:r>
      <w:r>
        <w:rPr>
          <w:rFonts w:hint="eastAsia" w:ascii="Arial" w:hAnsi="Arial" w:eastAsia="宋体" w:cs="Arial"/>
          <w:b w:val="0"/>
          <w:bCs w:val="0"/>
          <w:i w:val="0"/>
          <w:iCs w:val="0"/>
          <w:caps w:val="0"/>
          <w:color w:val="auto"/>
          <w:spacing w:val="0"/>
          <w:sz w:val="24"/>
          <w:szCs w:val="24"/>
          <w:shd w:val="clear" w:fill="FFFFFF"/>
          <w:lang w:val="en-US" w:eastAsia="zh-CN"/>
        </w:rPr>
        <w:t>S</w:t>
      </w:r>
      <w:r>
        <w:rPr>
          <w:rFonts w:hint="default" w:ascii="Arial" w:hAnsi="Arial" w:eastAsia="宋体" w:cs="Arial"/>
          <w:b w:val="0"/>
          <w:bCs w:val="0"/>
          <w:i w:val="0"/>
          <w:iCs w:val="0"/>
          <w:caps w:val="0"/>
          <w:color w:val="auto"/>
          <w:spacing w:val="0"/>
          <w:sz w:val="24"/>
          <w:szCs w:val="24"/>
          <w:shd w:val="clear" w:fill="FFFFFF"/>
          <w:lang w:eastAsia="zh-CN"/>
        </w:rPr>
        <w:t>cale bar = 50 μm.</w:t>
      </w:r>
      <w:r>
        <w:rPr>
          <w:rFonts w:hint="eastAsia" w:ascii="Arial" w:hAnsi="Arial" w:eastAsia="宋体" w:cs="Arial"/>
          <w:b w:val="0"/>
          <w:bCs w:val="0"/>
          <w:i w:val="0"/>
          <w:iCs w:val="0"/>
          <w:caps w:val="0"/>
          <w:color w:val="auto"/>
          <w:spacing w:val="0"/>
          <w:sz w:val="24"/>
          <w:szCs w:val="24"/>
          <w:shd w:val="clear" w:fill="FFFFFF"/>
          <w:lang w:val="en-US" w:eastAsia="zh-CN"/>
        </w:rPr>
        <w:t xml:space="preserve"> </w:t>
      </w:r>
      <w:r>
        <w:rPr>
          <w:rFonts w:hint="default" w:ascii="Arial" w:hAnsi="Arial" w:cs="Arial"/>
          <w:color w:val="auto"/>
          <w:sz w:val="24"/>
          <w:szCs w:val="24"/>
          <w:highlight w:val="none"/>
          <w:lang w:val="en-US" w:eastAsia="zh-CN"/>
        </w:rPr>
        <w:t>(</w:t>
      </w:r>
      <w:r>
        <w:rPr>
          <w:rFonts w:hint="eastAsia" w:ascii="Arial" w:hAnsi="Arial" w:cs="Arial"/>
          <w:color w:val="auto"/>
          <w:sz w:val="24"/>
          <w:szCs w:val="24"/>
          <w:highlight w:val="none"/>
          <w:lang w:val="en-US" w:eastAsia="zh-CN"/>
        </w:rPr>
        <w:t>C</w:t>
      </w:r>
      <w:r>
        <w:rPr>
          <w:rFonts w:hint="default" w:ascii="Arial" w:hAnsi="Arial" w:cs="Arial"/>
          <w:color w:val="auto"/>
          <w:sz w:val="24"/>
          <w:szCs w:val="24"/>
          <w:highlight w:val="none"/>
          <w:lang w:val="en-US" w:eastAsia="zh-CN"/>
        </w:rPr>
        <w:t xml:space="preserve">) Representative TRAP staining of the femur. Osteoclasts on the trabecular surface were positively stained (purple-red) Scale bar = </w:t>
      </w:r>
      <w:r>
        <w:rPr>
          <w:rFonts w:hint="eastAsia" w:ascii="Arial" w:hAnsi="Arial" w:cs="Arial"/>
          <w:color w:val="auto"/>
          <w:sz w:val="24"/>
          <w:szCs w:val="24"/>
          <w:highlight w:val="none"/>
          <w:lang w:val="en-US" w:eastAsia="zh-CN"/>
        </w:rPr>
        <w:t>2</w:t>
      </w:r>
      <w:r>
        <w:rPr>
          <w:rFonts w:hint="default" w:ascii="Arial" w:hAnsi="Arial" w:cs="Arial"/>
          <w:color w:val="auto"/>
          <w:sz w:val="24"/>
          <w:szCs w:val="24"/>
          <w:highlight w:val="none"/>
          <w:lang w:val="en-US" w:eastAsia="zh-CN"/>
        </w:rPr>
        <w:t>0 μm. (D-E) Representative Micro CT images and quantitative analysis of femoral bone parameters. Data are presented as mean ± SD. *P &lt; 0.05, **P &lt; 0.01, ***P &lt; 0.001, ns: not significant.</w:t>
      </w:r>
    </w:p>
    <w:p w14:paraId="43862DE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Arial" w:hAnsi="Arial" w:cs="Arial"/>
          <w:color w:val="auto"/>
          <w:sz w:val="24"/>
          <w:szCs w:val="24"/>
        </w:rPr>
      </w:pPr>
      <w:r>
        <w:rPr>
          <w:color w:val="auto"/>
        </w:rPr>
        <w:drawing>
          <wp:inline distT="0" distB="0" distL="114300" distR="114300">
            <wp:extent cx="5262245" cy="2738120"/>
            <wp:effectExtent l="0" t="0" r="5080"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262245" cy="2738120"/>
                    </a:xfrm>
                    <a:prstGeom prst="rect">
                      <a:avLst/>
                    </a:prstGeom>
                    <a:noFill/>
                    <a:ln>
                      <a:noFill/>
                    </a:ln>
                  </pic:spPr>
                </pic:pic>
              </a:graphicData>
            </a:graphic>
          </wp:inline>
        </w:drawing>
      </w:r>
    </w:p>
    <w:p w14:paraId="6232961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Arial" w:hAnsi="Arial" w:cs="Arial"/>
          <w:color w:val="auto"/>
          <w:sz w:val="24"/>
          <w:szCs w:val="24"/>
        </w:rPr>
      </w:pPr>
      <w:r>
        <w:rPr>
          <w:rFonts w:hint="default" w:ascii="Arial" w:hAnsi="Arial" w:cs="Arial"/>
          <w:color w:val="auto"/>
          <w:sz w:val="24"/>
          <w:szCs w:val="24"/>
          <w:lang w:val="en-US" w:eastAsia="zh-CN"/>
        </w:rPr>
        <w:t>Fig</w:t>
      </w:r>
      <w:r>
        <w:rPr>
          <w:rFonts w:hint="eastAsia" w:ascii="Arial" w:hAnsi="Arial" w:cs="Arial"/>
          <w:color w:val="auto"/>
          <w:sz w:val="24"/>
          <w:szCs w:val="24"/>
          <w:lang w:val="en-US" w:eastAsia="zh-CN"/>
        </w:rPr>
        <w:t>.</w:t>
      </w:r>
      <w:r>
        <w:rPr>
          <w:rFonts w:hint="default" w:ascii="Arial" w:hAnsi="Arial" w:cs="Arial"/>
          <w:color w:val="auto"/>
          <w:sz w:val="24"/>
          <w:szCs w:val="24"/>
          <w:lang w:val="en-US" w:eastAsia="zh-CN"/>
        </w:rPr>
        <w:t xml:space="preserve"> S</w:t>
      </w:r>
      <w:r>
        <w:rPr>
          <w:rFonts w:hint="eastAsia" w:ascii="Arial" w:hAnsi="Arial" w:cs="Arial"/>
          <w:color w:val="auto"/>
          <w:sz w:val="24"/>
          <w:szCs w:val="24"/>
          <w:lang w:val="en-US" w:eastAsia="zh-CN"/>
        </w:rPr>
        <w:t>3</w:t>
      </w:r>
      <w:r>
        <w:rPr>
          <w:rFonts w:hint="default" w:ascii="Arial" w:hAnsi="Arial" w:cs="Arial"/>
          <w:color w:val="auto"/>
          <w:sz w:val="24"/>
          <w:szCs w:val="24"/>
          <w:lang w:val="en-US" w:eastAsia="zh-CN"/>
        </w:rPr>
        <w:t>. GQD_</w:t>
      </w:r>
      <w:r>
        <w:rPr>
          <w:rFonts w:hint="eastAsia" w:ascii="Arial" w:hAnsi="Arial" w:cs="Arial"/>
          <w:color w:val="auto"/>
          <w:sz w:val="24"/>
          <w:szCs w:val="24"/>
          <w:lang w:val="en-US" w:eastAsia="zh-CN"/>
        </w:rPr>
        <w:t>NPs</w:t>
      </w:r>
      <w:r>
        <w:rPr>
          <w:rFonts w:hint="default" w:ascii="Arial" w:hAnsi="Arial" w:cs="Arial"/>
          <w:color w:val="auto"/>
          <w:sz w:val="24"/>
          <w:szCs w:val="24"/>
          <w:lang w:val="en-US" w:eastAsia="zh-CN"/>
        </w:rPr>
        <w:t xml:space="preserve"> inhibits colonic immune cell infiltration in DSS-induced chronic colitis. (A) Representative immunofluorescence staining of Ly6G</w:t>
      </w:r>
      <w:r>
        <w:rPr>
          <w:rFonts w:hint="eastAsia" w:ascii="Arial" w:hAnsi="Arial" w:cs="Arial"/>
          <w:color w:val="auto"/>
          <w:sz w:val="24"/>
          <w:szCs w:val="24"/>
          <w:lang w:val="en-US" w:eastAsia="zh-CN"/>
        </w:rPr>
        <w:t xml:space="preserve"> </w:t>
      </w:r>
      <w:r>
        <w:rPr>
          <w:rFonts w:hint="default" w:ascii="Arial" w:hAnsi="Arial" w:eastAsia="宋体" w:cs="Arial"/>
          <w:b w:val="0"/>
          <w:bCs w:val="0"/>
          <w:i w:val="0"/>
          <w:iCs w:val="0"/>
          <w:caps w:val="0"/>
          <w:color w:val="auto"/>
          <w:spacing w:val="0"/>
          <w:sz w:val="24"/>
          <w:szCs w:val="24"/>
          <w:shd w:val="clear" w:fill="FFFFFF"/>
          <w:lang w:eastAsia="zh-CN"/>
        </w:rPr>
        <w:t>(green)</w:t>
      </w:r>
      <w:r>
        <w:rPr>
          <w:rFonts w:hint="default" w:ascii="Arial" w:hAnsi="Arial" w:cs="Arial"/>
          <w:color w:val="auto"/>
          <w:sz w:val="24"/>
          <w:szCs w:val="24"/>
          <w:lang w:val="en-US" w:eastAsia="zh-CN"/>
        </w:rPr>
        <w:t xml:space="preserve"> in colon tissues. Scale bar = 100 μm. (B) Quantitative analysis of Ly6G-positive area </w:t>
      </w:r>
      <w:r>
        <w:rPr>
          <w:rFonts w:hint="default" w:ascii="Arial" w:hAnsi="Arial" w:eastAsia="宋体" w:cs="Arial"/>
          <w:b w:val="0"/>
          <w:bCs w:val="0"/>
          <w:i w:val="0"/>
          <w:iCs w:val="0"/>
          <w:caps w:val="0"/>
          <w:color w:val="auto"/>
          <w:spacing w:val="0"/>
          <w:sz w:val="24"/>
          <w:szCs w:val="24"/>
          <w:shd w:val="clear" w:fill="FFFFFF"/>
          <w:lang w:eastAsia="zh-CN"/>
        </w:rPr>
        <w:t>as a percentage of total tissue area</w:t>
      </w:r>
      <w:r>
        <w:rPr>
          <w:rFonts w:hint="default" w:ascii="Arial" w:hAnsi="Arial" w:cs="Arial"/>
          <w:color w:val="auto"/>
          <w:sz w:val="24"/>
          <w:szCs w:val="24"/>
          <w:lang w:val="en-US" w:eastAsia="zh-CN"/>
        </w:rPr>
        <w:t>. Data are presented as mean ± SD.</w:t>
      </w:r>
      <w:r>
        <w:rPr>
          <w:rFonts w:hint="default" w:ascii="Arial" w:hAnsi="Arial" w:cs="Arial"/>
          <w:color w:val="auto"/>
          <w:sz w:val="24"/>
          <w:szCs w:val="24"/>
        </w:rPr>
        <w:t xml:space="preserve"> *P &lt; 0.05, **P &lt; 0.01, ***P &lt; 0.001 ; ns: not significant.</w:t>
      </w:r>
    </w:p>
    <w:p w14:paraId="605672A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Arial" w:hAnsi="Arial" w:cs="Arial"/>
          <w:color w:val="auto"/>
          <w:sz w:val="24"/>
          <w:szCs w:val="24"/>
        </w:rPr>
      </w:pPr>
      <w:r>
        <w:rPr>
          <w:color w:val="auto"/>
        </w:rPr>
        <w:drawing>
          <wp:inline distT="0" distB="0" distL="114300" distR="114300">
            <wp:extent cx="5272405" cy="3555365"/>
            <wp:effectExtent l="0" t="0" r="4445" b="698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5272405" cy="3555365"/>
                    </a:xfrm>
                    <a:prstGeom prst="rect">
                      <a:avLst/>
                    </a:prstGeom>
                    <a:noFill/>
                    <a:ln>
                      <a:noFill/>
                    </a:ln>
                  </pic:spPr>
                </pic:pic>
              </a:graphicData>
            </a:graphic>
          </wp:inline>
        </w:drawing>
      </w:r>
    </w:p>
    <w:p w14:paraId="67F666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Arial" w:hAnsi="Arial" w:cs="Arial"/>
          <w:b w:val="0"/>
          <w:bCs w:val="0"/>
          <w:color w:val="auto"/>
          <w:sz w:val="24"/>
          <w:szCs w:val="24"/>
          <w:highlight w:val="none"/>
          <w:lang w:val="en-US" w:eastAsia="zh-CN"/>
        </w:rPr>
      </w:pPr>
      <w:r>
        <w:rPr>
          <w:rFonts w:hint="default" w:ascii="Arial" w:hAnsi="Arial" w:cs="Arial"/>
          <w:color w:val="auto"/>
          <w:sz w:val="24"/>
          <w:szCs w:val="24"/>
          <w:lang w:val="en-US" w:eastAsia="zh-CN"/>
        </w:rPr>
        <w:t>Fig</w:t>
      </w:r>
      <w:r>
        <w:rPr>
          <w:rFonts w:hint="eastAsia" w:ascii="Arial" w:hAnsi="Arial" w:cs="Arial"/>
          <w:color w:val="auto"/>
          <w:sz w:val="24"/>
          <w:szCs w:val="24"/>
          <w:lang w:val="en-US" w:eastAsia="zh-CN"/>
        </w:rPr>
        <w:t>.</w:t>
      </w:r>
      <w:r>
        <w:rPr>
          <w:rFonts w:hint="default" w:ascii="Arial" w:hAnsi="Arial" w:cs="Arial"/>
          <w:color w:val="auto"/>
          <w:sz w:val="24"/>
          <w:szCs w:val="24"/>
          <w:lang w:val="en-US" w:eastAsia="zh-CN"/>
        </w:rPr>
        <w:t xml:space="preserve"> S</w:t>
      </w:r>
      <w:r>
        <w:rPr>
          <w:rFonts w:hint="eastAsia" w:ascii="Arial" w:hAnsi="Arial" w:cs="Arial"/>
          <w:color w:val="auto"/>
          <w:sz w:val="24"/>
          <w:szCs w:val="24"/>
          <w:lang w:val="en-US" w:eastAsia="zh-CN"/>
        </w:rPr>
        <w:t>4</w:t>
      </w:r>
      <w:r>
        <w:rPr>
          <w:rFonts w:hint="default" w:ascii="Arial" w:hAnsi="Arial" w:cs="Arial"/>
          <w:color w:val="auto"/>
          <w:sz w:val="24"/>
          <w:szCs w:val="24"/>
          <w:lang w:val="en-US" w:eastAsia="zh-CN"/>
        </w:rPr>
        <w:t>. Effects of GQD_</w:t>
      </w:r>
      <w:r>
        <w:rPr>
          <w:rFonts w:hint="eastAsia" w:ascii="Arial" w:hAnsi="Arial" w:cs="Arial"/>
          <w:color w:val="auto"/>
          <w:sz w:val="24"/>
          <w:szCs w:val="24"/>
          <w:lang w:val="en-US" w:eastAsia="zh-CN"/>
        </w:rPr>
        <w:t>NPs</w:t>
      </w:r>
      <w:r>
        <w:rPr>
          <w:rFonts w:hint="default" w:ascii="Arial" w:hAnsi="Arial" w:cs="Arial"/>
          <w:color w:val="auto"/>
          <w:sz w:val="24"/>
          <w:szCs w:val="24"/>
          <w:lang w:val="en-US" w:eastAsia="zh-CN"/>
        </w:rPr>
        <w:t xml:space="preserve"> on the growth of </w:t>
      </w:r>
      <w:r>
        <w:rPr>
          <w:rFonts w:hint="default" w:ascii="Arial" w:hAnsi="Arial" w:cs="Arial"/>
          <w:i/>
          <w:iCs/>
          <w:color w:val="auto"/>
          <w:sz w:val="24"/>
          <w:szCs w:val="24"/>
          <w:lang w:val="en-US" w:eastAsia="zh-CN"/>
        </w:rPr>
        <w:t>LGG</w:t>
      </w:r>
      <w:r>
        <w:rPr>
          <w:rFonts w:hint="eastAsia" w:ascii="Arial" w:hAnsi="Arial" w:cs="Arial"/>
          <w:color w:val="auto"/>
          <w:sz w:val="24"/>
          <w:szCs w:val="24"/>
          <w:lang w:val="en-US" w:eastAsia="zh-CN"/>
        </w:rPr>
        <w:t>.</w:t>
      </w:r>
      <w:r>
        <w:rPr>
          <w:rFonts w:hint="default" w:ascii="Arial" w:hAnsi="Arial" w:cs="Arial"/>
          <w:color w:val="auto"/>
          <w:sz w:val="24"/>
          <w:szCs w:val="24"/>
          <w:lang w:val="en-US" w:eastAsia="zh-CN"/>
        </w:rPr>
        <w:t xml:space="preserve"> (A) Representative images of CFU assays showing LGG colonies on agar plates. (B) Quantitative analysis of </w:t>
      </w:r>
      <w:r>
        <w:rPr>
          <w:rFonts w:hint="default" w:ascii="Arial" w:hAnsi="Arial" w:cs="Arial"/>
          <w:i/>
          <w:iCs/>
          <w:color w:val="auto"/>
          <w:sz w:val="24"/>
          <w:szCs w:val="24"/>
          <w:lang w:val="en-US" w:eastAsia="zh-CN"/>
        </w:rPr>
        <w:t>LGG</w:t>
      </w:r>
      <w:r>
        <w:rPr>
          <w:rFonts w:hint="default" w:ascii="Arial" w:hAnsi="Arial" w:cs="Arial"/>
          <w:color w:val="auto"/>
          <w:sz w:val="24"/>
          <w:szCs w:val="24"/>
          <w:lang w:val="en-US" w:eastAsia="zh-CN"/>
        </w:rPr>
        <w:t xml:space="preserve"> CF</w:t>
      </w:r>
      <w:r>
        <w:rPr>
          <w:rFonts w:hint="default" w:ascii="Arial" w:hAnsi="Arial" w:cs="Arial"/>
          <w:color w:val="auto"/>
          <w:sz w:val="24"/>
          <w:szCs w:val="24"/>
          <w:highlight w:val="none"/>
          <w:lang w:val="en-US" w:eastAsia="zh-CN"/>
        </w:rPr>
        <w:t xml:space="preserve">Us. </w:t>
      </w:r>
      <w:r>
        <w:rPr>
          <w:rFonts w:hint="eastAsia" w:ascii="Arial" w:hAnsi="Arial" w:cs="Arial"/>
          <w:color w:val="auto"/>
          <w:sz w:val="24"/>
          <w:szCs w:val="24"/>
          <w:highlight w:val="none"/>
          <w:lang w:val="en-US" w:eastAsia="zh-CN"/>
        </w:rPr>
        <w:t>(C) G</w:t>
      </w:r>
      <w:r>
        <w:rPr>
          <w:rFonts w:hint="eastAsia" w:ascii="Arial" w:hAnsi="Arial" w:cs="Arial"/>
          <w:color w:val="auto"/>
          <w:sz w:val="24"/>
          <w:szCs w:val="24"/>
          <w:lang w:val="en-US" w:eastAsia="zh-CN"/>
        </w:rPr>
        <w:t xml:space="preserve">QD_NPs were taken up by </w:t>
      </w:r>
      <w:r>
        <w:rPr>
          <w:rFonts w:hint="eastAsia" w:ascii="Arial" w:hAnsi="Arial" w:cs="Arial"/>
          <w:i/>
          <w:iCs/>
          <w:color w:val="auto"/>
          <w:sz w:val="24"/>
          <w:szCs w:val="24"/>
          <w:lang w:val="en-US" w:eastAsia="zh-CN"/>
        </w:rPr>
        <w:t>LGG</w:t>
      </w:r>
      <w:r>
        <w:rPr>
          <w:rFonts w:hint="eastAsia" w:ascii="Arial" w:hAnsi="Arial" w:cs="Arial"/>
          <w:color w:val="auto"/>
          <w:sz w:val="24"/>
          <w:szCs w:val="24"/>
          <w:lang w:val="en-US" w:eastAsia="zh-CN"/>
        </w:rPr>
        <w:t xml:space="preserve">. </w:t>
      </w:r>
      <w:r>
        <w:rPr>
          <w:rFonts w:hint="default" w:ascii="Arial" w:hAnsi="Arial" w:cs="Arial"/>
          <w:color w:val="auto"/>
          <w:sz w:val="24"/>
          <w:szCs w:val="24"/>
          <w:highlight w:val="none"/>
          <w:lang w:val="en-US" w:eastAsia="zh-CN"/>
        </w:rPr>
        <w:t xml:space="preserve">(Scale bar = </w:t>
      </w:r>
      <w:r>
        <w:rPr>
          <w:rFonts w:hint="eastAsia" w:ascii="Arial" w:hAnsi="Arial" w:cs="Arial"/>
          <w:color w:val="auto"/>
          <w:sz w:val="24"/>
          <w:szCs w:val="24"/>
          <w:highlight w:val="none"/>
          <w:lang w:val="en-US" w:eastAsia="zh-CN"/>
        </w:rPr>
        <w:t>5</w:t>
      </w:r>
      <w:r>
        <w:rPr>
          <w:rFonts w:hint="default" w:ascii="Arial" w:hAnsi="Arial" w:cs="Arial"/>
          <w:color w:val="auto"/>
          <w:sz w:val="24"/>
          <w:szCs w:val="24"/>
          <w:highlight w:val="none"/>
          <w:lang w:val="en-US" w:eastAsia="zh-CN"/>
        </w:rPr>
        <w:t xml:space="preserve"> μm).</w:t>
      </w:r>
      <w:r>
        <w:rPr>
          <w:rFonts w:hint="eastAsia" w:ascii="Arial" w:hAnsi="Arial" w:cs="Arial"/>
          <w:color w:val="auto"/>
          <w:sz w:val="24"/>
          <w:szCs w:val="24"/>
          <w:highlight w:val="none"/>
          <w:lang w:val="en-US" w:eastAsia="zh-CN"/>
        </w:rPr>
        <w:t xml:space="preserve"> </w:t>
      </w:r>
      <w:r>
        <w:rPr>
          <w:rFonts w:hint="default" w:ascii="Arial" w:hAnsi="Arial" w:cs="Arial"/>
          <w:color w:val="auto"/>
          <w:sz w:val="24"/>
          <w:szCs w:val="24"/>
          <w:lang w:val="en-US" w:eastAsia="zh-CN"/>
        </w:rPr>
        <w:t xml:space="preserve">Data are presented as mean ± </w:t>
      </w:r>
      <w:r>
        <w:rPr>
          <w:rFonts w:hint="eastAsia" w:ascii="Arial" w:hAnsi="Arial" w:cs="Arial"/>
          <w:color w:val="auto"/>
          <w:sz w:val="24"/>
          <w:szCs w:val="24"/>
          <w:lang w:val="en-US" w:eastAsia="zh-CN"/>
        </w:rPr>
        <w:t>SD</w:t>
      </w:r>
      <w:r>
        <w:rPr>
          <w:rFonts w:hint="default" w:ascii="Arial" w:hAnsi="Arial" w:cs="Arial"/>
          <w:color w:val="auto"/>
          <w:sz w:val="24"/>
          <w:szCs w:val="24"/>
          <w:lang w:val="en-US" w:eastAsia="zh-CN"/>
        </w:rPr>
        <w:t xml:space="preserve">. </w:t>
      </w:r>
      <w:r>
        <w:rPr>
          <w:rFonts w:hint="default" w:ascii="Arial" w:hAnsi="Arial" w:cs="Arial"/>
          <w:color w:val="auto"/>
          <w:sz w:val="24"/>
          <w:szCs w:val="24"/>
        </w:rPr>
        <w:t>*P &lt; 0.05, **P &lt; 0.01, ***P &lt; 0.001 ; ns: not significant.</w:t>
      </w:r>
    </w:p>
    <w:p w14:paraId="76DEC97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Arial" w:hAnsi="Arial" w:cs="Arial"/>
          <w:b/>
          <w:bCs/>
          <w:color w:val="auto"/>
          <w:sz w:val="24"/>
          <w:szCs w:val="24"/>
          <w:highlight w:val="none"/>
        </w:rPr>
      </w:pPr>
      <w:r>
        <w:rPr>
          <w:color w:val="auto"/>
        </w:rPr>
        <w:drawing>
          <wp:inline distT="0" distB="0" distL="114300" distR="114300">
            <wp:extent cx="5267960" cy="5833745"/>
            <wp:effectExtent l="0" t="0" r="8890" b="508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9"/>
                    <a:stretch>
                      <a:fillRect/>
                    </a:stretch>
                  </pic:blipFill>
                  <pic:spPr>
                    <a:xfrm>
                      <a:off x="0" y="0"/>
                      <a:ext cx="5267960" cy="5833745"/>
                    </a:xfrm>
                    <a:prstGeom prst="rect">
                      <a:avLst/>
                    </a:prstGeom>
                    <a:noFill/>
                    <a:ln>
                      <a:noFill/>
                    </a:ln>
                  </pic:spPr>
                </pic:pic>
              </a:graphicData>
            </a:graphic>
          </wp:inline>
        </w:drawing>
      </w:r>
    </w:p>
    <w:p w14:paraId="4538D3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Arial" w:hAnsi="Arial" w:cs="Arial"/>
          <w:color w:val="auto"/>
          <w:sz w:val="24"/>
          <w:szCs w:val="24"/>
          <w:lang w:eastAsia="zh-CN"/>
        </w:rPr>
      </w:pPr>
      <w:r>
        <w:rPr>
          <w:rFonts w:hint="default" w:ascii="Arial" w:hAnsi="Arial" w:cs="Arial"/>
          <w:color w:val="auto"/>
          <w:sz w:val="24"/>
          <w:szCs w:val="24"/>
          <w:highlight w:val="none"/>
          <w:lang w:val="en-US" w:eastAsia="zh-CN"/>
        </w:rPr>
        <w:t>Fig</w:t>
      </w:r>
      <w:r>
        <w:rPr>
          <w:rFonts w:hint="eastAsia" w:ascii="Arial" w:hAnsi="Arial" w:cs="Arial"/>
          <w:color w:val="auto"/>
          <w:sz w:val="24"/>
          <w:szCs w:val="24"/>
          <w:highlight w:val="none"/>
          <w:lang w:val="en-US" w:eastAsia="zh-CN"/>
        </w:rPr>
        <w:t>.</w:t>
      </w:r>
      <w:r>
        <w:rPr>
          <w:rFonts w:hint="default" w:ascii="Arial" w:hAnsi="Arial" w:cs="Arial"/>
          <w:color w:val="auto"/>
          <w:sz w:val="24"/>
          <w:szCs w:val="24"/>
          <w:highlight w:val="none"/>
          <w:lang w:val="en-US" w:eastAsia="zh-CN"/>
        </w:rPr>
        <w:t xml:space="preserve"> </w:t>
      </w:r>
      <w:r>
        <w:rPr>
          <w:rFonts w:hint="eastAsia" w:ascii="Arial" w:hAnsi="Arial" w:cs="Arial"/>
          <w:color w:val="auto"/>
          <w:sz w:val="24"/>
          <w:szCs w:val="24"/>
          <w:highlight w:val="none"/>
          <w:lang w:val="en-US" w:eastAsia="zh-CN"/>
        </w:rPr>
        <w:t>S5</w:t>
      </w:r>
      <w:r>
        <w:rPr>
          <w:rFonts w:hint="default" w:ascii="Arial" w:hAnsi="Arial" w:cs="Arial"/>
          <w:color w:val="auto"/>
          <w:sz w:val="24"/>
          <w:szCs w:val="24"/>
          <w:highlight w:val="none"/>
          <w:lang w:val="en-US" w:eastAsia="zh-CN"/>
        </w:rPr>
        <w:t xml:space="preserve">. </w:t>
      </w:r>
      <w:r>
        <w:rPr>
          <w:rFonts w:hint="default" w:ascii="Arial" w:hAnsi="Arial" w:cs="Arial"/>
          <w:b w:val="0"/>
          <w:bCs w:val="0"/>
          <w:color w:val="auto"/>
          <w:sz w:val="24"/>
          <w:szCs w:val="24"/>
          <w:highlight w:val="none"/>
          <w:lang w:val="en-US" w:eastAsia="zh-CN"/>
        </w:rPr>
        <w:t>GQD_NPs</w:t>
      </w:r>
      <w:r>
        <w:rPr>
          <w:rFonts w:hint="default" w:ascii="Arial" w:hAnsi="Arial" w:cs="Arial"/>
          <w:color w:val="auto"/>
          <w:sz w:val="24"/>
          <w:szCs w:val="24"/>
          <w:highlight w:val="none"/>
          <w:lang w:val="en-US" w:eastAsia="zh-CN"/>
        </w:rPr>
        <w:t xml:space="preserve"> restore fecal short-chain fatty acid profiles in chronic colitis mice. (A) PCA score plot depicting the separation of fecal SCFAs metabolic profiles. (B) Heatmap visualization of the relative abundance of key SCFAs in fecal samples. (C) Quantitative analysis of key SCFAs showing significant differences. Data are presented as mean ± SD. *P &lt; 0.05, **P &lt; 0.01,</w:t>
      </w:r>
      <w:r>
        <w:rPr>
          <w:rFonts w:hint="default" w:ascii="Arial" w:hAnsi="Arial" w:cs="Arial"/>
          <w:color w:val="auto"/>
          <w:sz w:val="24"/>
          <w:szCs w:val="24"/>
          <w:highlight w:val="none"/>
        </w:rPr>
        <w:t>, ***P &lt; 0.001 ; ns: not significant.</w:t>
      </w:r>
    </w:p>
    <w:p w14:paraId="172CB2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Arial" w:hAnsi="Arial" w:cs="Arial" w:eastAsiaTheme="minorEastAsia"/>
          <w:color w:val="auto"/>
          <w:sz w:val="24"/>
          <w:szCs w:val="24"/>
          <w:lang w:val="en-US" w:eastAsia="zh-CN"/>
        </w:rPr>
      </w:pPr>
      <w:r>
        <w:rPr>
          <w:color w:val="auto"/>
        </w:rPr>
        <w:drawing>
          <wp:inline distT="0" distB="0" distL="114300" distR="114300">
            <wp:extent cx="5269865" cy="8336915"/>
            <wp:effectExtent l="0" t="0" r="698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269865" cy="8336915"/>
                    </a:xfrm>
                    <a:prstGeom prst="rect">
                      <a:avLst/>
                    </a:prstGeom>
                    <a:noFill/>
                    <a:ln>
                      <a:noFill/>
                    </a:ln>
                  </pic:spPr>
                </pic:pic>
              </a:graphicData>
            </a:graphic>
          </wp:inline>
        </w:drawing>
      </w:r>
    </w:p>
    <w:p w14:paraId="61AAA9E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Arial" w:hAnsi="Arial" w:cs="Arial"/>
          <w:color w:val="auto"/>
          <w:sz w:val="24"/>
          <w:szCs w:val="24"/>
          <w:lang w:val="en-US" w:eastAsia="zh-CN"/>
        </w:rPr>
      </w:pPr>
      <w:r>
        <w:rPr>
          <w:rFonts w:hint="eastAsia" w:ascii="Arial" w:hAnsi="Arial" w:cs="Arial" w:eastAsiaTheme="minorEastAsia"/>
          <w:color w:val="auto"/>
          <w:sz w:val="24"/>
          <w:szCs w:val="24"/>
          <w:lang w:val="en-US" w:eastAsia="zh-CN"/>
        </w:rPr>
        <w:t>Fig</w:t>
      </w:r>
      <w:r>
        <w:rPr>
          <w:rFonts w:hint="eastAsia" w:ascii="Arial" w:hAnsi="Arial" w:cs="Arial"/>
          <w:color w:val="auto"/>
          <w:sz w:val="24"/>
          <w:szCs w:val="24"/>
          <w:lang w:val="en-US" w:eastAsia="zh-CN"/>
        </w:rPr>
        <w:t>.</w:t>
      </w:r>
      <w:r>
        <w:rPr>
          <w:rFonts w:hint="eastAsia" w:ascii="Arial" w:hAnsi="Arial" w:cs="Arial" w:eastAsiaTheme="minorEastAsia"/>
          <w:color w:val="auto"/>
          <w:sz w:val="24"/>
          <w:szCs w:val="24"/>
          <w:lang w:val="en-US" w:eastAsia="zh-CN"/>
        </w:rPr>
        <w:t xml:space="preserve"> S</w:t>
      </w:r>
      <w:r>
        <w:rPr>
          <w:rFonts w:hint="eastAsia" w:ascii="Arial" w:hAnsi="Arial" w:cs="Arial"/>
          <w:color w:val="auto"/>
          <w:sz w:val="24"/>
          <w:szCs w:val="24"/>
          <w:lang w:val="en-US" w:eastAsia="zh-CN"/>
        </w:rPr>
        <w:t>6</w:t>
      </w:r>
      <w:r>
        <w:rPr>
          <w:rFonts w:hint="eastAsia" w:ascii="Arial" w:hAnsi="Arial" w:cs="Arial" w:eastAsiaTheme="minorEastAsia"/>
          <w:color w:val="auto"/>
          <w:sz w:val="24"/>
          <w:szCs w:val="24"/>
          <w:lang w:val="en-US" w:eastAsia="zh-CN"/>
        </w:rPr>
        <w:t>.</w:t>
      </w:r>
      <w:r>
        <w:rPr>
          <w:rFonts w:hint="eastAsia" w:ascii="Arial" w:hAnsi="Arial" w:cs="Arial"/>
          <w:color w:val="auto"/>
          <w:sz w:val="24"/>
          <w:szCs w:val="24"/>
          <w:lang w:val="en-US" w:eastAsia="zh-CN"/>
        </w:rPr>
        <w:t xml:space="preserve"> </w:t>
      </w:r>
      <w:r>
        <w:rPr>
          <w:rFonts w:hint="eastAsia" w:ascii="Arial" w:hAnsi="Arial" w:cs="Arial" w:eastAsiaTheme="minorEastAsia"/>
          <w:color w:val="auto"/>
          <w:sz w:val="24"/>
          <w:szCs w:val="24"/>
          <w:lang w:val="en-US" w:eastAsia="zh-CN"/>
        </w:rPr>
        <w:t>Transcriptomic profiling of colon tissues in DSS-induced colitis mice.</w:t>
      </w:r>
      <w:r>
        <w:rPr>
          <w:rFonts w:hint="eastAsia" w:ascii="Arial" w:hAnsi="Arial" w:cs="Arial"/>
          <w:color w:val="auto"/>
          <w:sz w:val="24"/>
          <w:szCs w:val="24"/>
          <w:lang w:val="en-US" w:eastAsia="zh-CN"/>
        </w:rPr>
        <w:t xml:space="preserve"> (A) Volcano plot of differentially expressed genes (DEGs) in the DSS vs control. (B) KEGG pathway enrichment analysis. (C) Key genes within the four core pathways.(D) GO biological process enrichment analysis. (E) Volcano plot of DEGs in the DSS+GQD-NPs vs. DSS.</w:t>
      </w:r>
    </w:p>
    <w:p w14:paraId="0D2508BE">
      <w:pPr>
        <w:keepNext w:val="0"/>
        <w:keepLines w:val="0"/>
        <w:pageBreakBefore w:val="0"/>
        <w:kinsoku/>
        <w:wordWrap/>
        <w:overflowPunct/>
        <w:topLinePunct w:val="0"/>
        <w:autoSpaceDE/>
        <w:autoSpaceDN/>
        <w:bidi w:val="0"/>
        <w:adjustRightInd/>
        <w:snapToGrid/>
        <w:spacing w:before="120" w:after="312" w:afterLines="100" w:line="360" w:lineRule="auto"/>
        <w:jc w:val="center"/>
        <w:textAlignment w:val="auto"/>
        <w:rPr>
          <w:rFonts w:hint="default" w:ascii="Arial" w:hAnsi="Arial" w:cs="Arial"/>
          <w:color w:val="auto"/>
          <w:sz w:val="24"/>
          <w:szCs w:val="24"/>
        </w:rPr>
      </w:pPr>
      <w:r>
        <w:rPr>
          <w:rFonts w:hint="default" w:ascii="Arial" w:hAnsi="Arial" w:cs="Arial"/>
          <w:color w:val="auto"/>
          <w:sz w:val="24"/>
          <w:szCs w:val="24"/>
        </w:rPr>
        <w:drawing>
          <wp:inline distT="0" distB="0" distL="114300" distR="114300">
            <wp:extent cx="5248910" cy="5430520"/>
            <wp:effectExtent l="0" t="0" r="8890" b="825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
                    <a:srcRect l="434"/>
                    <a:stretch>
                      <a:fillRect/>
                    </a:stretch>
                  </pic:blipFill>
                  <pic:spPr>
                    <a:xfrm>
                      <a:off x="0" y="0"/>
                      <a:ext cx="5248910" cy="5430520"/>
                    </a:xfrm>
                    <a:prstGeom prst="rect">
                      <a:avLst/>
                    </a:prstGeom>
                    <a:noFill/>
                    <a:ln>
                      <a:noFill/>
                    </a:ln>
                  </pic:spPr>
                </pic:pic>
              </a:graphicData>
            </a:graphic>
          </wp:inline>
        </w:drawing>
      </w:r>
    </w:p>
    <w:p w14:paraId="3FCA88E9">
      <w:pPr>
        <w:keepNext w:val="0"/>
        <w:keepLines w:val="0"/>
        <w:pageBreakBefore w:val="0"/>
        <w:widowControl w:val="0"/>
        <w:kinsoku/>
        <w:wordWrap/>
        <w:overflowPunct/>
        <w:topLinePunct w:val="0"/>
        <w:autoSpaceDE/>
        <w:autoSpaceDN/>
        <w:bidi w:val="0"/>
        <w:adjustRightInd/>
        <w:snapToGrid/>
        <w:spacing w:before="10" w:after="157" w:afterLines="50" w:line="360" w:lineRule="auto"/>
        <w:textAlignment w:val="auto"/>
        <w:rPr>
          <w:rFonts w:hint="default" w:ascii="Arial" w:hAnsi="Arial" w:cs="Arial"/>
          <w:color w:val="auto"/>
          <w:sz w:val="24"/>
          <w:szCs w:val="24"/>
        </w:rPr>
      </w:pPr>
      <w:r>
        <w:rPr>
          <w:rFonts w:hint="default" w:ascii="Arial" w:hAnsi="Arial" w:cs="Arial"/>
          <w:b w:val="0"/>
          <w:bCs w:val="0"/>
          <w:color w:val="auto"/>
          <w:sz w:val="24"/>
          <w:szCs w:val="24"/>
        </w:rPr>
        <w:t>Fig</w:t>
      </w:r>
      <w:r>
        <w:rPr>
          <w:rFonts w:hint="default" w:ascii="Arial" w:hAnsi="Arial" w:cs="Arial"/>
          <w:b w:val="0"/>
          <w:bCs w:val="0"/>
          <w:color w:val="auto"/>
          <w:sz w:val="24"/>
          <w:szCs w:val="24"/>
          <w:lang w:val="en-US" w:eastAsia="zh-CN"/>
        </w:rPr>
        <w:t>.</w:t>
      </w:r>
      <w:r>
        <w:rPr>
          <w:rFonts w:hint="default" w:ascii="Arial" w:hAnsi="Arial" w:cs="Arial"/>
          <w:b w:val="0"/>
          <w:bCs w:val="0"/>
          <w:color w:val="auto"/>
          <w:sz w:val="24"/>
          <w:szCs w:val="24"/>
        </w:rPr>
        <w:t xml:space="preserve"> </w:t>
      </w:r>
      <w:r>
        <w:rPr>
          <w:rFonts w:hint="eastAsia" w:ascii="Arial" w:hAnsi="Arial" w:cs="Arial"/>
          <w:b w:val="0"/>
          <w:bCs w:val="0"/>
          <w:color w:val="auto"/>
          <w:sz w:val="24"/>
          <w:szCs w:val="24"/>
          <w:lang w:val="en-US" w:eastAsia="zh-CN"/>
        </w:rPr>
        <w:t>S</w:t>
      </w:r>
      <w:r>
        <w:rPr>
          <w:rFonts w:hint="default" w:ascii="Arial" w:hAnsi="Arial" w:cs="Arial"/>
          <w:b w:val="0"/>
          <w:bCs w:val="0"/>
          <w:color w:val="auto"/>
          <w:sz w:val="24"/>
          <w:szCs w:val="24"/>
        </w:rPr>
        <w:t>7.</w:t>
      </w:r>
      <w:r>
        <w:rPr>
          <w:rFonts w:hint="default" w:ascii="Arial" w:hAnsi="Arial" w:cs="Arial"/>
          <w:b/>
          <w:bCs/>
          <w:color w:val="auto"/>
          <w:sz w:val="24"/>
          <w:szCs w:val="24"/>
        </w:rPr>
        <w:t xml:space="preserve"> </w:t>
      </w:r>
      <w:r>
        <w:rPr>
          <w:rFonts w:hint="default" w:ascii="Arial" w:hAnsi="Arial" w:cs="Arial"/>
          <w:color w:val="auto"/>
          <w:sz w:val="24"/>
          <w:szCs w:val="24"/>
        </w:rPr>
        <w:t>GQD_NPs treatment reverses the activation of core inflammatory signaling pathways in the colon tissues. (A) KEGG pathway enrichment analysis of significantly downregulated genes in colon tissues from DSS-induced colitis mice treated with GQD_NPs. (B) GO biological process enrichment analysis of downregulated genes. (C) Key genes within the four core pathways.</w:t>
      </w:r>
    </w:p>
    <w:p w14:paraId="7B8443F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Arial" w:hAnsi="Arial" w:cs="Arial"/>
          <w:color w:val="auto"/>
          <w:sz w:val="24"/>
          <w:szCs w:val="24"/>
          <w:lang w:val="en-US" w:eastAsia="zh-CN"/>
        </w:rPr>
      </w:pPr>
    </w:p>
    <w:p w14:paraId="5624688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color w:val="auto"/>
        </w:rPr>
      </w:pPr>
      <w:r>
        <w:rPr>
          <w:color w:val="auto"/>
        </w:rPr>
        <w:drawing>
          <wp:inline distT="0" distB="0" distL="114300" distR="114300">
            <wp:extent cx="5270500" cy="3401060"/>
            <wp:effectExtent l="0" t="0" r="6350" b="889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2"/>
                    <a:stretch>
                      <a:fillRect/>
                    </a:stretch>
                  </pic:blipFill>
                  <pic:spPr>
                    <a:xfrm>
                      <a:off x="0" y="0"/>
                      <a:ext cx="5270500" cy="3401060"/>
                    </a:xfrm>
                    <a:prstGeom prst="rect">
                      <a:avLst/>
                    </a:prstGeom>
                    <a:noFill/>
                    <a:ln>
                      <a:noFill/>
                    </a:ln>
                  </pic:spPr>
                </pic:pic>
              </a:graphicData>
            </a:graphic>
          </wp:inline>
        </w:drawing>
      </w:r>
    </w:p>
    <w:p w14:paraId="72FA79B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color w:val="auto"/>
          <w:highlight w:val="none"/>
          <w:lang w:val="en-US" w:eastAsia="zh-CN"/>
        </w:rPr>
      </w:pPr>
      <w:r>
        <w:rPr>
          <w:rFonts w:hint="default" w:ascii="Arial" w:hAnsi="Arial" w:eastAsia="宋体" w:cs="Arial"/>
          <w:b w:val="0"/>
          <w:bCs w:val="0"/>
          <w:i w:val="0"/>
          <w:iCs w:val="0"/>
          <w:caps w:val="0"/>
          <w:color w:val="auto"/>
          <w:spacing w:val="0"/>
          <w:sz w:val="24"/>
          <w:szCs w:val="24"/>
          <w:highlight w:val="none"/>
          <w:shd w:val="clear" w:fill="FFFFFF"/>
          <w:lang w:eastAsia="zh-CN"/>
        </w:rPr>
        <w:t>Fig. S</w:t>
      </w:r>
      <w:r>
        <w:rPr>
          <w:rFonts w:hint="eastAsia" w:ascii="Arial" w:hAnsi="Arial" w:eastAsia="宋体" w:cs="Arial"/>
          <w:b w:val="0"/>
          <w:bCs w:val="0"/>
          <w:i w:val="0"/>
          <w:iCs w:val="0"/>
          <w:caps w:val="0"/>
          <w:color w:val="auto"/>
          <w:spacing w:val="0"/>
          <w:sz w:val="24"/>
          <w:szCs w:val="24"/>
          <w:highlight w:val="none"/>
          <w:shd w:val="clear" w:fill="FFFFFF"/>
          <w:lang w:val="en-US" w:eastAsia="zh-CN"/>
        </w:rPr>
        <w:t>8</w:t>
      </w:r>
      <w:r>
        <w:rPr>
          <w:rFonts w:hint="default" w:ascii="Arial" w:hAnsi="Arial" w:eastAsia="宋体" w:cs="Arial"/>
          <w:b w:val="0"/>
          <w:bCs w:val="0"/>
          <w:i w:val="0"/>
          <w:iCs w:val="0"/>
          <w:caps w:val="0"/>
          <w:color w:val="auto"/>
          <w:spacing w:val="0"/>
          <w:sz w:val="24"/>
          <w:szCs w:val="24"/>
          <w:highlight w:val="none"/>
          <w:shd w:val="clear" w:fill="FFFFFF"/>
          <w:lang w:eastAsia="zh-CN"/>
        </w:rPr>
        <w:t>. FMT from GQD_NPs‑treated mice reduces colonic neutrophil infiltration in DSS‑induced colitis. (A) Representative immunofluorescence staining of Ly6G (green) in colon tissues</w:t>
      </w:r>
      <w:r>
        <w:rPr>
          <w:rFonts w:hint="eastAsia" w:ascii="Arial" w:hAnsi="Arial" w:eastAsia="宋体" w:cs="Arial"/>
          <w:b w:val="0"/>
          <w:bCs w:val="0"/>
          <w:i w:val="0"/>
          <w:iCs w:val="0"/>
          <w:caps w:val="0"/>
          <w:color w:val="auto"/>
          <w:spacing w:val="0"/>
          <w:sz w:val="24"/>
          <w:szCs w:val="24"/>
          <w:highlight w:val="none"/>
          <w:shd w:val="clear" w:fill="FFFFFF"/>
          <w:lang w:val="en-US" w:eastAsia="zh-CN"/>
        </w:rPr>
        <w:t>. S</w:t>
      </w:r>
      <w:r>
        <w:rPr>
          <w:rFonts w:hint="default" w:ascii="Arial" w:hAnsi="Arial" w:eastAsia="宋体" w:cs="Arial"/>
          <w:b w:val="0"/>
          <w:bCs w:val="0"/>
          <w:i w:val="0"/>
          <w:iCs w:val="0"/>
          <w:caps w:val="0"/>
          <w:color w:val="auto"/>
          <w:spacing w:val="0"/>
          <w:sz w:val="24"/>
          <w:szCs w:val="24"/>
          <w:highlight w:val="none"/>
          <w:shd w:val="clear" w:fill="FFFFFF"/>
          <w:lang w:eastAsia="zh-CN"/>
        </w:rPr>
        <w:t>cale bar = 100 μm. (B) Quantitative analysis of Ly6G‑positive area as a percentage of total tissue area. Data are presented as mean ± SD. *P &lt; 0.0</w:t>
      </w:r>
      <w:r>
        <w:rPr>
          <w:rFonts w:hint="eastAsia" w:ascii="Arial" w:hAnsi="Arial" w:eastAsia="宋体" w:cs="Arial"/>
          <w:b w:val="0"/>
          <w:bCs w:val="0"/>
          <w:i w:val="0"/>
          <w:iCs w:val="0"/>
          <w:caps w:val="0"/>
          <w:color w:val="auto"/>
          <w:spacing w:val="0"/>
          <w:sz w:val="24"/>
          <w:szCs w:val="24"/>
          <w:highlight w:val="none"/>
          <w:shd w:val="clear" w:fill="FFFFFF"/>
          <w:lang w:val="en-US" w:eastAsia="zh-CN"/>
        </w:rPr>
        <w:t>5</w:t>
      </w:r>
      <w:r>
        <w:rPr>
          <w:rFonts w:hint="default" w:ascii="Arial" w:hAnsi="Arial" w:eastAsia="宋体" w:cs="Arial"/>
          <w:b w:val="0"/>
          <w:bCs w:val="0"/>
          <w:i w:val="0"/>
          <w:iCs w:val="0"/>
          <w:caps w:val="0"/>
          <w:color w:val="auto"/>
          <w:spacing w:val="0"/>
          <w:sz w:val="24"/>
          <w:szCs w:val="24"/>
          <w:highlight w:val="none"/>
          <w:shd w:val="clear" w:fill="FFFFFF"/>
          <w:lang w:eastAsia="zh-CN"/>
        </w:rPr>
        <w:t>, **P &lt; 0.01, ***P &lt; 0.001; ns, not significant.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20BB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AAA7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E0AAA7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rt9tt2i5rt27edvxipex0r0fvszv5xtzr5&quot;&gt;微重力&lt;record-ids&gt;&lt;item&gt;99&lt;/item&gt;&lt;/record-ids&gt;&lt;/item&gt;&lt;/Libraries&gt;"/>
  </w:docVars>
  <w:rsids>
    <w:rsidRoot w:val="00000000"/>
    <w:rsid w:val="002F14BB"/>
    <w:rsid w:val="031C3C8E"/>
    <w:rsid w:val="05913148"/>
    <w:rsid w:val="05FB28F4"/>
    <w:rsid w:val="0753050D"/>
    <w:rsid w:val="08804EFA"/>
    <w:rsid w:val="0982744F"/>
    <w:rsid w:val="0D335069"/>
    <w:rsid w:val="11460115"/>
    <w:rsid w:val="114C04A7"/>
    <w:rsid w:val="129E4D32"/>
    <w:rsid w:val="156F4EA7"/>
    <w:rsid w:val="15CE592F"/>
    <w:rsid w:val="16E749E5"/>
    <w:rsid w:val="19960E59"/>
    <w:rsid w:val="19EE47F1"/>
    <w:rsid w:val="21823A71"/>
    <w:rsid w:val="22F17B21"/>
    <w:rsid w:val="26CA1B1F"/>
    <w:rsid w:val="26CB39AD"/>
    <w:rsid w:val="27F05BD9"/>
    <w:rsid w:val="291C1902"/>
    <w:rsid w:val="2E3A3154"/>
    <w:rsid w:val="300E5C56"/>
    <w:rsid w:val="345708A8"/>
    <w:rsid w:val="37FB300B"/>
    <w:rsid w:val="39A22918"/>
    <w:rsid w:val="3E9F05BC"/>
    <w:rsid w:val="441E71D2"/>
    <w:rsid w:val="45542A32"/>
    <w:rsid w:val="49F94212"/>
    <w:rsid w:val="4AF8018A"/>
    <w:rsid w:val="4B101533"/>
    <w:rsid w:val="4D0C613C"/>
    <w:rsid w:val="501C6CBB"/>
    <w:rsid w:val="534019FE"/>
    <w:rsid w:val="543F64E0"/>
    <w:rsid w:val="61314591"/>
    <w:rsid w:val="62C70D09"/>
    <w:rsid w:val="634B4390"/>
    <w:rsid w:val="64826CC9"/>
    <w:rsid w:val="65C71020"/>
    <w:rsid w:val="66EE0DDC"/>
    <w:rsid w:val="6826341B"/>
    <w:rsid w:val="6AD062A1"/>
    <w:rsid w:val="6CD209D6"/>
    <w:rsid w:val="70C9032F"/>
    <w:rsid w:val="71C9492F"/>
    <w:rsid w:val="7BB35374"/>
    <w:rsid w:val="7D036989"/>
    <w:rsid w:val="7DCB394B"/>
    <w:rsid w:val="7FC22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Calibri" w:hAnsi="Calibri" w:cs="Calibri" w:eastAsiaTheme="minorEastAsia"/>
      <w:kern w:val="2"/>
      <w:sz w:val="20"/>
      <w:szCs w:val="24"/>
      <w:lang w:val="en-US" w:eastAsia="zh-CN" w:bidi="ar-SA"/>
    </w:rPr>
  </w:style>
  <w:style w:type="paragraph" w:customStyle="1" w:styleId="7">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cs="Calibri" w:eastAsiaTheme="minorEastAsia"/>
      <w:kern w:val="2"/>
      <w:sz w:val="20"/>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489</Words>
  <Characters>2675</Characters>
  <Lines>0</Lines>
  <Paragraphs>0</Paragraphs>
  <TotalTime>19</TotalTime>
  <ScaleCrop>false</ScaleCrop>
  <LinksUpToDate>false</LinksUpToDate>
  <CharactersWithSpaces>3154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2026-03-16T10:26:00Z</dcterms:created>
  <dc:creator>13580</dc:creator>
  <cp:lastModifiedBy>fighting</cp:lastModifiedBy>
  <dcterms:modified xsi:type="dcterms:W3CDTF">2026-09-10T00:47:50Z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eyJoZGlkIjoiNTEzNjY3MzVkNDE1YTQ1YWJkY2NkYTcxZWU5NmQ5ZjciLCJ1c2VySWQiOiIzNzk5NjYxNjQifQ==</vt:lpwstr>
  </property>
  <property fmtid="{D5CDD505-2E9C-101B-9397-08002B2CF9AE}" pid="4" name="ICV">
    <vt:lpwstr>00CFCCF888E3460B84DB5E16EB486471_12</vt:lpwstr>
  </property>
</Properties>
</file>