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ink/ink1.xml" ContentType="application/inkml+xml"/>
  <Override PartName="/word/ink/ink2.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0AA53">
      <w:pPr>
        <w:ind w:firstLine="482"/>
        <w:jc w:val="center"/>
        <w:rPr>
          <w:rFonts w:ascii="Times New Roman" w:hAnsi="Times New Roman" w:cs="Times New Roman"/>
          <w:color w:val="auto"/>
          <w:highlight w:val="none"/>
        </w:rPr>
      </w:pPr>
      <w:r>
        <w:rPr>
          <w:rFonts w:ascii="Times New Roman" w:hAnsi="Times New Roman" w:cs="Times New Roman"/>
          <w:b/>
          <w:highlight w:val="none"/>
          <w:shd w:val="clear" w:color="auto" w:fill="FFFFFF"/>
        </w:rPr>
        <w:t>Supplementary information</w:t>
      </w:r>
    </w:p>
    <w:p w14:paraId="376696B7">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highlight w:val="none"/>
        </w:rPr>
      </w:pPr>
      <w:r>
        <w:rPr>
          <w:rFonts w:ascii="Times New Roman" w:hAnsi="Times New Roman" w:cs="Times New Roman"/>
          <w:b/>
          <w:highlight w:val="none"/>
        </w:rPr>
        <w:t>T</w:t>
      </w:r>
      <w:r>
        <w:rPr>
          <w:rFonts w:hint="eastAsia" w:ascii="Times New Roman" w:hAnsi="Times New Roman" w:cs="Times New Roman"/>
          <w:b/>
          <w:highlight w:val="none"/>
        </w:rPr>
        <w:t>able</w:t>
      </w:r>
      <w:r>
        <w:rPr>
          <w:rFonts w:ascii="Times New Roman" w:hAnsi="Times New Roman" w:cs="Times New Roman"/>
          <w:b/>
          <w:highlight w:val="none"/>
        </w:rPr>
        <w:t xml:space="preserve"> S</w:t>
      </w:r>
      <w:r>
        <w:rPr>
          <w:rFonts w:hint="eastAsia" w:ascii="Times New Roman" w:hAnsi="Times New Roman" w:cs="Times New Roman"/>
          <w:b/>
          <w:highlight w:val="none"/>
        </w:rPr>
        <w:t>1</w:t>
      </w:r>
      <w:r>
        <w:rPr>
          <w:rFonts w:ascii="Times New Roman" w:hAnsi="Times New Roman" w:cs="Times New Roman"/>
          <w:b/>
          <w:highlight w:val="none"/>
        </w:rPr>
        <w:t>.</w:t>
      </w:r>
      <w:r>
        <w:rPr>
          <w:rFonts w:ascii="Times New Roman" w:hAnsi="Times New Roman" w:cs="Times New Roman"/>
          <w:highlight w:val="none"/>
        </w:rPr>
        <w:t xml:space="preserve"> </w:t>
      </w:r>
      <w:r>
        <w:rPr>
          <w:rFonts w:hint="eastAsia" w:ascii="Times New Roman" w:hAnsi="Times New Roman" w:cs="Times New Roman"/>
          <w:highlight w:val="none"/>
        </w:rPr>
        <w:t>E</w:t>
      </w:r>
      <w:r>
        <w:rPr>
          <w:rFonts w:hint="default" w:ascii="Times New Roman" w:hAnsi="Times New Roman" w:cs="Times New Roman"/>
          <w:highlight w:val="none"/>
        </w:rPr>
        <w:t>ncapsulation efficiency and drug loading content of nanovaccines</w:t>
      </w:r>
    </w:p>
    <w:tbl>
      <w:tblPr>
        <w:tblStyle w:val="8"/>
        <w:tblpPr w:leftFromText="180" w:rightFromText="180" w:vertAnchor="text" w:horzAnchor="page" w:tblpX="1922" w:tblpY="108"/>
        <w:tblOverlap w:val="never"/>
        <w:tblW w:w="7980"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99"/>
        <w:gridCol w:w="3981"/>
      </w:tblGrid>
      <w:tr w14:paraId="4B1229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78" w:hRule="atLeast"/>
        </w:trPr>
        <w:tc>
          <w:tcPr>
            <w:tcW w:w="3999" w:type="dxa"/>
            <w:vAlign w:val="top"/>
          </w:tcPr>
          <w:p w14:paraId="61310A04">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cs="Times New Roman" w:eastAsiaTheme="minorEastAsia"/>
                <w:highlight w:val="none"/>
              </w:rPr>
            </w:pPr>
            <w:r>
              <w:rPr>
                <w:rFonts w:hint="default" w:ascii="Times New Roman" w:hAnsi="Times New Roman" w:cs="Times New Roman"/>
                <w:bCs/>
                <w:highlight w:val="none"/>
              </w:rPr>
              <w:br w:type="page"/>
            </w:r>
            <w:r>
              <w:rPr>
                <w:rFonts w:hint="eastAsia" w:ascii="Times New Roman" w:hAnsi="Times New Roman" w:cs="Times New Roman"/>
                <w:highlight w:val="none"/>
              </w:rPr>
              <w:t>E</w:t>
            </w:r>
            <w:r>
              <w:rPr>
                <w:rFonts w:ascii="Times New Roman" w:hAnsi="Times New Roman" w:cs="Times New Roman"/>
                <w:highlight w:val="none"/>
              </w:rPr>
              <w:t>ncapsulation efficiency</w:t>
            </w:r>
            <w:r>
              <w:rPr>
                <w:rFonts w:hint="eastAsia" w:ascii="Times New Roman" w:hAnsi="Times New Roman" w:cs="Times New Roman"/>
                <w:highlight w:val="none"/>
              </w:rPr>
              <w:t xml:space="preserve"> %</w:t>
            </w:r>
          </w:p>
        </w:tc>
        <w:tc>
          <w:tcPr>
            <w:tcW w:w="3981" w:type="dxa"/>
            <w:vAlign w:val="top"/>
          </w:tcPr>
          <w:p w14:paraId="5CA01DF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cs="Times New Roman" w:eastAsiaTheme="minorEastAsia"/>
                <w:highlight w:val="none"/>
              </w:rPr>
            </w:pPr>
            <w:r>
              <w:rPr>
                <w:rFonts w:hint="eastAsia" w:ascii="Times New Roman" w:hAnsi="Times New Roman" w:cs="Times New Roman"/>
                <w:highlight w:val="none"/>
              </w:rPr>
              <w:t>D</w:t>
            </w:r>
            <w:r>
              <w:rPr>
                <w:rFonts w:ascii="Times New Roman" w:hAnsi="Times New Roman" w:cs="Times New Roman"/>
                <w:highlight w:val="none"/>
              </w:rPr>
              <w:t>rug loading content</w:t>
            </w:r>
            <w:r>
              <w:rPr>
                <w:rFonts w:hint="eastAsia" w:ascii="Times New Roman" w:hAnsi="Times New Roman" w:cs="Times New Roman"/>
                <w:highlight w:val="none"/>
              </w:rPr>
              <w:t xml:space="preserve"> </w:t>
            </w:r>
            <w:r>
              <w:rPr>
                <w:rFonts w:ascii="Times New Roman" w:hAnsi="Times New Roman" w:cs="Times New Roman" w:eastAsiaTheme="minorEastAsia"/>
                <w:highlight w:val="none"/>
              </w:rPr>
              <w:t>%</w:t>
            </w:r>
          </w:p>
        </w:tc>
      </w:tr>
      <w:tr w14:paraId="6F1C7F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3999" w:type="dxa"/>
            <w:vAlign w:val="top"/>
          </w:tcPr>
          <w:p w14:paraId="3FF8036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26.69</w:t>
            </w:r>
            <w:r>
              <w:rPr>
                <w:rFonts w:ascii="Times New Roman" w:hAnsi="Times New Roman" w:cs="Times New Roman" w:eastAsiaTheme="minorEastAsia"/>
                <w:highlight w:val="none"/>
              </w:rPr>
              <w:t>%</w:t>
            </w:r>
          </w:p>
        </w:tc>
        <w:tc>
          <w:tcPr>
            <w:tcW w:w="3981" w:type="dxa"/>
            <w:vAlign w:val="top"/>
          </w:tcPr>
          <w:p w14:paraId="544706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cs="Times New Roman" w:eastAsiaTheme="minorEastAsia"/>
                <w:highlight w:val="none"/>
              </w:rPr>
            </w:pPr>
            <w:r>
              <w:rPr>
                <w:rFonts w:hint="eastAsia" w:ascii="Times New Roman" w:hAnsi="Times New Roman" w:cs="Times New Roman" w:eastAsiaTheme="minorEastAsia"/>
                <w:highlight w:val="none"/>
              </w:rPr>
              <w:t>10.63</w:t>
            </w:r>
            <w:r>
              <w:rPr>
                <w:rFonts w:ascii="Times New Roman" w:hAnsi="Times New Roman" w:cs="Times New Roman" w:eastAsiaTheme="minorEastAsia"/>
                <w:highlight w:val="none"/>
              </w:rPr>
              <w:t>%</w:t>
            </w:r>
          </w:p>
        </w:tc>
      </w:tr>
    </w:tbl>
    <w:p w14:paraId="1B525A5A">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highlight w:val="none"/>
        </w:rPr>
      </w:pPr>
    </w:p>
    <w:p w14:paraId="6CEC3430">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highlight w:val="none"/>
        </w:rPr>
      </w:pPr>
    </w:p>
    <w:p w14:paraId="36E3FFAC">
      <w:pPr>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cs="Times New Roman"/>
          <w:b/>
          <w:highlight w:val="none"/>
        </w:rPr>
      </w:pPr>
    </w:p>
    <w:p w14:paraId="7410423F">
      <w:pPr>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cs="Times New Roman"/>
          <w:highlight w:val="none"/>
        </w:rPr>
      </w:pPr>
      <w:r>
        <w:rPr>
          <w:rFonts w:ascii="Times New Roman" w:hAnsi="Times New Roman" w:cs="Times New Roman"/>
          <w:b/>
          <w:highlight w:val="none"/>
        </w:rPr>
        <w:t>T</w:t>
      </w:r>
      <w:r>
        <w:rPr>
          <w:rFonts w:hint="eastAsia" w:ascii="Times New Roman" w:hAnsi="Times New Roman" w:cs="Times New Roman"/>
          <w:b/>
          <w:highlight w:val="none"/>
        </w:rPr>
        <w:t>able</w:t>
      </w:r>
      <w:r>
        <w:rPr>
          <w:rFonts w:ascii="Times New Roman" w:hAnsi="Times New Roman" w:cs="Times New Roman"/>
          <w:b/>
          <w:highlight w:val="none"/>
        </w:rPr>
        <w:t xml:space="preserve"> S</w:t>
      </w:r>
      <w:r>
        <w:rPr>
          <w:rFonts w:hint="eastAsia" w:ascii="Times New Roman" w:hAnsi="Times New Roman" w:cs="Times New Roman"/>
          <w:b/>
          <w:highlight w:val="none"/>
        </w:rPr>
        <w:t>2</w:t>
      </w:r>
      <w:r>
        <w:rPr>
          <w:rFonts w:ascii="Times New Roman" w:hAnsi="Times New Roman" w:cs="Times New Roman"/>
          <w:b/>
          <w:highlight w:val="none"/>
        </w:rPr>
        <w:t>.</w:t>
      </w:r>
      <w:r>
        <w:rPr>
          <w:rFonts w:ascii="Times New Roman" w:hAnsi="Times New Roman" w:cs="Times New Roman"/>
          <w:highlight w:val="none"/>
        </w:rPr>
        <w:t xml:space="preserve"> The loading efficiency of drug modification to bacterial surface was determined by HPLC.</w:t>
      </w:r>
    </w:p>
    <w:tbl>
      <w:tblPr>
        <w:tblStyle w:val="8"/>
        <w:tblpPr w:leftFromText="180" w:rightFromText="180" w:vertAnchor="text" w:horzAnchor="page" w:tblpX="2306" w:tblpY="41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2"/>
        <w:gridCol w:w="300"/>
        <w:gridCol w:w="3995"/>
      </w:tblGrid>
      <w:tr w14:paraId="6073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82" w:type="dxa"/>
            <w:gridSpan w:val="2"/>
            <w:tcBorders>
              <w:top w:val="single" w:color="auto" w:sz="4" w:space="0"/>
              <w:left w:val="nil"/>
              <w:bottom w:val="nil"/>
              <w:right w:val="nil"/>
            </w:tcBorders>
            <w:vAlign w:val="top"/>
          </w:tcPr>
          <w:p w14:paraId="5C00C4D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highlight w:val="none"/>
              </w:rPr>
            </w:pPr>
            <w:r>
              <w:rPr>
                <w:rFonts w:ascii="Times New Roman" w:hAnsi="Times New Roman" w:cs="Times New Roman"/>
                <w:highlight w:val="none"/>
              </w:rPr>
              <w:t>αOX40 LE%</w:t>
            </w:r>
          </w:p>
        </w:tc>
        <w:tc>
          <w:tcPr>
            <w:tcW w:w="3995" w:type="dxa"/>
            <w:tcBorders>
              <w:top w:val="single" w:color="auto" w:sz="4" w:space="0"/>
              <w:left w:val="nil"/>
              <w:bottom w:val="nil"/>
              <w:right w:val="nil"/>
            </w:tcBorders>
            <w:vAlign w:val="top"/>
          </w:tcPr>
          <w:p w14:paraId="0B898E3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highlight w:val="none"/>
              </w:rPr>
            </w:pPr>
            <w:r>
              <w:rPr>
                <w:rFonts w:hint="eastAsia" w:ascii="Times New Roman" w:hAnsi="Times New Roman" w:cs="Times New Roman"/>
                <w:highlight w:val="none"/>
              </w:rPr>
              <w:t>R</w:t>
            </w:r>
            <w:r>
              <w:rPr>
                <w:rFonts w:ascii="Times New Roman" w:hAnsi="Times New Roman" w:cs="Times New Roman"/>
                <w:highlight w:val="none"/>
              </w:rPr>
              <w:t>848 LE%</w:t>
            </w:r>
          </w:p>
        </w:tc>
      </w:tr>
      <w:tr w14:paraId="4844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left w:val="nil"/>
              <w:bottom w:val="single" w:color="auto" w:sz="4" w:space="0"/>
              <w:right w:val="nil"/>
            </w:tcBorders>
            <w:vAlign w:val="top"/>
          </w:tcPr>
          <w:p w14:paraId="13BDDB1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highlight w:val="none"/>
              </w:rPr>
            </w:pPr>
            <w:r>
              <w:rPr>
                <w:rFonts w:ascii="Times New Roman" w:hAnsi="Times New Roman" w:cs="Times New Roman"/>
                <w:highlight w:val="none"/>
              </w:rPr>
              <w:t>28.60%</w:t>
            </w:r>
          </w:p>
        </w:tc>
        <w:tc>
          <w:tcPr>
            <w:tcW w:w="4295" w:type="dxa"/>
            <w:gridSpan w:val="2"/>
            <w:tcBorders>
              <w:top w:val="nil"/>
              <w:left w:val="nil"/>
              <w:bottom w:val="single" w:color="auto" w:sz="4" w:space="0"/>
              <w:right w:val="nil"/>
            </w:tcBorders>
            <w:vAlign w:val="top"/>
          </w:tcPr>
          <w:p w14:paraId="4ADC01C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highlight w:val="none"/>
              </w:rPr>
            </w:pPr>
            <w:r>
              <w:rPr>
                <w:rFonts w:hint="eastAsia" w:ascii="Times New Roman" w:hAnsi="Times New Roman" w:cs="Times New Roman"/>
                <w:highlight w:val="none"/>
              </w:rPr>
              <w:t>37.80</w:t>
            </w:r>
            <w:r>
              <w:rPr>
                <w:rFonts w:ascii="Times New Roman" w:hAnsi="Times New Roman" w:cs="Times New Roman"/>
                <w:highlight w:val="none"/>
              </w:rPr>
              <w:t>%</w:t>
            </w:r>
          </w:p>
        </w:tc>
      </w:tr>
    </w:tbl>
    <w:p w14:paraId="0FE9ED35">
      <w:pPr>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cs="Times New Roman"/>
          <w:highlight w:val="none"/>
        </w:rPr>
      </w:pPr>
    </w:p>
    <w:p w14:paraId="3FB89F6D">
      <w:pPr>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cs="Times New Roman"/>
          <w:highlight w:val="none"/>
        </w:rPr>
      </w:pPr>
    </w:p>
    <w:p w14:paraId="4E274EE8">
      <w:pPr>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cs="Times New Roman"/>
          <w:highlight w:val="none"/>
        </w:rPr>
      </w:pPr>
    </w:p>
    <w:p w14:paraId="12C78465">
      <w:pPr>
        <w:keepNext w:val="0"/>
        <w:keepLines w:val="0"/>
        <w:pageBreakBefore w:val="0"/>
        <w:widowControl w:val="0"/>
        <w:kinsoku/>
        <w:wordWrap/>
        <w:overflowPunct/>
        <w:topLinePunct w:val="0"/>
        <w:autoSpaceDE/>
        <w:autoSpaceDN/>
        <w:bidi w:val="0"/>
        <w:adjustRightInd/>
        <w:snapToGrid/>
        <w:ind w:firstLine="0" w:firstLineChars="0"/>
        <w:textAlignment w:val="auto"/>
        <w:rPr>
          <w:rFonts w:ascii="Times New Roman" w:hAnsi="Times New Roman" w:cs="Times New Roman"/>
          <w:highlight w:val="none"/>
        </w:rPr>
      </w:pPr>
    </w:p>
    <w:p w14:paraId="1BD1AB17">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eastAsia="宋体" w:cs="Times New Roman"/>
          <w:highlight w:val="none"/>
          <w:lang w:val="en-US" w:eastAsia="zh-CN"/>
        </w:rPr>
      </w:pPr>
      <w:r>
        <w:rPr>
          <w:rFonts w:ascii="Times New Roman" w:hAnsi="Times New Roman" w:cs="Times New Roman"/>
          <w:b/>
          <w:highlight w:val="none"/>
        </w:rPr>
        <w:t>T</w:t>
      </w:r>
      <w:r>
        <w:rPr>
          <w:rFonts w:hint="eastAsia" w:ascii="Times New Roman" w:hAnsi="Times New Roman" w:cs="Times New Roman"/>
          <w:b/>
          <w:highlight w:val="none"/>
        </w:rPr>
        <w:t>able</w:t>
      </w:r>
      <w:r>
        <w:rPr>
          <w:rFonts w:ascii="Times New Roman" w:hAnsi="Times New Roman" w:cs="Times New Roman"/>
          <w:b/>
          <w:highlight w:val="none"/>
        </w:rPr>
        <w:t xml:space="preserve"> S</w:t>
      </w:r>
      <w:r>
        <w:rPr>
          <w:rFonts w:hint="eastAsia" w:ascii="Times New Roman" w:hAnsi="Times New Roman" w:cs="Times New Roman"/>
          <w:b/>
          <w:highlight w:val="none"/>
          <w:lang w:val="en-US" w:eastAsia="zh-CN"/>
        </w:rPr>
        <w:t xml:space="preserve">3. </w:t>
      </w:r>
      <w:r>
        <w:rPr>
          <w:rFonts w:ascii="Times New Roman" w:hAnsi="Times New Roman" w:eastAsia="Segoe UI Emoji" w:cs="Times New Roman"/>
          <w:i w:val="0"/>
          <w:iCs w:val="0"/>
          <w:caps w:val="0"/>
          <w:color w:val="000000"/>
          <w:spacing w:val="0"/>
          <w:sz w:val="24"/>
          <w:szCs w:val="24"/>
          <w:highlight w:val="none"/>
        </w:rPr>
        <w:t>Characterization of the neoantigen nanoparticle DSPE-</w:t>
      </w:r>
      <w:r>
        <w:rPr>
          <w:rFonts w:hint="default" w:ascii="Times New Roman" w:hAnsi="Times New Roman" w:eastAsia="宋体" w:cs="Times New Roman"/>
          <w:i w:val="0"/>
          <w:iCs w:val="0"/>
          <w:caps w:val="0"/>
          <w:color w:val="000000"/>
          <w:spacing w:val="0"/>
          <w:sz w:val="24"/>
          <w:szCs w:val="24"/>
          <w:highlight w:val="none"/>
          <w:lang w:val="en-US" w:eastAsia="zh-CN"/>
        </w:rPr>
        <w:t>PEG</w:t>
      </w:r>
      <w:r>
        <w:rPr>
          <w:rFonts w:hint="default" w:ascii="Times New Roman" w:hAnsi="Times New Roman" w:eastAsia="宋体" w:cs="Times New Roman"/>
          <w:i w:val="0"/>
          <w:iCs w:val="0"/>
          <w:caps w:val="0"/>
          <w:color w:val="000000"/>
          <w:spacing w:val="0"/>
          <w:sz w:val="24"/>
          <w:szCs w:val="24"/>
          <w:highlight w:val="none"/>
          <w:vertAlign w:val="subscript"/>
          <w:lang w:val="en-US" w:eastAsia="zh-CN"/>
        </w:rPr>
        <w:t>2000</w:t>
      </w:r>
      <w:r>
        <w:rPr>
          <w:rFonts w:hint="default" w:ascii="Times New Roman" w:hAnsi="Times New Roman" w:eastAsia="宋体" w:cs="Times New Roman"/>
          <w:i w:val="0"/>
          <w:iCs w:val="0"/>
          <w:caps w:val="0"/>
          <w:color w:val="000000"/>
          <w:spacing w:val="0"/>
          <w:sz w:val="24"/>
          <w:szCs w:val="24"/>
          <w:highlight w:val="none"/>
          <w:lang w:val="en-US" w:eastAsia="zh-CN"/>
        </w:rPr>
        <w:t>-</w:t>
      </w:r>
      <w:r>
        <w:rPr>
          <w:rFonts w:ascii="Times New Roman" w:hAnsi="Times New Roman" w:eastAsia="Segoe UI Emoji" w:cs="Times New Roman"/>
          <w:i w:val="0"/>
          <w:iCs w:val="0"/>
          <w:caps w:val="0"/>
          <w:color w:val="000000"/>
          <w:spacing w:val="0"/>
          <w:sz w:val="24"/>
          <w:szCs w:val="24"/>
          <w:highlight w:val="none"/>
        </w:rPr>
        <w:t>ME2</w:t>
      </w:r>
    </w:p>
    <w:tbl>
      <w:tblPr>
        <w:tblStyle w:val="8"/>
        <w:tblpPr w:leftFromText="180" w:rightFromText="180" w:vertAnchor="text" w:horzAnchor="page" w:tblpX="1334" w:tblpY="19"/>
        <w:tblOverlap w:val="never"/>
        <w:tblW w:w="987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90"/>
        <w:gridCol w:w="1120"/>
        <w:gridCol w:w="2897"/>
        <w:gridCol w:w="2443"/>
        <w:gridCol w:w="1920"/>
      </w:tblGrid>
      <w:tr w14:paraId="4A7034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7" w:hRule="atLeast"/>
        </w:trPr>
        <w:tc>
          <w:tcPr>
            <w:tcW w:w="1490" w:type="dxa"/>
            <w:tcBorders>
              <w:top w:val="single" w:color="auto" w:sz="4" w:space="0"/>
              <w:left w:val="nil"/>
              <w:bottom w:val="single" w:color="auto" w:sz="4" w:space="0"/>
              <w:right w:val="nil"/>
            </w:tcBorders>
          </w:tcPr>
          <w:p w14:paraId="1C4C78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sz w:val="21"/>
                <w:szCs w:val="21"/>
                <w:highlight w:val="none"/>
              </w:rPr>
            </w:pPr>
            <w:r>
              <w:rPr>
                <w:rFonts w:hint="eastAsia" w:ascii="Times New Roman" w:hAnsi="Times New Roman" w:cs="Times New Roman"/>
                <w:sz w:val="21"/>
                <w:szCs w:val="21"/>
                <w:highlight w:val="none"/>
                <w:lang w:val="en-US" w:eastAsia="zh-CN"/>
              </w:rPr>
              <w:t>Size (</w:t>
            </w:r>
            <w:r>
              <w:rPr>
                <w:rFonts w:ascii="Times New Roman" w:hAnsi="Times New Roman" w:cs="Times New Roman"/>
                <w:sz w:val="21"/>
                <w:szCs w:val="21"/>
                <w:highlight w:val="none"/>
              </w:rPr>
              <w:t>nm</w:t>
            </w:r>
            <w:r>
              <w:rPr>
                <w:rFonts w:hint="eastAsia" w:ascii="Times New Roman" w:hAnsi="Times New Roman" w:cs="Times New Roman"/>
                <w:sz w:val="21"/>
                <w:szCs w:val="21"/>
                <w:highlight w:val="none"/>
                <w:lang w:val="en-US" w:eastAsia="zh-CN"/>
              </w:rPr>
              <w:t>)</w:t>
            </w:r>
          </w:p>
        </w:tc>
        <w:tc>
          <w:tcPr>
            <w:tcW w:w="1120" w:type="dxa"/>
            <w:tcBorders>
              <w:top w:val="single" w:color="auto" w:sz="4" w:space="0"/>
              <w:left w:val="nil"/>
              <w:bottom w:val="single" w:color="auto" w:sz="4" w:space="0"/>
              <w:right w:val="nil"/>
            </w:tcBorders>
          </w:tcPr>
          <w:p w14:paraId="7F02709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PDI</w:t>
            </w:r>
          </w:p>
        </w:tc>
        <w:tc>
          <w:tcPr>
            <w:tcW w:w="2897" w:type="dxa"/>
            <w:tcBorders>
              <w:top w:val="single" w:color="auto" w:sz="4" w:space="0"/>
              <w:left w:val="nil"/>
              <w:bottom w:val="single" w:color="auto" w:sz="4" w:space="0"/>
              <w:right w:val="nil"/>
            </w:tcBorders>
          </w:tcPr>
          <w:p w14:paraId="244A0C4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sz w:val="21"/>
                <w:szCs w:val="21"/>
                <w:highlight w:val="none"/>
              </w:rPr>
            </w:pPr>
            <w:r>
              <w:rPr>
                <w:rFonts w:hint="eastAsia" w:ascii="Times New Roman" w:hAnsi="Times New Roman" w:cs="Times New Roman"/>
                <w:sz w:val="21"/>
                <w:szCs w:val="21"/>
                <w:highlight w:val="none"/>
                <w:lang w:val="en-US" w:eastAsia="zh-CN"/>
              </w:rPr>
              <w:t>Encapsulation efficiency (%)</w:t>
            </w:r>
          </w:p>
        </w:tc>
        <w:tc>
          <w:tcPr>
            <w:tcW w:w="2443" w:type="dxa"/>
            <w:tcBorders>
              <w:top w:val="single" w:color="auto" w:sz="4" w:space="0"/>
              <w:left w:val="nil"/>
              <w:bottom w:val="single" w:color="auto" w:sz="4" w:space="0"/>
              <w:right w:val="nil"/>
            </w:tcBorders>
          </w:tcPr>
          <w:p w14:paraId="07C3040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sz w:val="21"/>
                <w:szCs w:val="21"/>
                <w:highlight w:val="none"/>
              </w:rPr>
            </w:pPr>
            <w:r>
              <w:rPr>
                <w:rFonts w:hint="eastAsia" w:ascii="Times New Roman" w:hAnsi="Times New Roman" w:cs="Times New Roman"/>
                <w:sz w:val="21"/>
                <w:szCs w:val="21"/>
                <w:highlight w:val="none"/>
                <w:lang w:val="en-US" w:eastAsia="zh-CN"/>
              </w:rPr>
              <w:t>Drug loading content (%)</w:t>
            </w:r>
          </w:p>
        </w:tc>
        <w:tc>
          <w:tcPr>
            <w:tcW w:w="1920" w:type="dxa"/>
            <w:tcBorders>
              <w:top w:val="single" w:color="auto" w:sz="4" w:space="0"/>
              <w:left w:val="nil"/>
              <w:bottom w:val="single" w:color="auto" w:sz="4" w:space="0"/>
              <w:right w:val="nil"/>
            </w:tcBorders>
          </w:tcPr>
          <w:p w14:paraId="566B25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sz w:val="21"/>
                <w:szCs w:val="21"/>
                <w:highlight w:val="none"/>
              </w:rPr>
            </w:pPr>
            <w:r>
              <w:rPr>
                <w:rFonts w:ascii="Times New Roman" w:hAnsi="Times New Roman" w:cs="Times New Roman"/>
                <w:sz w:val="21"/>
                <w:szCs w:val="21"/>
                <w:highlight w:val="none"/>
              </w:rPr>
              <w:t>Zeta</w:t>
            </w:r>
            <w:r>
              <w:rPr>
                <w:rFonts w:hint="eastAsia" w:ascii="Times New Roman" w:hAnsi="Times New Roman" w:cs="Times New Roman"/>
                <w:sz w:val="21"/>
                <w:szCs w:val="21"/>
                <w:highlight w:val="none"/>
                <w:lang w:val="en-US" w:eastAsia="zh-CN"/>
              </w:rPr>
              <w:t xml:space="preserve"> potential</w:t>
            </w:r>
            <w:r>
              <w:rPr>
                <w:rFonts w:ascii="Times New Roman" w:hAnsi="Times New Roman" w:cs="Times New Roman"/>
                <w:sz w:val="21"/>
                <w:szCs w:val="21"/>
                <w:highlight w:val="none"/>
              </w:rPr>
              <w:t>(mV)</w:t>
            </w:r>
          </w:p>
        </w:tc>
      </w:tr>
      <w:tr w14:paraId="24F741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490" w:type="dxa"/>
            <w:tcBorders>
              <w:top w:val="single" w:color="auto" w:sz="4" w:space="0"/>
              <w:left w:val="nil"/>
              <w:bottom w:val="single" w:color="auto" w:sz="4" w:space="0"/>
              <w:right w:val="nil"/>
            </w:tcBorders>
          </w:tcPr>
          <w:p w14:paraId="4ACDC0E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sz w:val="21"/>
                <w:szCs w:val="21"/>
                <w:highlight w:val="none"/>
                <w:lang w:val="en-US" w:eastAsia="zh-CN"/>
              </w:rPr>
            </w:pPr>
            <w:r>
              <w:rPr>
                <w:rFonts w:hint="eastAsia" w:ascii="Times New Roman" w:hAnsi="Times New Roman" w:cs="Times New Roman"/>
                <w:sz w:val="21"/>
                <w:szCs w:val="21"/>
                <w:highlight w:val="none"/>
                <w:lang w:val="en-US" w:eastAsia="zh-CN"/>
              </w:rPr>
              <w:t>41.13</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44</w:t>
            </w:r>
          </w:p>
        </w:tc>
        <w:tc>
          <w:tcPr>
            <w:tcW w:w="1120" w:type="dxa"/>
            <w:tcBorders>
              <w:top w:val="single" w:color="auto" w:sz="4" w:space="0"/>
              <w:left w:val="nil"/>
              <w:bottom w:val="single" w:color="auto" w:sz="4" w:space="0"/>
              <w:right w:val="nil"/>
            </w:tcBorders>
          </w:tcPr>
          <w:p w14:paraId="5B8D12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sz w:val="21"/>
                <w:szCs w:val="21"/>
                <w:highlight w:val="none"/>
                <w:lang w:val="en-US" w:eastAsia="zh-CN"/>
              </w:rPr>
            </w:pPr>
            <w:r>
              <w:rPr>
                <w:rFonts w:hint="eastAsia" w:ascii="Times New Roman" w:hAnsi="Times New Roman" w:cs="Times New Roman"/>
                <w:sz w:val="21"/>
                <w:szCs w:val="21"/>
                <w:highlight w:val="none"/>
                <w:lang w:val="en-US" w:eastAsia="zh-CN"/>
              </w:rPr>
              <w:t>0.29</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4</w:t>
            </w:r>
          </w:p>
        </w:tc>
        <w:tc>
          <w:tcPr>
            <w:tcW w:w="2897" w:type="dxa"/>
            <w:tcBorders>
              <w:top w:val="single" w:color="auto" w:sz="4" w:space="0"/>
              <w:left w:val="nil"/>
              <w:bottom w:val="single" w:color="auto" w:sz="4" w:space="0"/>
              <w:right w:val="nil"/>
            </w:tcBorders>
          </w:tcPr>
          <w:p w14:paraId="6AC307E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sz w:val="21"/>
                <w:szCs w:val="21"/>
                <w:highlight w:val="none"/>
              </w:rPr>
            </w:pPr>
            <w:r>
              <w:rPr>
                <w:rFonts w:ascii="Times New Roman" w:hAnsi="Times New Roman" w:cs="Times New Roman"/>
                <w:sz w:val="21"/>
                <w:szCs w:val="21"/>
                <w:highlight w:val="none"/>
              </w:rPr>
              <w:t>26.69</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2.86</w:t>
            </w:r>
          </w:p>
        </w:tc>
        <w:tc>
          <w:tcPr>
            <w:tcW w:w="2443" w:type="dxa"/>
            <w:tcBorders>
              <w:top w:val="single" w:color="auto" w:sz="4" w:space="0"/>
              <w:left w:val="nil"/>
              <w:bottom w:val="single" w:color="auto" w:sz="4" w:space="0"/>
              <w:right w:val="nil"/>
            </w:tcBorders>
          </w:tcPr>
          <w:p w14:paraId="050ACED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cs="Times New Roman"/>
                <w:sz w:val="21"/>
                <w:szCs w:val="21"/>
                <w:highlight w:val="none"/>
              </w:rPr>
            </w:pPr>
            <w:r>
              <w:rPr>
                <w:rFonts w:hint="eastAsia" w:ascii="Times New Roman" w:hAnsi="Times New Roman" w:cs="Times New Roman"/>
                <w:sz w:val="21"/>
                <w:szCs w:val="21"/>
                <w:highlight w:val="none"/>
              </w:rPr>
              <w:t>1</w:t>
            </w:r>
            <w:r>
              <w:rPr>
                <w:rFonts w:ascii="Times New Roman" w:hAnsi="Times New Roman" w:cs="Times New Roman"/>
                <w:sz w:val="21"/>
                <w:szCs w:val="21"/>
                <w:highlight w:val="none"/>
              </w:rPr>
              <w:t>0.63</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2.20</w:t>
            </w:r>
          </w:p>
        </w:tc>
        <w:tc>
          <w:tcPr>
            <w:tcW w:w="1920" w:type="dxa"/>
            <w:tcBorders>
              <w:top w:val="single" w:color="auto" w:sz="4" w:space="0"/>
              <w:left w:val="nil"/>
              <w:bottom w:val="single" w:color="auto" w:sz="4" w:space="0"/>
              <w:right w:val="nil"/>
            </w:tcBorders>
          </w:tcPr>
          <w:p w14:paraId="7CCABA4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sz w:val="21"/>
                <w:szCs w:val="21"/>
                <w:highlight w:val="none"/>
                <w:lang w:val="en-US" w:eastAsia="zh-CN"/>
              </w:rPr>
            </w:pPr>
            <w:r>
              <w:rPr>
                <w:rFonts w:ascii="Times New Roman" w:hAnsi="Times New Roman" w:cs="Times New Roman"/>
                <w:sz w:val="21"/>
                <w:szCs w:val="21"/>
                <w:highlight w:val="none"/>
              </w:rPr>
              <w:t>-</w:t>
            </w:r>
            <w:r>
              <w:rPr>
                <w:rFonts w:hint="eastAsia" w:ascii="Times New Roman" w:hAnsi="Times New Roman" w:cs="Times New Roman"/>
                <w:sz w:val="21"/>
                <w:szCs w:val="21"/>
                <w:highlight w:val="none"/>
                <w:lang w:val="en-US" w:eastAsia="zh-CN"/>
              </w:rPr>
              <w:t>19.03</w:t>
            </w:r>
            <w:r>
              <w:rPr>
                <w:rFonts w:hint="eastAsia" w:ascii="Times New Roman" w:hAnsi="Times New Roman" w:cs="Times New Roman"/>
                <w:sz w:val="21"/>
                <w:szCs w:val="21"/>
                <w:highlight w:val="none"/>
              </w:rPr>
              <w:t xml:space="preserve"> </w:t>
            </w:r>
            <w:r>
              <w:rPr>
                <w:rFonts w:ascii="Times New Roman" w:hAnsi="Times New Roman" w:cs="Times New Roman"/>
                <w:sz w:val="21"/>
                <w:szCs w:val="21"/>
                <w:highlight w:val="none"/>
              </w:rPr>
              <w:t>±</w:t>
            </w:r>
            <w:r>
              <w:rPr>
                <w:rFonts w:hint="eastAsia" w:ascii="Times New Roman" w:hAnsi="Times New Roman" w:cs="Times New Roman"/>
                <w:sz w:val="21"/>
                <w:szCs w:val="21"/>
                <w:highlight w:val="none"/>
              </w:rPr>
              <w:t xml:space="preserve"> </w:t>
            </w:r>
            <w:r>
              <w:rPr>
                <w:rFonts w:hint="eastAsia" w:ascii="Times New Roman" w:hAnsi="Times New Roman" w:cs="Times New Roman"/>
                <w:sz w:val="21"/>
                <w:szCs w:val="21"/>
                <w:highlight w:val="none"/>
                <w:lang w:val="en-US" w:eastAsia="zh-CN"/>
              </w:rPr>
              <w:t>0.5</w:t>
            </w:r>
          </w:p>
        </w:tc>
      </w:tr>
    </w:tbl>
    <w:p w14:paraId="2CAFDA6A">
      <w:pPr>
        <w:spacing w:after="468" w:afterLines="150"/>
        <w:ind w:firstLine="0" w:firstLineChars="0"/>
        <w:rPr>
          <w:rFonts w:ascii="Times New Roman" w:hAnsi="Times New Roman" w:cs="Times New Roman"/>
          <w:highlight w:val="none"/>
        </w:rPr>
      </w:pPr>
    </w:p>
    <w:p w14:paraId="0D76348E">
      <w:pPr>
        <w:spacing w:after="468" w:afterLines="150"/>
        <w:ind w:firstLine="0" w:firstLineChars="0"/>
        <w:rPr>
          <w:rFonts w:ascii="Times New Roman" w:hAnsi="Times New Roman" w:cs="Times New Roman"/>
          <w:highlight w:val="none"/>
        </w:rPr>
      </w:pPr>
    </w:p>
    <w:p w14:paraId="52BC4BC8">
      <w:pPr>
        <w:spacing w:after="468" w:afterLines="150" w:line="360" w:lineRule="auto"/>
        <w:ind w:firstLine="0" w:firstLineChars="0"/>
        <w:rPr>
          <w:rFonts w:hint="default" w:ascii="Times New Roman" w:hAnsi="Times New Roman" w:cs="Times New Roman"/>
          <w:bCs/>
          <w:highlight w:val="none"/>
        </w:rPr>
        <w:sectPr>
          <w:footerReference r:id="rId5" w:type="default"/>
          <w:pgSz w:w="11906" w:h="16838"/>
          <w:pgMar w:top="1134" w:right="1134" w:bottom="1134" w:left="1134" w:header="851" w:footer="992" w:gutter="0"/>
          <w:pgNumType w:fmt="decimal"/>
          <w:cols w:space="425" w:num="1"/>
          <w:docGrid w:type="lines" w:linePitch="312" w:charSpace="0"/>
        </w:sectPr>
      </w:pPr>
    </w:p>
    <w:p w14:paraId="12D93600">
      <w:pPr>
        <w:spacing w:after="468" w:afterLines="150" w:line="360" w:lineRule="auto"/>
        <w:ind w:firstLine="0" w:firstLineChars="0"/>
        <w:rPr>
          <w:rFonts w:hint="eastAsia" w:eastAsia="宋体"/>
          <w:highlight w:val="none"/>
          <w:lang w:eastAsia="zh-CN"/>
        </w:rPr>
      </w:pPr>
      <w:r>
        <w:rPr>
          <w:rFonts w:hint="eastAsia" w:ascii="Times New Roman" w:hAnsi="Times New Roman" w:eastAsia="宋体" w:cs="Times New Roman"/>
          <w:color w:val="000000"/>
          <w:highlight w:val="none"/>
          <w:lang w:eastAsia="zh-CN"/>
        </w:rPr>
        <w:drawing>
          <wp:inline distT="0" distB="0" distL="114300" distR="114300">
            <wp:extent cx="6114415" cy="4726940"/>
            <wp:effectExtent l="0" t="0" r="12065" b="12700"/>
            <wp:docPr id="21" name="图片 21" descr="S.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Figure7"/>
                    <pic:cNvPicPr>
                      <a:picLocks noChangeAspect="1"/>
                    </pic:cNvPicPr>
                  </pic:nvPicPr>
                  <pic:blipFill>
                    <a:blip r:embed="rId7"/>
                    <a:stretch>
                      <a:fillRect/>
                    </a:stretch>
                  </pic:blipFill>
                  <pic:spPr>
                    <a:xfrm>
                      <a:off x="0" y="0"/>
                      <a:ext cx="6114415" cy="4726940"/>
                    </a:xfrm>
                    <a:prstGeom prst="rect">
                      <a:avLst/>
                    </a:prstGeom>
                  </pic:spPr>
                </pic:pic>
              </a:graphicData>
            </a:graphic>
          </wp:inline>
        </w:drawing>
      </w:r>
    </w:p>
    <w:p w14:paraId="02DACC6E">
      <w:pPr>
        <w:spacing w:after="468" w:afterLines="150" w:line="360" w:lineRule="auto"/>
        <w:ind w:firstLine="0" w:firstLineChars="0"/>
        <w:rPr>
          <w:rFonts w:hint="default" w:ascii="Times New Roman" w:hAnsi="Times New Roman" w:cs="Times New Roman"/>
          <w:highlight w:val="none"/>
        </w:rPr>
      </w:pPr>
      <w:r>
        <w:rPr>
          <w:rFonts w:hint="default" w:ascii="Times New Roman" w:hAnsi="Times New Roman" w:cs="Times New Roman"/>
          <w:b/>
          <w:highlight w:val="none"/>
        </w:rPr>
        <w:t>Fig. S</w:t>
      </w:r>
      <w:r>
        <w:rPr>
          <w:rFonts w:hint="eastAsia" w:ascii="Times New Roman" w:hAnsi="Times New Roman" w:cs="Times New Roman"/>
          <w:b/>
          <w:highlight w:val="none"/>
          <w:lang w:val="en-US" w:eastAsia="zh-CN"/>
        </w:rPr>
        <w:t>1</w:t>
      </w:r>
      <w:r>
        <w:rPr>
          <w:rFonts w:hint="default" w:ascii="Times New Roman" w:hAnsi="Times New Roman" w:cs="Times New Roman"/>
          <w:b/>
          <w:highlight w:val="none"/>
        </w:rPr>
        <w:t>.</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b/>
          <w:bCs/>
          <w:sz w:val="24"/>
          <w:szCs w:val="24"/>
          <w:highlight w:val="none"/>
        </w:rPr>
        <w:t xml:space="preserve">Characterization of the nanovaccine and hydrogel formulation. </w:t>
      </w:r>
      <w:r>
        <w:rPr>
          <w:rFonts w:hint="default" w:ascii="Times New Roman" w:hAnsi="Times New Roman" w:eastAsia="宋体" w:cs="Times New Roman"/>
          <w:sz w:val="24"/>
          <w:szCs w:val="24"/>
          <w:highlight w:val="none"/>
        </w:rPr>
        <w:t>(A) Hydrodynamic diameter distribution of the nanovaccine measured by dynamic light scattering (DLS). Data are presented as mean ± SEM (n = 3). (B)</w:t>
      </w:r>
      <w:r>
        <w:rPr>
          <w:rFonts w:hint="eastAsia" w:ascii="Times New Roman" w:hAnsi="Times New Roman"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In vitro cumulative release profiles of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 xml:space="preserve">-ME2 and V@OR from 20% (w/v) P407 hydrogel. Data are presented as mean ± SEM (n = 3). (C) </w:t>
      </w:r>
      <w:r>
        <w:rPr>
          <w:rFonts w:hint="default" w:ascii="Times New Roman" w:hAnsi="Times New Roman" w:eastAsia="宋体" w:cs="Times New Roman"/>
          <w:sz w:val="24"/>
          <w:szCs w:val="24"/>
          <w:highlight w:val="none"/>
          <w:vertAlign w:val="superscript"/>
        </w:rPr>
        <w:t>1</w:t>
      </w:r>
      <w:r>
        <w:rPr>
          <w:rFonts w:hint="default" w:ascii="Times New Roman" w:hAnsi="Times New Roman" w:eastAsia="宋体" w:cs="Times New Roman"/>
          <w:sz w:val="24"/>
          <w:szCs w:val="24"/>
          <w:highlight w:val="none"/>
        </w:rPr>
        <w:t>H NMR spectra of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-NHS,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-M27, and the M27 peptide, confirming the successful conjugation of the neoantigen peptide to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 (D) Representative flow cytometry analyses of Cy5.5-labeled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-M27 and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-ME2 nanovaccines.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-M27-Cy5.5 and DSPE-PEG</w:t>
      </w:r>
      <w:r>
        <w:rPr>
          <w:rFonts w:hint="eastAsia" w:ascii="Times New Roman" w:hAnsi="Times New Roman" w:cs="Times New Roman"/>
          <w:sz w:val="24"/>
          <w:szCs w:val="24"/>
          <w:highlight w:val="none"/>
          <w:vertAlign w:val="subscript"/>
          <w:lang w:eastAsia="zh-CN"/>
        </w:rPr>
        <w:t>2000</w:t>
      </w:r>
      <w:r>
        <w:rPr>
          <w:rFonts w:hint="default" w:ascii="Times New Roman" w:hAnsi="Times New Roman" w:eastAsia="宋体" w:cs="Times New Roman"/>
          <w:sz w:val="24"/>
          <w:szCs w:val="24"/>
          <w:highlight w:val="none"/>
        </w:rPr>
        <w:t xml:space="preserve">-ME2-Cy5.5 exhibited </w:t>
      </w:r>
      <w:r>
        <w:rPr>
          <w:rFonts w:hint="eastAsia" w:ascii="Times New Roman" w:hAnsi="Times New Roman" w:cs="Times New Roman"/>
          <w:sz w:val="24"/>
          <w:szCs w:val="24"/>
          <w:highlight w:val="none"/>
          <w:lang w:val="en-US" w:eastAsia="zh-CN"/>
        </w:rPr>
        <w:t>85.8</w:t>
      </w:r>
      <w:r>
        <w:rPr>
          <w:rFonts w:hint="default" w:ascii="Times New Roman" w:hAnsi="Times New Roman" w:eastAsia="宋体" w:cs="Times New Roman"/>
          <w:sz w:val="24"/>
          <w:szCs w:val="24"/>
          <w:highlight w:val="none"/>
        </w:rPr>
        <w:t xml:space="preserve">% and </w:t>
      </w:r>
      <w:r>
        <w:rPr>
          <w:rFonts w:hint="eastAsia" w:ascii="Times New Roman" w:hAnsi="Times New Roman" w:cs="Times New Roman"/>
          <w:sz w:val="24"/>
          <w:szCs w:val="24"/>
          <w:highlight w:val="none"/>
          <w:lang w:val="en-US" w:eastAsia="zh-CN"/>
        </w:rPr>
        <w:t>81.9</w:t>
      </w:r>
      <w:r>
        <w:rPr>
          <w:rFonts w:hint="default" w:ascii="Times New Roman" w:hAnsi="Times New Roman" w:eastAsia="宋体" w:cs="Times New Roman"/>
          <w:sz w:val="24"/>
          <w:szCs w:val="24"/>
          <w:highlight w:val="none"/>
        </w:rPr>
        <w:t>% fluorescence-positive populations, respectively, which were markedly higher than those of the corresponding unlabeled controls, further confirming the successful conjugation and stable incorporation of both neoantigen peptides into the nanovaccine formulation.</w:t>
      </w:r>
    </w:p>
    <w:p w14:paraId="0D14F6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drawing>
          <wp:inline distT="0" distB="0" distL="114300" distR="114300">
            <wp:extent cx="6114415" cy="5574665"/>
            <wp:effectExtent l="0" t="0" r="12065" b="3175"/>
            <wp:docPr id="3" name="图片 3" descr="S.Figure1. OX40R8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Figure1. OX40R848png"/>
                    <pic:cNvPicPr>
                      <a:picLocks noChangeAspect="1"/>
                    </pic:cNvPicPr>
                  </pic:nvPicPr>
                  <pic:blipFill>
                    <a:blip r:embed="rId8"/>
                    <a:stretch>
                      <a:fillRect/>
                    </a:stretch>
                  </pic:blipFill>
                  <pic:spPr>
                    <a:xfrm>
                      <a:off x="0" y="0"/>
                      <a:ext cx="6114415" cy="5574665"/>
                    </a:xfrm>
                    <a:prstGeom prst="rect">
                      <a:avLst/>
                    </a:prstGeom>
                  </pic:spPr>
                </pic:pic>
              </a:graphicData>
            </a:graphic>
          </wp:inline>
        </w:drawing>
      </w:r>
    </w:p>
    <w:p w14:paraId="6E052066">
      <w:pPr>
        <w:ind w:firstLine="897" w:firstLineChars="374"/>
        <w:rPr>
          <w:rFonts w:hint="eastAsia"/>
          <w:highlight w:val="none"/>
          <w:lang w:val="en-US" w:eastAsia="zh-CN"/>
        </w:rPr>
      </w:pPr>
    </w:p>
    <w:p w14:paraId="7D801E5F">
      <w:pPr>
        <w:pStyle w:val="6"/>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0" w:firstLineChars="0"/>
        <w:textAlignment w:val="auto"/>
        <w:rPr>
          <w:rFonts w:hint="default" w:ascii="Times New Roman" w:hAnsi="Times New Roman" w:cs="Times New Roman"/>
          <w:highlight w:val="none"/>
        </w:rPr>
      </w:pPr>
      <w:r>
        <w:rPr>
          <w:rFonts w:hint="default" w:ascii="Times New Roman" w:hAnsi="Times New Roman" w:cs="Times New Roman"/>
          <w:b/>
          <w:highlight w:val="none"/>
        </w:rPr>
        <w:t>Fig. S</w:t>
      </w:r>
      <w:r>
        <w:rPr>
          <w:rFonts w:hint="eastAsia" w:ascii="Times New Roman" w:hAnsi="Times New Roman" w:cs="Times New Roman"/>
          <w:b/>
          <w:highlight w:val="none"/>
          <w:lang w:val="en-US" w:eastAsia="zh-CN"/>
        </w:rPr>
        <w:t>2</w:t>
      </w:r>
      <w:r>
        <w:rPr>
          <w:rFonts w:hint="default" w:ascii="Times New Roman" w:hAnsi="Times New Roman" w:cs="Times New Roman"/>
          <w:b/>
          <w:highlight w:val="none"/>
        </w:rPr>
        <w:t>.</w:t>
      </w:r>
      <w:r>
        <w:rPr>
          <w:rFonts w:hint="default" w:ascii="Times New Roman" w:hAnsi="Times New Roman" w:cs="Times New Roman"/>
          <w:b/>
          <w:bCs/>
          <w:highlight w:val="none"/>
        </w:rPr>
        <w:t xml:space="preserve"> Resiquimod upregulates OX40 expression and enables the construction of αOX40</w:t>
      </w:r>
      <w:r>
        <w:rPr>
          <w:rFonts w:hint="eastAsia" w:ascii="Times New Roman" w:hAnsi="Times New Roman" w:cs="Times New Roman"/>
          <w:b/>
          <w:bCs/>
          <w:highlight w:val="none"/>
          <w:lang w:val="en-US" w:eastAsia="zh-CN"/>
        </w:rPr>
        <w:t xml:space="preserve"> </w:t>
      </w:r>
      <w:r>
        <w:rPr>
          <w:rFonts w:hint="default" w:ascii="Times New Roman" w:hAnsi="Times New Roman" w:cs="Times New Roman"/>
          <w:b/>
          <w:bCs/>
          <w:highlight w:val="none"/>
        </w:rPr>
        <w:t>and R848</w:t>
      </w:r>
      <w:r>
        <w:rPr>
          <w:rFonts w:hint="eastAsia" w:ascii="Times New Roman" w:hAnsi="Times New Roman" w:cs="Times New Roman"/>
          <w:b/>
          <w:bCs/>
          <w:highlight w:val="none"/>
          <w:lang w:val="en-US" w:eastAsia="zh-CN"/>
        </w:rPr>
        <w:t xml:space="preserve"> </w:t>
      </w:r>
      <w:r>
        <w:rPr>
          <w:rFonts w:hint="default" w:ascii="Times New Roman" w:hAnsi="Times New Roman" w:cs="Times New Roman"/>
          <w:b/>
          <w:bCs/>
          <w:highlight w:val="none"/>
        </w:rPr>
        <w:t>engineered VNP20009.</w:t>
      </w:r>
      <w:r>
        <w:rPr>
          <w:rFonts w:hint="eastAsia" w:ascii="Times New Roman" w:hAnsi="Times New Roman" w:cs="Times New Roman"/>
          <w:b/>
          <w:bCs/>
          <w:highlight w:val="none"/>
          <w:lang w:val="en-US" w:eastAsia="zh-CN"/>
        </w:rPr>
        <w:t xml:space="preserve"> </w:t>
      </w:r>
      <w:r>
        <w:rPr>
          <w:rFonts w:hint="default" w:ascii="Times New Roman" w:hAnsi="Times New Roman" w:cs="Times New Roman"/>
          <w:b w:val="0"/>
          <w:bCs w:val="0"/>
          <w:highlight w:val="none"/>
        </w:rPr>
        <w:t xml:space="preserve">(A) Correlation analysis between TLR7 and OX40 expression in colon adenocarcinoma (COAD) using the GEPIA2 online database. </w:t>
      </w:r>
      <w:r>
        <w:rPr>
          <w:rStyle w:val="10"/>
          <w:rFonts w:hint="default" w:ascii="Times New Roman" w:hAnsi="Times New Roman" w:cs="Times New Roman"/>
          <w:b w:val="0"/>
          <w:bCs w:val="0"/>
          <w:highlight w:val="none"/>
        </w:rPr>
        <w:t>(B) Representative flow cytometry plots showing OX40 expression in tumor-infiltrating CD3⁺CD4⁺ T cells 48 h after intratumoral administration of NS or R848.</w:t>
      </w:r>
      <w:r>
        <w:rPr>
          <w:rStyle w:val="10"/>
          <w:rFonts w:hint="eastAsia" w:ascii="Times New Roman" w:hAnsi="Times New Roman" w:cs="Times New Roman"/>
          <w:b w:val="0"/>
          <w:bCs w:val="0"/>
          <w:highlight w:val="none"/>
          <w:lang w:val="en-US" w:eastAsia="zh-CN"/>
        </w:rPr>
        <w:t xml:space="preserve"> </w:t>
      </w:r>
      <w:r>
        <w:rPr>
          <w:rStyle w:val="10"/>
          <w:rFonts w:hint="default" w:ascii="Times New Roman" w:hAnsi="Times New Roman" w:cs="Times New Roman"/>
          <w:b w:val="0"/>
          <w:bCs w:val="0"/>
          <w:highlight w:val="none"/>
        </w:rPr>
        <w:t>(C) Quantitative analysis of the percentage of OX40⁺ cells within the CD3⁺CD4⁺ T</w:t>
      </w:r>
      <w:r>
        <w:rPr>
          <w:rStyle w:val="10"/>
          <w:rFonts w:hint="eastAsia" w:ascii="Times New Roman" w:hAnsi="Times New Roman" w:cs="Times New Roman"/>
          <w:b w:val="0"/>
          <w:bCs w:val="0"/>
          <w:highlight w:val="none"/>
          <w:lang w:val="en-US" w:eastAsia="zh-CN"/>
        </w:rPr>
        <w:t xml:space="preserve"> </w:t>
      </w:r>
      <w:r>
        <w:rPr>
          <w:rStyle w:val="10"/>
          <w:rFonts w:hint="default" w:ascii="Times New Roman" w:hAnsi="Times New Roman" w:cs="Times New Roman"/>
          <w:b w:val="0"/>
          <w:bCs w:val="0"/>
          <w:highlight w:val="none"/>
        </w:rPr>
        <w:t>cell population.</w:t>
      </w:r>
      <w:r>
        <w:rPr>
          <w:rFonts w:hint="default" w:ascii="Times New Roman" w:hAnsi="Times New Roman" w:cs="Times New Roman"/>
          <w:b w:val="0"/>
          <w:bCs w:val="0"/>
          <w:highlight w:val="none"/>
        </w:rPr>
        <w:t xml:space="preserve"> (D) Representative flow cytometry histograms showing αOX40 expression on unmodified VNP20009 (VNP) and αOX40-engineered VNP20009 (V@O). (E) Quantitative analysis of the mean fluorescence i</w:t>
      </w:r>
      <w:r>
        <w:rPr>
          <w:rFonts w:hint="default" w:ascii="Times New Roman" w:hAnsi="Times New Roman" w:cs="Times New Roman"/>
          <w:highlight w:val="none"/>
        </w:rPr>
        <w:t>ntensity (MFI) of αOX40 on bacterial surfaces. (F) Quantification of the percentage of αOX40-positive VNP20009 determined by flow cytometry (mean ± SEM, n = 3).</w:t>
      </w:r>
      <w:r>
        <w:rPr>
          <w:rFonts w:hint="eastAsia" w:ascii="Times New Roman" w:hAnsi="Times New Roman" w:cs="Times New Roman"/>
          <w:highlight w:val="none"/>
          <w:lang w:val="en-US" w:eastAsia="zh-CN"/>
        </w:rPr>
        <w:t xml:space="preserve"> </w:t>
      </w:r>
      <w:r>
        <w:rPr>
          <w:rFonts w:hint="default" w:ascii="Times New Roman" w:hAnsi="Times New Roman" w:cs="Times New Roman"/>
          <w:highlight w:val="none"/>
        </w:rPr>
        <w:t>(G) Representative flow cytometry plots showing αOX40-positive bacterial populations following surface engineering. (H) UV</w:t>
      </w:r>
      <w:r>
        <w:rPr>
          <w:rFonts w:hint="eastAsia" w:ascii="Times New Roman" w:hAnsi="Times New Roman" w:cs="Times New Roman"/>
          <w:highlight w:val="none"/>
          <w:lang w:val="en-US" w:eastAsia="zh-CN"/>
        </w:rPr>
        <w:t>-</w:t>
      </w:r>
      <w:r>
        <w:rPr>
          <w:rFonts w:hint="default" w:ascii="Times New Roman" w:hAnsi="Times New Roman" w:cs="Times New Roman"/>
          <w:highlight w:val="none"/>
        </w:rPr>
        <w:t>Vis absorption spectra of unmodified VNP20009 (VNP) and R848-modified VNP20009 (R848@VNP). The characteristic absorption peak at approximately 320 nm confirms the successful conjugation of R848 onto the bacterial surface. Data are presented as mean ± S</w:t>
      </w:r>
      <w:r>
        <w:rPr>
          <w:rFonts w:hint="eastAsia" w:ascii="Times New Roman" w:hAnsi="Times New Roman" w:cs="Times New Roman"/>
          <w:highlight w:val="none"/>
          <w:lang w:val="en-US" w:eastAsia="zh-CN"/>
        </w:rPr>
        <w:t>EM</w:t>
      </w:r>
      <w:r>
        <w:rPr>
          <w:rFonts w:hint="default" w:ascii="Times New Roman" w:hAnsi="Times New Roman" w:cs="Times New Roman"/>
          <w:highlight w:val="none"/>
        </w:rPr>
        <w:t xml:space="preserve"> (n = 3). Statistical significance was analyzed using an unpaired two-tailed Student’s t-test. *</w:t>
      </w:r>
      <w:r>
        <w:rPr>
          <w:rFonts w:hint="eastAsia" w:ascii="Times New Roman" w:hAnsi="Times New Roman" w:cs="Times New Roman"/>
          <w:i/>
          <w:iCs/>
          <w:highlight w:val="none"/>
          <w:lang w:eastAsia="zh-CN"/>
        </w:rPr>
        <w:t>p</w:t>
      </w:r>
      <w:r>
        <w:rPr>
          <w:rFonts w:hint="default" w:ascii="Times New Roman" w:hAnsi="Times New Roman" w:cs="Times New Roman"/>
          <w:highlight w:val="none"/>
        </w:rPr>
        <w:t xml:space="preserve"> &lt; 0.05, ***</w:t>
      </w:r>
      <w:r>
        <w:rPr>
          <w:rFonts w:hint="eastAsia" w:ascii="Times New Roman" w:hAnsi="Times New Roman" w:cs="Times New Roman"/>
          <w:i/>
          <w:iCs/>
          <w:highlight w:val="none"/>
          <w:lang w:eastAsia="zh-CN"/>
        </w:rPr>
        <w:t>p</w:t>
      </w:r>
      <w:r>
        <w:rPr>
          <w:rFonts w:hint="default" w:ascii="Times New Roman" w:hAnsi="Times New Roman" w:cs="Times New Roman"/>
          <w:highlight w:val="none"/>
        </w:rPr>
        <w:t xml:space="preserve"> &lt; 0.001, ****</w:t>
      </w:r>
      <w:r>
        <w:rPr>
          <w:rFonts w:hint="eastAsia" w:ascii="Times New Roman" w:hAnsi="Times New Roman" w:cs="Times New Roman"/>
          <w:i/>
          <w:iCs/>
          <w:highlight w:val="none"/>
          <w:lang w:eastAsia="zh-CN"/>
        </w:rPr>
        <w:t>p</w:t>
      </w:r>
      <w:r>
        <w:rPr>
          <w:rFonts w:hint="default" w:ascii="Times New Roman" w:hAnsi="Times New Roman" w:cs="Times New Roman"/>
          <w:highlight w:val="none"/>
        </w:rPr>
        <w:t xml:space="preserve"> &lt; 0.0001.</w:t>
      </w:r>
    </w:p>
    <w:p w14:paraId="4A66259B">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4786D1AF">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3C7A1962">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7DB218FF">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6604FF3E">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475D5664">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0CAD7C02">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3705D4C2">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1D2B18E2">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4F28878A">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2A132E81">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3A507364">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5297E980">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60D03AE1">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47ACB94C">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473379CE">
      <w:pPr>
        <w:pStyle w:val="6"/>
        <w:keepNext w:val="0"/>
        <w:keepLines w:val="0"/>
        <w:widowControl/>
        <w:suppressLineNumbers w:val="0"/>
        <w:spacing w:before="0" w:beforeAutospacing="1" w:after="0" w:afterAutospacing="1"/>
        <w:ind w:left="0" w:right="0"/>
        <w:rPr>
          <w:rFonts w:hint="default" w:ascii="Times New Roman" w:hAnsi="Times New Roman" w:cs="Times New Roman"/>
          <w:highlight w:val="none"/>
        </w:rPr>
      </w:pPr>
    </w:p>
    <w:p w14:paraId="622DA0C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highlight w:val="none"/>
          <w:lang w:val="en-US" w:eastAsia="zh-CN"/>
        </w:rPr>
      </w:pPr>
      <w:r>
        <w:rPr>
          <w:rFonts w:hint="eastAsia"/>
          <w:highlight w:val="none"/>
          <w:lang w:val="en-US" w:eastAsia="zh-CN"/>
        </w:rPr>
        <w:drawing>
          <wp:inline distT="0" distB="0" distL="114300" distR="114300">
            <wp:extent cx="6118860" cy="6831965"/>
            <wp:effectExtent l="0" t="0" r="7620" b="10795"/>
            <wp:docPr id="1" name="图片 1" descr="S.Figure2. P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ure2. P407png"/>
                    <pic:cNvPicPr>
                      <a:picLocks noChangeAspect="1"/>
                    </pic:cNvPicPr>
                  </pic:nvPicPr>
                  <pic:blipFill>
                    <a:blip r:embed="rId9"/>
                    <a:stretch>
                      <a:fillRect/>
                    </a:stretch>
                  </pic:blipFill>
                  <pic:spPr>
                    <a:xfrm>
                      <a:off x="0" y="0"/>
                      <a:ext cx="6118860" cy="6831965"/>
                    </a:xfrm>
                    <a:prstGeom prst="rect">
                      <a:avLst/>
                    </a:prstGeom>
                  </pic:spPr>
                </pic:pic>
              </a:graphicData>
            </a:graphic>
          </wp:inline>
        </w:drawing>
      </w:r>
    </w:p>
    <w:p w14:paraId="02234E29">
      <w:pPr>
        <w:rPr>
          <w:rFonts w:hint="eastAsia"/>
          <w:highlight w:val="none"/>
          <w:lang w:val="en-US" w:eastAsia="zh-CN"/>
        </w:rPr>
      </w:pPr>
      <w:r>
        <w:rPr>
          <w:rFonts w:hint="eastAsia"/>
          <w:highlight w:val="none"/>
          <w:lang w:val="en-US" w:eastAsia="zh-CN"/>
        </w:rPr>
        <w:br w:type="page"/>
      </w:r>
    </w:p>
    <w:p w14:paraId="20AFE33D">
      <w:pPr>
        <w:ind w:firstLine="897" w:firstLineChars="374"/>
        <w:rPr>
          <w:rFonts w:hint="eastAsia"/>
          <w:highlight w:val="none"/>
          <w:lang w:val="en-US" w:eastAsia="zh-CN"/>
        </w:rPr>
      </w:pPr>
    </w:p>
    <w:p w14:paraId="62EC8232">
      <w:pPr>
        <w:spacing w:after="468" w:afterLines="150" w:line="360" w:lineRule="auto"/>
        <w:ind w:firstLine="0" w:firstLineChars="0"/>
        <w:rPr>
          <w:rFonts w:hint="default" w:ascii="Times New Roman" w:hAnsi="Times New Roman" w:cs="Times New Roman"/>
          <w:bCs/>
          <w:highlight w:val="none"/>
        </w:rPr>
      </w:pPr>
      <w:r>
        <w:rPr>
          <w:rFonts w:hint="default" w:ascii="Times New Roman" w:hAnsi="Times New Roman" w:cs="Times New Roman"/>
          <w:b/>
          <w:highlight w:val="none"/>
        </w:rPr>
        <w:t>Fig. S</w:t>
      </w:r>
      <w:r>
        <w:rPr>
          <w:rFonts w:hint="eastAsia" w:ascii="Times New Roman" w:hAnsi="Times New Roman" w:cs="Times New Roman"/>
          <w:b/>
          <w:highlight w:val="none"/>
          <w:lang w:val="en-US" w:eastAsia="zh-CN"/>
        </w:rPr>
        <w:t>3</w:t>
      </w:r>
      <w:r>
        <w:rPr>
          <w:rFonts w:hint="default" w:ascii="Times New Roman" w:hAnsi="Times New Roman" w:cs="Times New Roman"/>
          <w:b/>
          <w:highlight w:val="none"/>
        </w:rPr>
        <w:t>.</w:t>
      </w:r>
      <w:r>
        <w:rPr>
          <w:rFonts w:hint="eastAsia" w:ascii="Times New Roman" w:hAnsi="Times New Roman" w:cs="Times New Roman"/>
          <w:b/>
          <w:highlight w:val="none"/>
          <w:lang w:val="en-US" w:eastAsia="zh-CN"/>
        </w:rPr>
        <w:t xml:space="preserve"> </w:t>
      </w:r>
      <w:r>
        <w:rPr>
          <w:rFonts w:hint="default" w:ascii="Times New Roman" w:hAnsi="Times New Roman" w:cs="Times New Roman"/>
          <w:b/>
          <w:highlight w:val="none"/>
        </w:rPr>
        <w:t xml:space="preserve">Preparation and physicochemical characterization of nanovaccine and VNP20009-loaded P407 hydrogel. </w:t>
      </w:r>
      <w:r>
        <w:rPr>
          <w:rFonts w:hint="eastAsia" w:ascii="Times New Roman" w:hAnsi="Times New Roman" w:cs="Times New Roman"/>
          <w:b w:val="0"/>
          <w:bCs/>
          <w:highlight w:val="none"/>
          <w:lang w:val="en-US" w:eastAsia="zh-CN"/>
        </w:rPr>
        <w:t>(</w:t>
      </w:r>
      <w:r>
        <w:rPr>
          <w:rFonts w:hint="default" w:ascii="Times New Roman" w:hAnsi="Times New Roman" w:cs="Times New Roman"/>
          <w:b w:val="0"/>
          <w:bCs/>
          <w:highlight w:val="none"/>
        </w:rPr>
        <w:t>A</w:t>
      </w:r>
      <w:r>
        <w:rPr>
          <w:rFonts w:hint="default" w:ascii="Times New Roman" w:hAnsi="Times New Roman" w:cs="Times New Roman"/>
          <w:bCs/>
          <w:highlight w:val="none"/>
        </w:rPr>
        <w:t xml:space="preserve">) The representative histogram for the micelle (5 wt%) via dynamic light </w:t>
      </w:r>
      <w:r>
        <w:rPr>
          <w:rFonts w:hint="eastAsia" w:ascii="Times New Roman" w:hAnsi="Times New Roman" w:cs="Times New Roman"/>
          <w:bCs/>
          <w:highlight w:val="none"/>
          <w:lang w:val="en-US" w:eastAsia="zh-CN"/>
        </w:rPr>
        <w:t>s</w:t>
      </w:r>
      <w:r>
        <w:rPr>
          <w:rFonts w:hint="default" w:ascii="Times New Roman" w:hAnsi="Times New Roman" w:cs="Times New Roman"/>
          <w:bCs/>
          <w:highlight w:val="none"/>
        </w:rPr>
        <w:t xml:space="preserve">cattering. </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 xml:space="preserve">B-E) Time to gelation under different conditions. </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 xml:space="preserve">B) Blank P407 gel at RT. </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C</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 xml:space="preserve"> Blank P407 gel at 37 ℃. </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 xml:space="preserve">D) V@OR+DP loaded P407 at RT. </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E) V@OR+DP loaded P407 at 37 ℃. Temperature-dependent rheological characterization of blank P407 hydrogel (F) and VNP20009/P407 hydrogel (G). Storage modulus (G′) and loss modulus (G″) were measured from 4</w:t>
      </w:r>
      <w:r>
        <w:rPr>
          <w:rFonts w:hint="eastAsia" w:ascii="Times New Roman" w:hAnsi="Times New Roman" w:cs="Times New Roman"/>
          <w:bCs/>
          <w:highlight w:val="none"/>
          <w:lang w:val="en-US" w:eastAsia="zh-CN"/>
        </w:rPr>
        <w:t xml:space="preserve"> </w:t>
      </w:r>
      <w:r>
        <w:rPr>
          <w:rFonts w:hint="default" w:ascii="Times New Roman" w:hAnsi="Times New Roman" w:cs="Times New Roman"/>
          <w:bCs/>
          <w:highlight w:val="none"/>
        </w:rPr>
        <w:t>℃ to 45</w:t>
      </w:r>
      <w:r>
        <w:rPr>
          <w:rFonts w:hint="eastAsia" w:ascii="Times New Roman" w:hAnsi="Times New Roman" w:cs="Times New Roman"/>
          <w:bCs/>
          <w:highlight w:val="none"/>
          <w:lang w:val="en-US" w:eastAsia="zh-CN"/>
        </w:rPr>
        <w:t xml:space="preserve"> </w:t>
      </w:r>
      <w:r>
        <w:rPr>
          <w:rFonts w:hint="default" w:ascii="Times New Roman" w:hAnsi="Times New Roman" w:cs="Times New Roman"/>
          <w:bCs/>
          <w:highlight w:val="none"/>
        </w:rPr>
        <w:t>℃ to determine the sol</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gel transition behavior and lower critical solution temperature (LCST). (</w:t>
      </w:r>
      <w:r>
        <w:rPr>
          <w:rFonts w:hint="eastAsia" w:ascii="Times New Roman" w:hAnsi="Times New Roman" w:cs="Times New Roman"/>
          <w:bCs/>
          <w:highlight w:val="none"/>
          <w:lang w:val="en-US" w:eastAsia="zh-CN"/>
        </w:rPr>
        <w:t>H</w:t>
      </w:r>
      <w:r>
        <w:rPr>
          <w:rFonts w:hint="default" w:ascii="Times New Roman" w:hAnsi="Times New Roman" w:cs="Times New Roman"/>
          <w:bCs/>
          <w:highlight w:val="none"/>
        </w:rPr>
        <w:t>) Nitrogen adsorption–desorption isotherms and pore size distribution of the lyophilized hydrogel. (</w:t>
      </w:r>
      <w:r>
        <w:rPr>
          <w:rFonts w:hint="eastAsia" w:ascii="Times New Roman" w:hAnsi="Times New Roman" w:cs="Times New Roman"/>
          <w:bCs/>
          <w:highlight w:val="none"/>
          <w:lang w:val="en-US" w:eastAsia="zh-CN"/>
        </w:rPr>
        <w:t>I</w:t>
      </w:r>
      <w:r>
        <w:rPr>
          <w:rFonts w:hint="default" w:ascii="Times New Roman" w:hAnsi="Times New Roman" w:cs="Times New Roman"/>
          <w:bCs/>
          <w:highlight w:val="none"/>
        </w:rPr>
        <w:t>)</w:t>
      </w:r>
      <w:r>
        <w:rPr>
          <w:rFonts w:hint="eastAsia" w:ascii="Times New Roman" w:hAnsi="Times New Roman" w:cs="Times New Roman"/>
          <w:bCs/>
          <w:highlight w:val="none"/>
          <w:lang w:val="en-US" w:eastAsia="zh-CN"/>
        </w:rPr>
        <w:t xml:space="preserve"> V@OR</w:t>
      </w:r>
      <w:r>
        <w:rPr>
          <w:rFonts w:hint="default" w:ascii="Times New Roman" w:hAnsi="Times New Roman" w:cs="Times New Roman"/>
          <w:bCs/>
          <w:highlight w:val="none"/>
        </w:rPr>
        <w:t xml:space="preserve"> loaded P407 hydrogel and representative images of </w:t>
      </w:r>
      <w:r>
        <w:rPr>
          <w:rFonts w:hint="eastAsia" w:ascii="Times New Roman" w:hAnsi="Times New Roman" w:cs="Times New Roman"/>
          <w:bCs/>
          <w:highlight w:val="none"/>
          <w:lang w:val="en-US" w:eastAsia="zh-CN"/>
        </w:rPr>
        <w:t>V@OR</w:t>
      </w:r>
      <w:r>
        <w:rPr>
          <w:rFonts w:hint="default" w:ascii="Times New Roman" w:hAnsi="Times New Roman" w:cs="Times New Roman"/>
          <w:bCs/>
          <w:highlight w:val="none"/>
        </w:rPr>
        <w:t xml:space="preserve"> in P407 hydrogel (Manifested by the arrows, the scale bar is 5 μm)</w:t>
      </w:r>
      <w:r>
        <w:rPr>
          <w:rFonts w:hint="eastAsia" w:ascii="Times New Roman" w:hAnsi="Times New Roman" w:cs="Times New Roman"/>
          <w:bCs/>
          <w:highlight w:val="none"/>
          <w:lang w:val="en-US" w:eastAsia="zh-CN"/>
        </w:rPr>
        <w:t>.</w:t>
      </w:r>
      <w:r>
        <w:rPr>
          <w:rFonts w:hint="default" w:ascii="Times New Roman" w:hAnsi="Times New Roman" w:cs="Times New Roman"/>
          <w:bCs/>
          <w:highlight w:val="none"/>
        </w:rPr>
        <w:t xml:space="preserve"> (</w:t>
      </w:r>
      <w:r>
        <w:rPr>
          <w:rFonts w:hint="eastAsia" w:ascii="Times New Roman" w:hAnsi="Times New Roman" w:cs="Times New Roman"/>
          <w:bCs/>
          <w:highlight w:val="none"/>
          <w:lang w:val="en-US" w:eastAsia="zh-CN"/>
        </w:rPr>
        <w:t>J</w:t>
      </w:r>
      <w:r>
        <w:rPr>
          <w:rFonts w:hint="default" w:ascii="Times New Roman" w:hAnsi="Times New Roman" w:cs="Times New Roman"/>
          <w:bCs/>
          <w:highlight w:val="none"/>
        </w:rPr>
        <w:t>) Swelling profile of P407 hydrogel in PBS.</w:t>
      </w:r>
    </w:p>
    <w:p w14:paraId="7CEC0533">
      <w:pPr>
        <w:spacing w:after="468" w:afterLines="150" w:line="360" w:lineRule="auto"/>
        <w:ind w:firstLine="0" w:firstLineChars="0"/>
        <w:rPr>
          <w:rFonts w:hint="default" w:ascii="Times New Roman" w:hAnsi="Times New Roman" w:cs="Times New Roman"/>
          <w:bCs/>
          <w:highlight w:val="none"/>
        </w:rPr>
      </w:pPr>
    </w:p>
    <w:p w14:paraId="2CB3CBBE">
      <w:pPr>
        <w:spacing w:after="468" w:afterLines="150" w:line="360" w:lineRule="auto"/>
        <w:ind w:firstLine="0" w:firstLineChars="0"/>
        <w:rPr>
          <w:rFonts w:hint="default" w:ascii="Times New Roman" w:hAnsi="Times New Roman" w:cs="Times New Roman"/>
          <w:bCs/>
          <w:highlight w:val="none"/>
        </w:rPr>
      </w:pPr>
    </w:p>
    <w:p w14:paraId="46F92D58">
      <w:pPr>
        <w:ind w:left="0" w:leftChars="0" w:firstLine="0" w:firstLineChars="0"/>
        <w:rPr>
          <w:rFonts w:hint="default" w:ascii="Times New Roman" w:hAnsi="Times New Roman" w:cs="Times New Roman"/>
          <w:bCs/>
          <w:highlight w:val="none"/>
        </w:rPr>
      </w:pPr>
    </w:p>
    <w:p w14:paraId="33FA7094">
      <w:pPr>
        <w:spacing w:after="468" w:afterLines="150" w:line="360" w:lineRule="auto"/>
        <w:ind w:firstLine="0" w:firstLineChars="0"/>
        <w:rPr>
          <w:rFonts w:hint="default" w:ascii="Times New Roman" w:hAnsi="Times New Roman" w:cs="Times New Roman"/>
          <w:bCs/>
          <w:highlight w:val="none"/>
        </w:rPr>
      </w:pPr>
    </w:p>
    <w:p w14:paraId="25A07379">
      <w:pPr>
        <w:ind w:left="0" w:leftChars="0" w:firstLine="0" w:firstLineChars="0"/>
        <w:rPr>
          <w:rFonts w:hint="eastAsia"/>
          <w:highlight w:val="none"/>
          <w:lang w:val="en-US" w:eastAsia="zh-CN"/>
        </w:rPr>
      </w:pPr>
      <w:r>
        <w:rPr>
          <w:rFonts w:hint="eastAsia"/>
          <w:highlight w:val="none"/>
          <w:lang w:val="en-US" w:eastAsia="zh-CN"/>
        </w:rPr>
        <w:drawing>
          <wp:inline distT="0" distB="0" distL="114300" distR="114300">
            <wp:extent cx="6116955" cy="4070985"/>
            <wp:effectExtent l="0" t="0" r="9525" b="13335"/>
            <wp:docPr id="4" name="图片 4" descr="S.Figure4. 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Figure4. DCpng"/>
                    <pic:cNvPicPr>
                      <a:picLocks noChangeAspect="1"/>
                    </pic:cNvPicPr>
                  </pic:nvPicPr>
                  <pic:blipFill>
                    <a:blip r:embed="rId10"/>
                    <a:stretch>
                      <a:fillRect/>
                    </a:stretch>
                  </pic:blipFill>
                  <pic:spPr>
                    <a:xfrm>
                      <a:off x="0" y="0"/>
                      <a:ext cx="6116955" cy="4070985"/>
                    </a:xfrm>
                    <a:prstGeom prst="rect">
                      <a:avLst/>
                    </a:prstGeom>
                  </pic:spPr>
                </pic:pic>
              </a:graphicData>
            </a:graphic>
          </wp:inline>
        </w:drawing>
      </w:r>
    </w:p>
    <w:p w14:paraId="17DF950E">
      <w:pPr>
        <w:ind w:firstLine="897" w:firstLineChars="374"/>
        <w:rPr>
          <w:rFonts w:hint="eastAsia"/>
          <w:highlight w:val="none"/>
          <w:lang w:val="en-US" w:eastAsia="zh-CN"/>
        </w:rPr>
      </w:pPr>
    </w:p>
    <w:p w14:paraId="336D0728">
      <w:pPr>
        <w:ind w:left="0" w:leftChars="0" w:firstLine="0" w:firstLineChars="0"/>
        <w:rPr>
          <w:rFonts w:hint="default" w:ascii="Times New Roman" w:hAnsi="Times New Roman" w:cs="Times New Roman"/>
          <w:highlight w:val="none"/>
          <w:lang w:val="en-US" w:eastAsia="zh-CN"/>
        </w:rPr>
      </w:pPr>
      <w:r>
        <w:rPr>
          <w:rFonts w:hint="default" w:ascii="Times New Roman" w:hAnsi="Times New Roman" w:cs="Times New Roman"/>
          <w:b/>
          <w:highlight w:val="none"/>
        </w:rPr>
        <w:t>Fig. S</w:t>
      </w:r>
      <w:r>
        <w:rPr>
          <w:rFonts w:hint="eastAsia" w:ascii="Times New Roman" w:hAnsi="Times New Roman" w:cs="Times New Roman"/>
          <w:b/>
          <w:highlight w:val="none"/>
          <w:lang w:val="en-US" w:eastAsia="zh-CN"/>
        </w:rPr>
        <w:t>4</w:t>
      </w:r>
      <w:r>
        <w:rPr>
          <w:rFonts w:hint="default" w:ascii="Times New Roman" w:hAnsi="Times New Roman" w:cs="Times New Roman"/>
          <w:highlight w:val="none"/>
          <w:lang w:val="en-US" w:eastAsia="zh-CN"/>
        </w:rPr>
        <w:t xml:space="preserve">. </w:t>
      </w:r>
      <w:r>
        <w:rPr>
          <w:rFonts w:hint="default" w:ascii="Times New Roman" w:hAnsi="Times New Roman" w:cs="Times New Roman"/>
          <w:b/>
          <w:bCs/>
          <w:highlight w:val="none"/>
          <w:lang w:val="en-US" w:eastAsia="zh-CN"/>
        </w:rPr>
        <w:t>Uptake of V@OR and DP by bone marrow-derived dendritic cells (BMDCs).</w:t>
      </w:r>
      <w:r>
        <w:rPr>
          <w:rFonts w:hint="eastAsia" w:ascii="Times New Roman" w:hAnsi="Times New Roman" w:cs="Times New Roman"/>
          <w:b/>
          <w:bCs/>
          <w:highlight w:val="none"/>
          <w:lang w:val="en-US" w:eastAsia="zh-CN"/>
        </w:rPr>
        <w:t xml:space="preserve"> </w:t>
      </w:r>
      <w:r>
        <w:rPr>
          <w:rFonts w:hint="default" w:ascii="Times New Roman" w:hAnsi="Times New Roman" w:cs="Times New Roman"/>
          <w:highlight w:val="none"/>
          <w:lang w:val="en-US" w:eastAsia="zh-CN"/>
        </w:rPr>
        <w:t>(A) Representative flow cytometry plots showing the uptake of FITC-labeled V@OR (V@OR-FITC) by BMDCs. Cells were gated on CD11c⁺ BMDCs, and the percentage of FITC-positive cells is indicated. (B) Quantitative analysis of V@OR uptake efficiency in CD11c⁺ BMDCs. (C) Representative flow cytometry plots showing the uptake of Cy5.5-labeled DP (DP-Cy5.5) by BMDCs. Cells were gated on CD11c⁺ BMDCs, and the percentage of Cy5.5-positive cells is indicated. (D) Quantitative analysis of DP uptake efficiency in CD11c⁺ BMDCs. (E) Representative confocal laser scanning microscopy (CLSM) images showing the internalization of DiO-labeled V@OR (green) by BMDCs stained with anti-CD11c antibody (red). Nuclei were stained with DAPI (blue). Scale bar = 20 μm. (F) Representative CLSM images showing the internalization of FAM-labeled DP (green) by BMDCs stained with anti-CD11c antibody (red). Nuclei were stained with DAPI (blue). Scale bar = 10 μm. Data are presented as mean ± S</w:t>
      </w:r>
      <w:r>
        <w:rPr>
          <w:rFonts w:hint="eastAsia" w:ascii="Times New Roman" w:hAnsi="Times New Roman" w:cs="Times New Roman"/>
          <w:highlight w:val="none"/>
          <w:lang w:val="en-US" w:eastAsia="zh-CN"/>
        </w:rPr>
        <w:t>EM</w:t>
      </w:r>
      <w:r>
        <w:rPr>
          <w:rFonts w:hint="default" w:ascii="Times New Roman" w:hAnsi="Times New Roman" w:cs="Times New Roman"/>
          <w:highlight w:val="none"/>
          <w:lang w:val="en-US" w:eastAsia="zh-CN"/>
        </w:rPr>
        <w:t xml:space="preserve"> (n = 3). Statistical significance was analyzed using an unpaired two-tailed Student’s t-test. ****</w:t>
      </w:r>
      <w:r>
        <w:rPr>
          <w:rFonts w:hint="eastAsia" w:ascii="Times New Roman" w:hAnsi="Times New Roman" w:cs="Times New Roman"/>
          <w:i/>
          <w:iCs/>
          <w:highlight w:val="none"/>
          <w:lang w:val="en-US" w:eastAsia="zh-CN"/>
        </w:rPr>
        <w:t>p</w:t>
      </w:r>
      <w:r>
        <w:rPr>
          <w:rFonts w:hint="default" w:ascii="Times New Roman" w:hAnsi="Times New Roman" w:cs="Times New Roman"/>
          <w:highlight w:val="none"/>
          <w:lang w:val="en-US" w:eastAsia="zh-CN"/>
        </w:rPr>
        <w:t xml:space="preserve"> &lt; 0.0001.</w:t>
      </w:r>
    </w:p>
    <w:p w14:paraId="402667E3">
      <w:pPr>
        <w:ind w:firstLine="897" w:firstLineChars="374"/>
        <w:rPr>
          <w:rFonts w:hint="eastAsia"/>
          <w:highlight w:val="none"/>
          <w:lang w:val="en-US" w:eastAsia="zh-CN"/>
        </w:rPr>
      </w:pPr>
    </w:p>
    <w:p w14:paraId="2AAE9E53">
      <w:pPr>
        <w:ind w:firstLine="897" w:firstLineChars="374"/>
        <w:rPr>
          <w:rFonts w:hint="eastAsia"/>
          <w:highlight w:val="none"/>
          <w:lang w:val="en-US" w:eastAsia="zh-CN"/>
        </w:rPr>
      </w:pPr>
      <w:r>
        <w:rPr>
          <w:rFonts w:hint="eastAsia"/>
          <w:highlight w:val="none"/>
          <w:lang w:val="en-US" w:eastAsia="zh-CN"/>
        </w:rPr>
        <w:drawing>
          <wp:anchor distT="0" distB="0" distL="114300" distR="114300" simplePos="0" relativeHeight="251661312" behindDoc="0" locked="0" layoutInCell="1" allowOverlap="1">
            <wp:simplePos x="0" y="0"/>
            <wp:positionH relativeFrom="column">
              <wp:posOffset>-77470</wp:posOffset>
            </wp:positionH>
            <wp:positionV relativeFrom="paragraph">
              <wp:posOffset>22860</wp:posOffset>
            </wp:positionV>
            <wp:extent cx="6377940" cy="6137275"/>
            <wp:effectExtent l="0" t="0" r="7620" b="4445"/>
            <wp:wrapTopAndBottom/>
            <wp:docPr id="5" name="图片 5" descr="S.Figure5. CD25CD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Figure5. CD25CD69png"/>
                    <pic:cNvPicPr>
                      <a:picLocks noChangeAspect="1"/>
                    </pic:cNvPicPr>
                  </pic:nvPicPr>
                  <pic:blipFill>
                    <a:blip r:embed="rId11"/>
                    <a:stretch>
                      <a:fillRect/>
                    </a:stretch>
                  </pic:blipFill>
                  <pic:spPr>
                    <a:xfrm>
                      <a:off x="0" y="0"/>
                      <a:ext cx="6377940" cy="6137275"/>
                    </a:xfrm>
                    <a:prstGeom prst="rect">
                      <a:avLst/>
                    </a:prstGeom>
                  </pic:spPr>
                </pic:pic>
              </a:graphicData>
            </a:graphic>
          </wp:anchor>
        </w:drawing>
      </w:r>
    </w:p>
    <w:p w14:paraId="066CF6C0">
      <w:pPr>
        <w:ind w:left="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b/>
          <w:sz w:val="24"/>
          <w:szCs w:val="24"/>
          <w:highlight w:val="none"/>
        </w:rPr>
        <w:t>Fig. S</w:t>
      </w:r>
      <w:r>
        <w:rPr>
          <w:rFonts w:hint="eastAsia" w:ascii="Times New Roman" w:hAnsi="Times New Roman" w:cs="Times New Roman"/>
          <w:b/>
          <w:sz w:val="24"/>
          <w:szCs w:val="24"/>
          <w:highlight w:val="none"/>
          <w:lang w:val="en-US" w:eastAsia="zh-CN"/>
        </w:rPr>
        <w:t>5</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eastAsia="Segoe UI Emoji" w:cs="Times New Roman"/>
          <w:b/>
          <w:bCs/>
          <w:i w:val="0"/>
          <w:iCs w:val="0"/>
          <w:caps w:val="0"/>
          <w:spacing w:val="0"/>
          <w:sz w:val="24"/>
          <w:szCs w:val="24"/>
          <w:highlight w:val="none"/>
        </w:rPr>
        <w:t xml:space="preserve">Representative flow cytometry plots corresponding to the quantitative results shown in </w:t>
      </w:r>
      <w:r>
        <w:rPr>
          <w:rFonts w:hint="eastAsia" w:ascii="Times New Roman" w:hAnsi="Times New Roman" w:eastAsia="宋体" w:cs="Times New Roman"/>
          <w:b/>
          <w:bCs/>
          <w:i w:val="0"/>
          <w:iCs w:val="0"/>
          <w:caps w:val="0"/>
          <w:spacing w:val="0"/>
          <w:sz w:val="24"/>
          <w:szCs w:val="24"/>
          <w:highlight w:val="none"/>
          <w:lang w:eastAsia="zh-CN"/>
        </w:rPr>
        <w:t>Fig.</w:t>
      </w:r>
      <w:r>
        <w:rPr>
          <w:rFonts w:hint="default" w:ascii="Times New Roman" w:hAnsi="Times New Roman" w:eastAsia="Segoe UI Emoji" w:cs="Times New Roman"/>
          <w:b/>
          <w:bCs/>
          <w:i w:val="0"/>
          <w:iCs w:val="0"/>
          <w:caps w:val="0"/>
          <w:spacing w:val="0"/>
          <w:sz w:val="24"/>
          <w:szCs w:val="24"/>
          <w:highlight w:val="none"/>
        </w:rPr>
        <w:t xml:space="preserve"> 2E</w:t>
      </w:r>
      <w:r>
        <w:rPr>
          <w:rFonts w:hint="eastAsia" w:ascii="Times New Roman" w:hAnsi="Times New Roman" w:eastAsia="宋体" w:cs="Times New Roman"/>
          <w:b/>
          <w:bCs/>
          <w:i w:val="0"/>
          <w:iCs w:val="0"/>
          <w:caps w:val="0"/>
          <w:spacing w:val="0"/>
          <w:sz w:val="24"/>
          <w:szCs w:val="24"/>
          <w:highlight w:val="none"/>
          <w:lang w:val="en-US" w:eastAsia="zh-CN"/>
        </w:rPr>
        <w:t>-</w:t>
      </w:r>
      <w:r>
        <w:rPr>
          <w:rFonts w:hint="default" w:ascii="Times New Roman" w:hAnsi="Times New Roman" w:eastAsia="Segoe UI Emoji" w:cs="Times New Roman"/>
          <w:b/>
          <w:bCs/>
          <w:i w:val="0"/>
          <w:iCs w:val="0"/>
          <w:caps w:val="0"/>
          <w:spacing w:val="0"/>
          <w:sz w:val="24"/>
          <w:szCs w:val="24"/>
          <w:highlight w:val="none"/>
        </w:rPr>
        <w:t>H.</w:t>
      </w:r>
      <w:r>
        <w:rPr>
          <w:rFonts w:hint="default" w:ascii="Times New Roman" w:hAnsi="Times New Roman" w:eastAsia="Segoe UI Emoji" w:cs="Times New Roman"/>
          <w:i w:val="0"/>
          <w:iCs w:val="0"/>
          <w:caps w:val="0"/>
          <w:spacing w:val="0"/>
          <w:sz w:val="24"/>
          <w:szCs w:val="24"/>
          <w:highlight w:val="none"/>
        </w:rPr>
        <w:t xml:space="preserve"> (A) CD25 expression in CD4⁺ T cells. (B) CD69 expression in CD4⁺ T cells. (C) CD25 expression in CD8⁺ T cells. (D) CD69 expression in CD8⁺ T cells. T cells were collected after treatment with VNP, OR, DP, V@OR, or V@OR+DP and analyzed by flow cytometry. Percentages of CD25⁺ or CD69⁺ cells within the CD4⁺ or CD8⁺ T</w:t>
      </w:r>
      <w:r>
        <w:rPr>
          <w:rFonts w:hint="eastAsia" w:ascii="Times New Roman" w:hAnsi="Times New Roman" w:eastAsia="宋体" w:cs="Times New Roman"/>
          <w:i w:val="0"/>
          <w:iCs w:val="0"/>
          <w:caps w:val="0"/>
          <w:spacing w:val="0"/>
          <w:sz w:val="24"/>
          <w:szCs w:val="24"/>
          <w:highlight w:val="none"/>
          <w:lang w:val="en-US" w:eastAsia="zh-CN"/>
        </w:rPr>
        <w:t xml:space="preserve"> </w:t>
      </w:r>
      <w:r>
        <w:rPr>
          <w:rFonts w:hint="default" w:ascii="Times New Roman" w:hAnsi="Times New Roman" w:eastAsia="Segoe UI Emoji" w:cs="Times New Roman"/>
          <w:i w:val="0"/>
          <w:iCs w:val="0"/>
          <w:caps w:val="0"/>
          <w:spacing w:val="0"/>
          <w:sz w:val="24"/>
          <w:szCs w:val="24"/>
          <w:highlight w:val="none"/>
        </w:rPr>
        <w:t>cell populations are indicated in each representative plot.</w:t>
      </w:r>
    </w:p>
    <w:p w14:paraId="017A400A">
      <w:pPr>
        <w:rPr>
          <w:rFonts w:hint="eastAsia"/>
          <w:highlight w:val="none"/>
          <w:lang w:val="en-US" w:eastAsia="zh-CN"/>
        </w:rPr>
      </w:pPr>
      <w:r>
        <w:rPr>
          <w:rFonts w:hint="eastAsia"/>
          <w:highlight w:val="none"/>
          <w:lang w:val="en-US" w:eastAsia="zh-CN"/>
        </w:rPr>
        <w:br w:type="page"/>
      </w:r>
    </w:p>
    <w:p w14:paraId="07B68D63">
      <w:pPr>
        <w:ind w:firstLine="897" w:firstLineChars="374"/>
        <w:rPr>
          <w:rFonts w:hint="eastAsia"/>
          <w:highlight w:val="none"/>
          <w:lang w:val="en-US" w:eastAsia="zh-CN"/>
        </w:rPr>
        <w:sectPr>
          <w:pgSz w:w="11906" w:h="16838"/>
          <w:pgMar w:top="1134" w:right="1134" w:bottom="1134" w:left="1134" w:header="851" w:footer="992" w:gutter="0"/>
          <w:pgNumType w:fmt="decimal"/>
          <w:cols w:space="425" w:num="1"/>
          <w:docGrid w:type="lines" w:linePitch="312" w:charSpace="0"/>
        </w:sectPr>
      </w:pPr>
    </w:p>
    <w:p w14:paraId="2E7884F1">
      <w:pPr>
        <w:ind w:firstLine="897" w:firstLineChars="374"/>
        <w:rPr>
          <w:rFonts w:hint="eastAsia"/>
          <w:highlight w:val="none"/>
          <w:lang w:val="en-US" w:eastAsia="zh-CN"/>
        </w:rPr>
      </w:pPr>
      <w:r>
        <w:rPr>
          <w:rFonts w:hint="eastAsia"/>
          <w:highlight w:val="none"/>
          <w:lang w:val="en-US" w:eastAsia="zh-CN"/>
        </w:rPr>
        <w:drawing>
          <wp:anchor distT="0" distB="0" distL="114300" distR="114300" simplePos="0" relativeHeight="251660288" behindDoc="0" locked="0" layoutInCell="1" allowOverlap="1">
            <wp:simplePos x="0" y="0"/>
            <wp:positionH relativeFrom="column">
              <wp:posOffset>-335280</wp:posOffset>
            </wp:positionH>
            <wp:positionV relativeFrom="paragraph">
              <wp:posOffset>287020</wp:posOffset>
            </wp:positionV>
            <wp:extent cx="7048500" cy="5698490"/>
            <wp:effectExtent l="0" t="0" r="7620" b="1270"/>
            <wp:wrapTopAndBottom/>
            <wp:docPr id="11" name="图片 11" descr="S.Figure6 V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Figure6 VNP"/>
                    <pic:cNvPicPr>
                      <a:picLocks noChangeAspect="1"/>
                    </pic:cNvPicPr>
                  </pic:nvPicPr>
                  <pic:blipFill>
                    <a:blip r:embed="rId12"/>
                    <a:stretch>
                      <a:fillRect/>
                    </a:stretch>
                  </pic:blipFill>
                  <pic:spPr>
                    <a:xfrm>
                      <a:off x="0" y="0"/>
                      <a:ext cx="7048500" cy="5698490"/>
                    </a:xfrm>
                    <a:prstGeom prst="rect">
                      <a:avLst/>
                    </a:prstGeom>
                  </pic:spPr>
                </pic:pic>
              </a:graphicData>
            </a:graphic>
          </wp:anchor>
        </w:drawing>
      </w:r>
    </w:p>
    <w:p w14:paraId="0A9D90E4">
      <w:pPr>
        <w:ind w:left="0" w:leftChars="0" w:firstLine="0" w:firstLineChars="0"/>
        <w:rPr>
          <w:rFonts w:hint="default" w:ascii="Times New Roman" w:hAnsi="Times New Roman" w:cs="Times New Roman"/>
          <w:highlight w:val="none"/>
          <w:lang w:val="en-US" w:eastAsia="zh-CN"/>
        </w:rPr>
      </w:pPr>
      <w:r>
        <w:rPr>
          <w:rFonts w:hint="default" w:ascii="Times New Roman" w:hAnsi="Times New Roman" w:cs="Times New Roman"/>
          <w:b/>
          <w:sz w:val="24"/>
          <w:szCs w:val="24"/>
          <w:highlight w:val="none"/>
        </w:rPr>
        <w:t>Fig. S</w:t>
      </w:r>
      <w:r>
        <w:rPr>
          <w:rFonts w:hint="eastAsia" w:ascii="Times New Roman" w:hAnsi="Times New Roman" w:cs="Times New Roman"/>
          <w:b/>
          <w:sz w:val="24"/>
          <w:szCs w:val="24"/>
          <w:highlight w:val="none"/>
          <w:lang w:val="en-US" w:eastAsia="zh-CN"/>
        </w:rPr>
        <w:t>6</w:t>
      </w:r>
      <w:r>
        <w:rPr>
          <w:rFonts w:hint="eastAsia"/>
          <w:sz w:val="24"/>
          <w:szCs w:val="24"/>
          <w:highlight w:val="none"/>
        </w:rPr>
        <w:t>.</w:t>
      </w:r>
      <w:r>
        <w:rPr>
          <w:rFonts w:hint="default" w:ascii="Times New Roman" w:hAnsi="Times New Roman" w:cs="Times New Roman"/>
          <w:b/>
          <w:bCs/>
          <w:highlight w:val="none"/>
          <w:lang w:val="en-US" w:eastAsia="zh-CN"/>
        </w:rPr>
        <w:t xml:space="preserve"> In vivo biodistribution and clearance kinetics of engineered VNP20009.</w:t>
      </w:r>
      <w:r>
        <w:rPr>
          <w:rFonts w:hint="eastAsia" w:ascii="Times New Roman" w:hAnsi="Times New Roman" w:cs="Times New Roman"/>
          <w:b/>
          <w:bCs/>
          <w:highlight w:val="none"/>
          <w:lang w:val="en-US" w:eastAsia="zh-CN"/>
        </w:rPr>
        <w:t xml:space="preserve"> </w:t>
      </w:r>
      <w:r>
        <w:rPr>
          <w:rFonts w:hint="default" w:ascii="Times New Roman" w:hAnsi="Times New Roman" w:cs="Times New Roman"/>
          <w:highlight w:val="none"/>
          <w:lang w:val="en-US" w:eastAsia="zh-CN"/>
        </w:rPr>
        <w:t>(A) Representative colony photographs showing the temporal distribution of V@OR and Gel-V@OR in tumors, tumor-draining lymph nodes (TDLNs), blood, and major organs (heart, liver, spleen, lung, and kidney) following intratumoral administration in CT26 tumor-bearing mice. Tissue samples were harvested at the indicated time points, homogenized, serially diluted, and cultured on selective agar plates.</w:t>
      </w:r>
      <w:r>
        <w:rPr>
          <w:rFonts w:hint="eastAsia" w:ascii="Times New Roman" w:hAnsi="Times New Roman" w:cs="Times New Roman"/>
          <w:highlight w:val="none"/>
          <w:lang w:val="en-US" w:eastAsia="zh-CN"/>
        </w:rPr>
        <w:t xml:space="preserve"> </w:t>
      </w:r>
      <w:r>
        <w:rPr>
          <w:rFonts w:hint="default" w:ascii="Times New Roman" w:hAnsi="Times New Roman" w:cs="Times New Roman"/>
          <w:highlight w:val="none"/>
          <w:lang w:val="en-US" w:eastAsia="zh-CN"/>
        </w:rPr>
        <w:t>(B, C) Quantitative CFU analyses demonstrating bacterial persistence within tumors (B) and TDLNs (C). Encapsulation within the P407 hydrogel prolonged bacterial retention at both sites compared with free V@OR.</w:t>
      </w:r>
      <w:r>
        <w:rPr>
          <w:rFonts w:hint="eastAsia" w:ascii="Times New Roman" w:hAnsi="Times New Roman" w:cs="Times New Roman"/>
          <w:highlight w:val="none"/>
          <w:lang w:val="en-US" w:eastAsia="zh-CN"/>
        </w:rPr>
        <w:t xml:space="preserve"> </w:t>
      </w:r>
      <w:r>
        <w:rPr>
          <w:rFonts w:hint="default" w:ascii="Times New Roman" w:hAnsi="Times New Roman" w:cs="Times New Roman"/>
          <w:highlight w:val="none"/>
          <w:lang w:val="en-US" w:eastAsia="zh-CN"/>
        </w:rPr>
        <w:t>(D) Quantitative CFU analyses of blood and major organs at different time points, showing minimal systemic dissemination and progressive bacterial clearance over time. Bacteria were largely confined to tumors and TDLNs and were effectively eliminated from peripheral tissues at later time points.</w:t>
      </w:r>
      <w:r>
        <w:rPr>
          <w:rFonts w:hint="eastAsia" w:ascii="Times New Roman" w:hAnsi="Times New Roman" w:cs="Times New Roman"/>
          <w:highlight w:val="none"/>
          <w:lang w:val="en-US" w:eastAsia="zh-CN"/>
        </w:rPr>
        <w:t xml:space="preserve"> </w:t>
      </w:r>
      <w:r>
        <w:rPr>
          <w:rFonts w:hint="default" w:ascii="Times New Roman" w:hAnsi="Times New Roman" w:cs="Times New Roman"/>
          <w:highlight w:val="none"/>
          <w:lang w:val="en-US" w:eastAsia="zh-CN"/>
        </w:rPr>
        <w:t xml:space="preserve">Data are presented as mean ± </w:t>
      </w:r>
      <w:r>
        <w:rPr>
          <w:rFonts w:hint="eastAsia" w:ascii="Times New Roman" w:hAnsi="Times New Roman" w:cs="Times New Roman"/>
          <w:highlight w:val="none"/>
          <w:lang w:val="en-US" w:eastAsia="zh-CN"/>
        </w:rPr>
        <w:t>SEM</w:t>
      </w:r>
      <w:r>
        <w:rPr>
          <w:rFonts w:hint="default" w:ascii="Times New Roman" w:hAnsi="Times New Roman" w:cs="Times New Roman"/>
          <w:highlight w:val="none"/>
          <w:lang w:val="en-US" w:eastAsia="zh-CN"/>
        </w:rPr>
        <w:t xml:space="preserve"> (n = 3 biologically independent mice). Statistical significance was determined using two-way ANOVA with multiple-comparison correction. ***</w:t>
      </w:r>
      <w:r>
        <w:rPr>
          <w:rFonts w:hint="eastAsia" w:ascii="Times New Roman" w:hAnsi="Times New Roman" w:cs="Times New Roman"/>
          <w:i/>
          <w:iCs/>
          <w:highlight w:val="none"/>
          <w:lang w:val="en-US" w:eastAsia="zh-CN"/>
        </w:rPr>
        <w:t>p</w:t>
      </w:r>
      <w:r>
        <w:rPr>
          <w:rFonts w:hint="default" w:ascii="Times New Roman" w:hAnsi="Times New Roman" w:cs="Times New Roman"/>
          <w:i/>
          <w:iCs/>
          <w:highlight w:val="none"/>
          <w:lang w:val="en-US" w:eastAsia="zh-CN"/>
        </w:rPr>
        <w:t xml:space="preserve"> </w:t>
      </w:r>
      <w:r>
        <w:rPr>
          <w:rFonts w:hint="default" w:ascii="Times New Roman" w:hAnsi="Times New Roman" w:cs="Times New Roman"/>
          <w:highlight w:val="none"/>
          <w:lang w:val="en-US" w:eastAsia="zh-CN"/>
        </w:rPr>
        <w:t>&lt; 0.001, ****</w:t>
      </w:r>
      <w:r>
        <w:rPr>
          <w:rFonts w:hint="eastAsia" w:ascii="Times New Roman" w:hAnsi="Times New Roman" w:cs="Times New Roman"/>
          <w:i/>
          <w:iCs/>
          <w:highlight w:val="none"/>
          <w:lang w:val="en-US" w:eastAsia="zh-CN"/>
        </w:rPr>
        <w:t>p</w:t>
      </w:r>
      <w:r>
        <w:rPr>
          <w:rFonts w:hint="default" w:ascii="Times New Roman" w:hAnsi="Times New Roman" w:cs="Times New Roman"/>
          <w:highlight w:val="none"/>
          <w:lang w:val="en-US" w:eastAsia="zh-CN"/>
        </w:rPr>
        <w:t xml:space="preserve"> &lt; 0.0001.</w:t>
      </w:r>
    </w:p>
    <w:p w14:paraId="24F80D07">
      <w:pPr>
        <w:ind w:firstLine="897" w:firstLineChars="374"/>
        <w:rPr>
          <w:rFonts w:hint="default" w:ascii="Times New Roman" w:hAnsi="Times New Roman" w:cs="Times New Roman"/>
          <w:highlight w:val="none"/>
          <w:lang w:val="en-US" w:eastAsia="zh-CN"/>
        </w:rPr>
      </w:pPr>
    </w:p>
    <w:p w14:paraId="21690C49">
      <w:pPr>
        <w:spacing w:line="360" w:lineRule="auto"/>
        <w:ind w:firstLine="0" w:firstLineChars="0"/>
        <w:rPr>
          <w:rFonts w:ascii="Times New Roman" w:hAnsi="Times New Roman" w:cs="Times New Roman"/>
          <w:highlight w:val="none"/>
        </w:rPr>
      </w:pPr>
      <w:r>
        <w:rPr>
          <w:rFonts w:hint="eastAsia" w:eastAsia="宋体"/>
          <w:highlight w:val="none"/>
          <w:lang w:eastAsia="zh-CN"/>
        </w:rPr>
        <w:drawing>
          <wp:inline distT="0" distB="0" distL="114300" distR="114300">
            <wp:extent cx="6144260" cy="3070225"/>
            <wp:effectExtent l="0" t="0" r="12700" b="0"/>
            <wp:docPr id="33" name="图片 33" descr="SB16-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SB16-R"/>
                    <pic:cNvPicPr>
                      <a:picLocks noChangeAspect="1"/>
                    </pic:cNvPicPr>
                  </pic:nvPicPr>
                  <pic:blipFill>
                    <a:blip r:embed="rId13"/>
                    <a:srcRect l="19063" b="21586"/>
                    <a:stretch>
                      <a:fillRect/>
                    </a:stretch>
                  </pic:blipFill>
                  <pic:spPr>
                    <a:xfrm>
                      <a:off x="0" y="0"/>
                      <a:ext cx="6144260" cy="3070225"/>
                    </a:xfrm>
                    <a:prstGeom prst="rect">
                      <a:avLst/>
                    </a:prstGeom>
                  </pic:spPr>
                </pic:pic>
              </a:graphicData>
            </a:graphic>
          </wp:inline>
        </w:drawing>
      </w:r>
    </w:p>
    <w:p w14:paraId="3618171E">
      <w:pPr>
        <w:spacing w:line="360" w:lineRule="auto"/>
        <w:ind w:firstLine="0" w:firstLineChars="0"/>
        <w:rPr>
          <w:rFonts w:hint="default" w:ascii="Times New Roman" w:hAnsi="Times New Roman" w:cs="Times New Roman"/>
          <w:highlight w:val="none"/>
          <w:lang w:val="en-US" w:eastAsia="zh-CN"/>
        </w:rPr>
        <w:sectPr>
          <w:pgSz w:w="11906" w:h="16838"/>
          <w:pgMar w:top="1134" w:right="1134" w:bottom="1134" w:left="1134" w:header="851" w:footer="992" w:gutter="0"/>
          <w:pgNumType w:fmt="decimal"/>
          <w:cols w:space="425" w:num="1"/>
          <w:docGrid w:type="lines" w:linePitch="312" w:charSpace="0"/>
        </w:sectPr>
      </w:pPr>
      <w:r>
        <w:rPr>
          <w:rFonts w:ascii="Times New Roman" w:hAnsi="Times New Roman" w:cs="Times New Roman"/>
          <w:b/>
          <w:highlight w:val="none"/>
        </w:rPr>
        <w:t>Fig. S</w:t>
      </w:r>
      <w:r>
        <w:rPr>
          <w:rFonts w:hint="eastAsia" w:ascii="Times New Roman" w:hAnsi="Times New Roman" w:cs="Times New Roman"/>
          <w:b/>
          <w:highlight w:val="none"/>
          <w:lang w:val="en-US" w:eastAsia="zh-CN"/>
        </w:rPr>
        <w:t>7</w:t>
      </w:r>
      <w:r>
        <w:rPr>
          <w:rFonts w:hint="eastAsia" w:ascii="Times New Roman" w:hAnsi="Times New Roman" w:cs="Times New Roman"/>
          <w:b/>
          <w:highlight w:val="none"/>
        </w:rPr>
        <w:t>.</w:t>
      </w:r>
      <w:r>
        <w:rPr>
          <w:rFonts w:ascii="Times New Roman" w:hAnsi="Times New Roman" w:cs="Times New Roman"/>
          <w:highlight w:val="none"/>
        </w:rPr>
        <w:t xml:space="preserve"> </w:t>
      </w:r>
      <w:r>
        <w:rPr>
          <w:rFonts w:hint="eastAsia" w:ascii="Times New Roman" w:hAnsi="Times New Roman" w:cs="Times New Roman"/>
          <w:b/>
          <w:bCs/>
          <w:highlight w:val="none"/>
          <w:lang w:val="en-US" w:eastAsia="zh-CN"/>
        </w:rPr>
        <w:t>B</w:t>
      </w:r>
      <w:r>
        <w:rPr>
          <w:rFonts w:ascii="Times New Roman" w:hAnsi="Times New Roman" w:cs="Times New Roman"/>
          <w:b/>
          <w:bCs/>
          <w:highlight w:val="none"/>
        </w:rPr>
        <w:t xml:space="preserve">iosafety of Gel-V@OR+DP in a subcutaneous </w:t>
      </w:r>
      <w:r>
        <w:rPr>
          <w:rFonts w:hint="eastAsia" w:ascii="Times New Roman" w:hAnsi="Times New Roman" w:cs="Times New Roman"/>
          <w:b/>
          <w:bCs/>
          <w:highlight w:val="none"/>
          <w:lang w:val="en-US" w:eastAsia="zh-CN"/>
        </w:rPr>
        <w:t>B16</w:t>
      </w:r>
      <w:r>
        <w:rPr>
          <w:rFonts w:ascii="Times New Roman" w:hAnsi="Times New Roman" w:cs="Times New Roman"/>
          <w:b/>
          <w:bCs/>
          <w:highlight w:val="none"/>
        </w:rPr>
        <w:t xml:space="preserve"> tumor model.</w:t>
      </w:r>
      <w:r>
        <w:rPr>
          <w:rFonts w:hint="eastAsia" w:ascii="Times New Roman" w:hAnsi="Times New Roman" w:cs="Times New Roman"/>
          <w:b/>
          <w:bCs/>
          <w:highlight w:val="none"/>
          <w:lang w:val="en-US" w:eastAsia="zh-CN"/>
        </w:rPr>
        <w:t xml:space="preserve"> </w:t>
      </w:r>
      <w:r>
        <w:rPr>
          <w:rFonts w:ascii="Times New Roman" w:hAnsi="Times New Roman" w:cs="Times New Roman"/>
          <w:highlight w:val="none"/>
        </w:rPr>
        <w:t>(</w:t>
      </w:r>
      <w:r>
        <w:rPr>
          <w:rFonts w:hint="eastAsia" w:ascii="Times New Roman" w:hAnsi="Times New Roman" w:cs="Times New Roman"/>
          <w:highlight w:val="none"/>
        </w:rPr>
        <w:t>A</w:t>
      </w:r>
      <w:r>
        <w:rPr>
          <w:rFonts w:ascii="Times New Roman" w:hAnsi="Times New Roman" w:cs="Times New Roman"/>
          <w:highlight w:val="none"/>
        </w:rPr>
        <w:t>) Tumor growth kinetics in mice receiving different treatments: NS, Gel-V@OR, Gel-DP, and Gel-V@OR+DP. Treatments (100 μL per dose) were administered peritumorally when tumors reached approximately 100 mm</w:t>
      </w:r>
      <w:r>
        <w:rPr>
          <w:rFonts w:hint="eastAsia" w:ascii="Times New Roman" w:hAnsi="Times New Roman" w:cs="Times New Roman"/>
          <w:highlight w:val="none"/>
          <w:vertAlign w:val="superscript"/>
          <w:lang w:val="en-US" w:eastAsia="zh-CN"/>
        </w:rPr>
        <w:t>3</w:t>
      </w:r>
      <w:r>
        <w:rPr>
          <w:rFonts w:ascii="Times New Roman" w:hAnsi="Times New Roman" w:cs="Times New Roman"/>
          <w:highlight w:val="none"/>
        </w:rPr>
        <w:t>. Data are presented as mean ± SEM (n = 6). Statistical analysis was performed using two-way ANOVA followed by Tukey’s multiple comparisons test. (</w:t>
      </w:r>
      <w:r>
        <w:rPr>
          <w:rFonts w:hint="eastAsia" w:ascii="Times New Roman" w:hAnsi="Times New Roman" w:cs="Times New Roman"/>
          <w:highlight w:val="none"/>
          <w:lang w:val="en-US" w:eastAsia="zh-CN"/>
        </w:rPr>
        <w:t>B</w:t>
      </w:r>
      <w:r>
        <w:rPr>
          <w:rFonts w:ascii="Times New Roman" w:hAnsi="Times New Roman" w:cs="Times New Roman"/>
          <w:highlight w:val="none"/>
        </w:rPr>
        <w:t>) Individual tumor growth curves for each mouse in different treatment groups.</w:t>
      </w:r>
      <w:r>
        <w:rPr>
          <w:rFonts w:hint="eastAsia" w:ascii="Times New Roman" w:hAnsi="Times New Roman" w:cs="Times New Roman"/>
          <w:highlight w:val="none"/>
          <w:lang w:val="en-US" w:eastAsia="zh-CN"/>
        </w:rPr>
        <w:t xml:space="preserve"> (C) </w:t>
      </w:r>
      <w:r>
        <w:rPr>
          <w:rFonts w:ascii="Times New Roman" w:hAnsi="Times New Roman" w:cs="Times New Roman"/>
          <w:highlight w:val="none"/>
        </w:rPr>
        <w:t>Body weight changes during the 16-day treatment period (mean ± SEM).</w:t>
      </w:r>
    </w:p>
    <w:p w14:paraId="7BC37FF3">
      <w:pPr>
        <w:ind w:left="0" w:leftChars="0" w:firstLine="0" w:firstLineChars="0"/>
        <w:rPr>
          <w:rFonts w:hint="eastAsia"/>
          <w:highlight w:val="none"/>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6674485</wp:posOffset>
                </wp:positionH>
                <wp:positionV relativeFrom="paragraph">
                  <wp:posOffset>6817995</wp:posOffset>
                </wp:positionV>
                <wp:extent cx="635" cy="635"/>
                <wp:effectExtent l="12700" t="12700" r="17145" b="17145"/>
                <wp:wrapNone/>
                <wp:docPr id="8" name="墨迹 8"/>
                <wp:cNvGraphicFramePr/>
                <a:graphic xmlns:a="http://schemas.openxmlformats.org/drawingml/2006/main">
                  <a:graphicData uri="http://schemas.microsoft.com/office/word/2010/wordprocessingInk">
                    <mc:AlternateContent xmlns:a14="http://schemas.microsoft.com/office/drawing/2010/main">
                      <mc:Choice Requires="a14">
                        <w14:contentPart bwMode="clr" r:id="rId14">
                          <w14:nvContentPartPr>
                            <w14:cNvPr id="8" name="墨迹 8"/>
                            <w14:cNvContentPartPr/>
                          </w14:nvContentPartPr>
                          <w14:xfrm>
                            <a:off x="7394575" y="7538085"/>
                            <a:ext cx="635" cy="635"/>
                          </w14:xfrm>
                        </w14:contentPart>
                      </mc:Choice>
                    </mc:AlternateContent>
                  </a:graphicData>
                </a:graphic>
              </wp:anchor>
            </w:drawing>
          </mc:Choice>
          <mc:Fallback>
            <w:pict>
              <v:shape id="_x0000_s1026" o:spid="_x0000_s1026" o:spt="75" style="position:absolute;left:0pt;margin-left:525.55pt;margin-top:536.85pt;height:0.05pt;width:0.05pt;z-index:251663360;mso-width-relative:page;mso-height-relative:page;" coordsize="21600,21600" o:gfxdata="UEsDBAoAAAAAAIdO4kAAAAAAAAAAAAAAAAAEAAAAZHJzL1BLAwQUAAAACACHTuJA5EeicdoAAAAP&#10;AQAADwAAAGRycy9kb3ducmV2LnhtbE2PzU7DMBCE70i8g7VI3KhtkEmbxukBBBISh7Ygcd3Ebhzh&#10;nyh22sLT43CB287uaPabanN2lhz1GPvgJfAFA6J9G1TvOwnvb083SyAxoVdog9cSvnSETX15UWGp&#10;wsnv9HGfOpJDfCxRgklpKCmNrdEO4yIM2ufbIYwOU5ZjR9WIpxzuLL1l7J467H3+YHDQD0a3n/vJ&#10;SXh8mV6bbWG2/MOqbzQqpWexkvL6irM1kKTP6c8MM35GhzozNWHyKhKbNROcZ+88FXcFkNnDhFgB&#10;aX53SwG0ruj/HvUPUEsDBBQAAAAIAIdO4kB2m6+MlQEAAIYDAAAOAAAAZHJzL2Uyb0RvYy54bWyt&#10;U0tOwzAU3CNxB8t7mqQfWqKmXVAhdUHpAg5gHLuxiO3o2W3a67DiCqw4DRLH4KXpHyFViN2zx543&#10;88buD5c6JwsBTlmT0KgRUiIMt6kys4Q+Pd5d9ShxnpmU5daIhK6Eo8PB5UW/LGLRtJnNUwEESYyL&#10;yyKhmfdFHASOZ0Iz17CFMAhKC5p5XMIsSIGVyK7zoBmG10FpIS3AcuEc7o5qkG4Y4RxCK6XiYmT5&#10;XAvja1YQOfNoyWWqcHSwViul4P5BSic8ydFrsxuiW7+rsFnUjdodSp63VTDos3gGrMgU30hi50g6&#10;8aiZMihiRzVinpE5qB9UWnGwzkrf4FYHtbH1hNBVFJ7MamxeKmdRm88h5tZ4dD9l4LdprIG/tNA5&#10;jqC8tynmzXP45zAIxCpNKIzTaC/fLG73BqawtzVZTIFU5/EdGqZR0efr29fHO+lRDGdrfnJ8HZFg&#10;A/1GvJSgq0RwxmSZ0G7rpt3pYvQrrDutXtjrVPwsFktPOB64biHIEa2KA/6aZ9vtIAWUcJT34bqS&#10;d/B9Bt9QSwMECgAAAAAAh07iQAAAAAAAAAAAAAAAAAgAAABkcnMvaW5rL1BLAwQUAAAACACHTuJA&#10;bwFoAtsBAADCBAAAEAAAAGRycy9pbmsvaW5rMS54bWy1U01vozAQva/U/2C554D5CAFU0luklXal&#10;attKu0cKDlgFO7JNSP79DsZxWpUeVtpekBn7vZl58+bu/tR36EilYoIXOPAIRpRXoma8KfDz026V&#10;YqR0yeuyE5wW+EwVvt/efLtj/LXvcvgiYOBqOvVdgVutD7nvj+PojZEnZOOHhET+d/768wfeWlRN&#10;94wzDSnVJVQJrulJT2Q5qwtc6RNx74H7UQyyou56isjq+kLLsqI7IftSO8a25Jx2iJc91P0bI30+&#10;wIFBnoZKjAaoQEGiHvvLkD//Dtl9gPTlCWQlYeQS1vQ4ZfSNYPnnhT9IcaBSM3rVaO7IXpxRNf+b&#10;5uYuJVWiGyZhMTqW3QD9hqkXxUm8TpIszIIodnUE/kLrH7lBhS/jBrk+5QYj2gkF/nvJbNtv9bFi&#10;Op9cBqpZT8G9/cEZRysgnsKPWhqPhyRMViRbBeQp2ORknYfZm/FYW174XuSgWsf1Iq8GNDdOvbmr&#10;kdW6dYMgHlnDBLIYZhGSJA5hsxY8uETUUta0+n8wVaIT4H3rjdt9ShJCrguwlJw1XEj6ANZSg6QO&#10;a1BWdwNzll7YbuNyZMX8RfcFvjULjgxyDhg1AxAn9QghKEijKInNcZNs3q2LywTz3v4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HkYvJ24AAAA&#10;IQEAABkAAABkcnMvX3JlbHMvZTJvRG9jLnhtbC5yZWxzhc+xasQwDAbgvdB3MNobJR3KUeJkOQ6y&#10;lhRuNY6SmMSysZzSe/t67MHBDRqE0PdLbf/rd/VDSVxgDU1VgyK2YXK8aPgeL28nUJINT2YPTBpu&#10;JNB3ry/tF+0mlyVZXRRVFBYNa87xE1HsSt5IFSJxmcwheZNLmxaMxm5mIXyv6w9M/w3o7kw1TBrS&#10;MDWgxlssyc/tMM/O0jnYwxPnBxFoD8nBX/1eUJMWyhocb1iqqcqhgF2Ld491f1BLAwQUAAAACACH&#10;TuJAAxUp2gUBAAAtAgAAEwAAAFtDb250ZW50X1R5cGVzXS54bWyVkcFOwzAQRO9I/IPlK0qc9oAQ&#10;atIDKUdAqHyAZW8Sq/ba8prQ/j1O2l4QpeLgg70zb0br1XrvLBshkvFY80VZcQaovDbY1/xj+1w8&#10;cEZJopbWI9T8AMTXze3NansIQCy7kWo+pBQehSA1gJNU+gCYJ52PTqZ8jb0IUu1kD2JZVfdCeUyA&#10;qUgTgzerFjr5aRPb7PPzsUkES5w9HYVTVs1lCNYomXJTMaL+kVKcEsrsnDU0mEB3uQYXvyZMk8sB&#10;J99rXk00GtibjOlFulxD6EhC+y+MMJZ/Q6aWjgrfdUZB2UZqs+0dxnOrS3RY+tar/8I3s+sa2+BO&#10;5LO4Qs8SZ88sMX928w1QSwECFAAUAAAACACHTuJAAxUp2gUBAAAtAgAAEwAAAAAAAAABACAAAABO&#10;BwAAW0NvbnRlbnRfVHlwZXNdLnhtbFBLAQIUAAoAAAAAAIdO4kAAAAAAAAAAAAAAAAAGAAAAAAAA&#10;AAAAEAAAABkFAABfcmVscy9QSwECFAAUAAAACACHTuJAihRmPNEAAACUAQAACwAAAAAAAAABACAA&#10;AAA9BQAAX3JlbHMvLnJlbHNQSwECFAAKAAAAAACHTuJAAAAAAAAAAAAAAAAABAAAAAAAAAAAABAA&#10;AAAAAAAAZHJzL1BLAQIUAAoAAAAAAIdO4kAAAAAAAAAAAAAAAAAKAAAAAAAAAAAAEAAAADcGAABk&#10;cnMvX3JlbHMvUEsBAhQAFAAAAAgAh07iQHkYvJ24AAAAIQEAABkAAAAAAAAAAQAgAAAAXwYAAGRy&#10;cy9fcmVscy9lMm9Eb2MueG1sLnJlbHNQSwECFAAUAAAACACHTuJA5EeicdoAAAAPAQAADwAAAAAA&#10;AAABACAAAAAiAAAAZHJzL2Rvd25yZXYueG1sUEsBAhQAFAAAAAgAh07iQHabr4yVAQAAhgMAAA4A&#10;AAAAAAAAAQAgAAAAKQEAAGRycy9lMm9Eb2MueG1sUEsBAhQACgAAAAAAh07iQAAAAAAAAAAAAAAA&#10;AAgAAAAAAAAAAAAQAAAA6gIAAGRycy9pbmsvUEsBAhQAFAAAAAgAh07iQG8BaALbAQAAwgQAABAA&#10;AAAAAAAAAQAgAAAAEAMAAGRycy9pbmsvaW5rMS54bWxQSwUGAAAAAAoACgBMAgAAhAgAAAAA&#10;">
                <v:imagedata r:id="rId15" o:title=""/>
                <o:lock v:ext="edit"/>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7665085</wp:posOffset>
                </wp:positionH>
                <wp:positionV relativeFrom="paragraph">
                  <wp:posOffset>6779895</wp:posOffset>
                </wp:positionV>
                <wp:extent cx="635" cy="635"/>
                <wp:effectExtent l="12700" t="12700" r="17145" b="17145"/>
                <wp:wrapNone/>
                <wp:docPr id="6" name="墨迹 6"/>
                <wp:cNvGraphicFramePr/>
                <a:graphic xmlns:a="http://schemas.openxmlformats.org/drawingml/2006/main">
                  <a:graphicData uri="http://schemas.microsoft.com/office/word/2010/wordprocessingInk">
                    <mc:AlternateContent xmlns:a14="http://schemas.microsoft.com/office/drawing/2010/main">
                      <mc:Choice Requires="a14">
                        <w14:contentPart bwMode="clr" r:id="rId16">
                          <w14:nvContentPartPr>
                            <w14:cNvPr id="6" name="墨迹 6"/>
                            <w14:cNvContentPartPr/>
                          </w14:nvContentPartPr>
                          <w14:xfrm>
                            <a:off x="8385175" y="7499985"/>
                            <a:ext cx="635" cy="635"/>
                          </w14:xfrm>
                        </w14:contentPart>
                      </mc:Choice>
                    </mc:AlternateContent>
                  </a:graphicData>
                </a:graphic>
              </wp:anchor>
            </w:drawing>
          </mc:Choice>
          <mc:Fallback>
            <w:pict>
              <v:shape id="_x0000_s1026" o:spid="_x0000_s1026" o:spt="75" style="position:absolute;left:0pt;margin-left:603.55pt;margin-top:533.85pt;height:0.05pt;width:0.05pt;z-index:251662336;mso-width-relative:page;mso-height-relative:page;" coordsize="21600,21600" o:gfxdata="UEsDBAoAAAAAAIdO4kAAAAAAAAAAAAAAAAAEAAAAZHJzL1BLAwQUAAAACACHTuJANocCxdoAAAAP&#10;AQAADwAAAGRycy9kb3ducmV2LnhtbE2PwU7DMBBE70j8g7VI3KjtSG1oiNMDCCQkDqUgcXViE0fY&#10;6yh22sLXsznBbWd3NPum3p2DZ0c7pSGiArkSwCx20QzYK3h/e7y5BZayRqN9RKvg2ybYNZcXta5M&#10;POGrPR5yzygEU6UVuJzHivPUORt0WsXRIt0+4xR0Jjn13Ez6ROHB80KIDQ96QPrg9Gjvne2+DnNQ&#10;8PA8v7T70u3lhzc/2pmcn9Zbpa6vpLgDlu05/5lhwSd0aIipjTOaxDzpQpSSvDSJTVkCWzyFlFtg&#10;7bIrizXwpub/ezS/UEsDBBQAAAAIAIdO4kBhCX2zlgEAAIYDAAAOAAAAZHJzL2Uyb0RvYy54bWyt&#10;k01OwzAUhPdI3MHynibpf6OmXVAhdUHpAg5gHLuxiO3o2W3a67DiCqw4DRLH4KX/LUKqEDs744zn&#10;eyP3h0udk4UAp6xJaFQLKRGG21SZWUKfHu9uupQ4z0zKcmtEQlfC0eHg+qpfFrGo28zmqQCCJsbF&#10;ZZHQzPsiDgLHM6GZq9lCGBSlBc08bmEWpMBKdNd5UA/DdlBaSAuwXDiHX0cbkW4d4RJDK6XiYmT5&#10;XAvjN64gcuYRyWWqcHSwTiul4P5BSic8yZG13gmR1u9XeFnUiZotSp53q2DQZ/EMWJEpvo3ELol0&#10;xqiZMhhibzVinpE5qB9WWnGwzkpf41YHG7D1hJAqCs9mNTYvFVnU5HOIuTUe6acM/K6NtfCXK3SO&#10;IyjvbYp98xz+uQwCsUoTCuM0OsQ3i9sDwBQOWJPFFEh1vk2JYRoTfb6+fX28kzbFcnbwk9PfUQm2&#10;0m/GSwm6agRnTJYJ7Ta6raiD1a8S2mn2er1uq/JnsVh6wvFAu4EiR7VaHPlvfHa3HbWAEU76Pt5X&#10;8Y6ez+AbUEsDBAoAAAAAAIdO4kAAAAAAAAAAAAAAAAAIAAAAZHJzL2luay9QSwMEFAAAAAgAh07i&#10;QCTGCRDcAQAAwgQAABAAAABkcnMvaW5rL2luazEueG1stVNNj5swEL1X6n+wvOeA+QghaMneIlVq&#10;pVV3V2qPLEzAWrAj24Tk33dwiJPVsodK7QWZsee9mTdv7h+OXUsOoDSXIqeBxygBUcqKizqnL8/b&#10;RUqJNoWoilYKyOkJNH3YfP1yz8Vb12b4JYgg9Hjq2pw2xuwz3x+GwRsiT6raDxmL/G/i7cd3upmy&#10;KthxwQ1S6kuolMLA0YxgGa9yWpojc+8R+0n2qgR3PUZUeX1hVFHCVqquMA6xKYSAloiiw7p/UWJO&#10;ezxw5KlBUdJjBRqJOurPp/z++5Tth5SuOKKsLIwcYQWHkdG3gmWfF/6o5B6U4XDV6NzRdHEi5fnf&#10;NnfuUoGWbT8KS8mhaHvsN0y9KE7iZZKsw3UQxa6OwJ9p/SM2qvDfsFGuT7HRiNOEAv+9ZFPbt/pM&#10;YjqfXAZqeAfo3m7vjGM0Ao/hJ6Osx0MWJgu2XgTsOVhlbJmF6c14Jlte8F5VrxuH9aquBrQ3Tr1z&#10;VwOvTOMGwTy2xAmsY5xFyJIYeS4d3g5iDqgBXjfmXyCVspXo/ckbd7uUJYxdF2COnNdCKnhEa+le&#10;gcu1WZPuNs1Zema7rcvJJOZP2OX0zi44sZnngFUzSAI0LGOMBGkUsdgeV8nq3bo4Jpz3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eRi8nbgA&#10;AAAhAQAAGQAAAGRycy9fcmVscy9lMm9Eb2MueG1sLnJlbHOFz7FqxDAMBuC90Hcw2hslHcpR4mQ5&#10;DrKWFG41jpKYxLKxnNJ7+3rswcENGoTQ90tt/+t39UNJXGANTVWDIrZhcrxo+B4vbydQkg1PZg9M&#10;Gm4k0HevL+0X7SaXJVldFFUUFg1rzvETUexK3kgVInGZzCF5k0ubFozGbmYhfK/rD0z/DejuTDVM&#10;GtIwNaDGWyzJz+0wz87SOdjDE+cHEWgPycFf/V5QkxbKGhxvWKqpyqGAXYt3j3V/UEsDBBQAAAAI&#10;AIdO4kADFSnaBQEAAC0CAAATAAAAW0NvbnRlbnRfVHlwZXNdLnhtbJWRwU7DMBBE70j8g+UrSpz2&#10;gBBq0gMpR0CofIBlbxKr9trymtD+PU7aXhCl4uCDvTNvRuvVeu8sGyGS8VjzRVlxBqi8NtjX/GP7&#10;XDxwRkmiltYj1PwAxNfN7c1qewhALLuRaj6kFB6FIDWAk1T6AJgnnY9OpnyNvQhS7WQPYllV90J5&#10;TICpSBODN6sWOvlpE9vs8/OxSQRLnD0dhVNWzWUI1iiZclMxov6RUpwSyuycNTSYQHe5Bhe/JkyT&#10;ywEn32teTTQa2JuM6UW6XEPoSEL7L4wwln9DppaOCt91RkHZRmqz7R3Gc6tLdFj61qv/wjez6xrb&#10;4E7ks7hCzxJnzywxf3bzDVBLAQIUABQAAAAIAIdO4kADFSnaBQEAAC0CAAATAAAAAAAAAAEAIAAA&#10;AFAHAABbQ29udGVudF9UeXBlc10ueG1sUEsBAhQACgAAAAAAh07iQAAAAAAAAAAAAAAAAAYAAAAA&#10;AAAAAAAQAAAAGwUAAF9yZWxzL1BLAQIUABQAAAAIAIdO4kCKFGY80QAAAJQBAAALAAAAAAAAAAEA&#10;IAAAAD8FAABfcmVscy8ucmVsc1BLAQIUAAoAAAAAAIdO4kAAAAAAAAAAAAAAAAAEAAAAAAAAAAAA&#10;EAAAAAAAAABkcnMvUEsBAhQACgAAAAAAh07iQAAAAAAAAAAAAAAAAAoAAAAAAAAAAAAQAAAAOQYA&#10;AGRycy9fcmVscy9QSwECFAAUAAAACACHTuJAeRi8nbgAAAAhAQAAGQAAAAAAAAABACAAAABhBgAA&#10;ZHJzL19yZWxzL2Uyb0RvYy54bWwucmVsc1BLAQIUABQAAAAIAIdO4kA2hwLF2gAAAA8BAAAPAAAA&#10;AAAAAAEAIAAAACIAAABkcnMvZG93bnJldi54bWxQSwECFAAUAAAACACHTuJAYQl9s5YBAACGAwAA&#10;DgAAAAAAAAABACAAAAApAQAAZHJzL2Uyb0RvYy54bWxQSwECFAAKAAAAAACHTuJAAAAAAAAAAAAA&#10;AAAACAAAAAAAAAAAABAAAADrAgAAZHJzL2luay9QSwECFAAUAAAACACHTuJAJMYJENwBAADCBAAA&#10;EAAAAAAAAAABACAAAAARAwAAZHJzL2luay9pbmsxLnhtbFBLBQYAAAAACgAKAEwCAACGCAAAAAA=&#10;">
                <v:imagedata r:id="rId15" o:title=""/>
                <o:lock v:ext="edit"/>
              </v:shape>
            </w:pict>
          </mc:Fallback>
        </mc:AlternateContent>
      </w:r>
      <w:r>
        <w:rPr>
          <w:rFonts w:hint="eastAsia"/>
          <w:highlight w:val="none"/>
          <w:lang w:val="en-US" w:eastAsia="zh-CN"/>
        </w:rPr>
        <w:drawing>
          <wp:inline distT="0" distB="0" distL="114300" distR="114300">
            <wp:extent cx="5848985" cy="7433945"/>
            <wp:effectExtent l="0" t="0" r="3175" b="3175"/>
            <wp:docPr id="18" name="图片 18" descr="修回- in vitro 圈门2无比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修回- in vitro 圈门2无比例"/>
                    <pic:cNvPicPr>
                      <a:picLocks noChangeAspect="1"/>
                    </pic:cNvPicPr>
                  </pic:nvPicPr>
                  <pic:blipFill>
                    <a:blip r:embed="rId17"/>
                    <a:stretch>
                      <a:fillRect/>
                    </a:stretch>
                  </pic:blipFill>
                  <pic:spPr>
                    <a:xfrm>
                      <a:off x="0" y="0"/>
                      <a:ext cx="5848985" cy="7433945"/>
                    </a:xfrm>
                    <a:prstGeom prst="rect">
                      <a:avLst/>
                    </a:prstGeom>
                  </pic:spPr>
                </pic:pic>
              </a:graphicData>
            </a:graphic>
          </wp:inline>
        </w:drawing>
      </w:r>
    </w:p>
    <w:p w14:paraId="31764500">
      <w:pPr>
        <w:pStyle w:val="6"/>
        <w:keepNext w:val="0"/>
        <w:keepLines w:val="0"/>
        <w:widowControl/>
        <w:suppressLineNumbers w:val="0"/>
        <w:spacing w:line="360" w:lineRule="auto"/>
        <w:ind w:left="0" w:leftChars="0" w:firstLine="0" w:firstLineChars="0"/>
        <w:jc w:val="left"/>
        <w:textAlignment w:val="center"/>
        <w:rPr>
          <w:rFonts w:hint="default" w:ascii="Times New Roman" w:hAnsi="Times New Roman" w:cs="Times New Roman"/>
          <w:b w:val="0"/>
          <w:bCs w:val="0"/>
          <w:highlight w:val="none"/>
          <w:lang w:val="en-US" w:eastAsia="zh-CN"/>
        </w:rPr>
      </w:pPr>
      <w:r>
        <w:rPr>
          <w:rFonts w:hint="default" w:ascii="Times New Roman" w:hAnsi="Times New Roman" w:cs="Times New Roman"/>
          <w:b/>
          <w:sz w:val="24"/>
          <w:szCs w:val="24"/>
          <w:highlight w:val="none"/>
        </w:rPr>
        <w:t>Fig. S</w:t>
      </w:r>
      <w:r>
        <w:rPr>
          <w:rFonts w:hint="eastAsia" w:ascii="Times New Roman" w:hAnsi="Times New Roman" w:cs="Times New Roman"/>
          <w:b/>
          <w:sz w:val="24"/>
          <w:szCs w:val="24"/>
          <w:highlight w:val="none"/>
          <w:lang w:val="en-US" w:eastAsia="zh-CN"/>
        </w:rPr>
        <w:t>8</w:t>
      </w:r>
      <w:r>
        <w:rPr>
          <w:rFonts w:hint="eastAsia"/>
          <w:sz w:val="24"/>
          <w:szCs w:val="24"/>
          <w:highlight w:val="none"/>
        </w:rPr>
        <w:t xml:space="preserve">. </w:t>
      </w:r>
      <w:r>
        <w:rPr>
          <w:rFonts w:hint="default" w:ascii="Times New Roman" w:hAnsi="Times New Roman" w:cs="Times New Roman"/>
          <w:b/>
          <w:bCs/>
          <w:color w:val="000000"/>
          <w:spacing w:val="0"/>
          <w:position w:val="0"/>
          <w:sz w:val="24"/>
          <w:szCs w:val="24"/>
          <w:highlight w:val="none"/>
        </w:rPr>
        <w:t xml:space="preserve">Representative flow cytometry gating strategies for bacterial characterization, dendritic cell uptake, and </w:t>
      </w:r>
      <w:r>
        <w:rPr>
          <w:rFonts w:hint="eastAsia" w:ascii="Times New Roman" w:hAnsi="Times New Roman" w:cs="Times New Roman"/>
          <w:b/>
          <w:bCs/>
          <w:color w:val="000000"/>
          <w:spacing w:val="0"/>
          <w:position w:val="0"/>
          <w:sz w:val="24"/>
          <w:szCs w:val="24"/>
          <w:highlight w:val="none"/>
          <w:lang w:eastAsia="zh-CN"/>
        </w:rPr>
        <w:t>T cell</w:t>
      </w:r>
      <w:r>
        <w:rPr>
          <w:rFonts w:hint="default" w:ascii="Times New Roman" w:hAnsi="Times New Roman" w:cs="Times New Roman"/>
          <w:b/>
          <w:bCs/>
          <w:color w:val="000000"/>
          <w:spacing w:val="0"/>
          <w:position w:val="0"/>
          <w:sz w:val="24"/>
          <w:szCs w:val="24"/>
          <w:highlight w:val="none"/>
        </w:rPr>
        <w:t xml:space="preserve"> activation analyses. </w:t>
      </w:r>
      <w:r>
        <w:rPr>
          <w:rFonts w:hint="default" w:ascii="Times New Roman" w:hAnsi="Times New Roman" w:cs="Times New Roman"/>
          <w:b w:val="0"/>
          <w:bCs w:val="0"/>
          <w:sz w:val="24"/>
          <w:szCs w:val="24"/>
          <w:highlight w:val="none"/>
          <w:lang w:val="en-US" w:eastAsia="zh-CN"/>
        </w:rPr>
        <w:t>(A)</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Gating strategy used for Fig. S</w:t>
      </w:r>
      <w:r>
        <w:rPr>
          <w:rFonts w:hint="eastAsia" w:ascii="Times New Roman" w:hAnsi="Times New Roman" w:cs="Times New Roman"/>
          <w:b w:val="0"/>
          <w:bCs w:val="0"/>
          <w:sz w:val="24"/>
          <w:szCs w:val="24"/>
          <w:highlight w:val="none"/>
          <w:lang w:val="en-US" w:eastAsia="zh-CN"/>
        </w:rPr>
        <w:t>2G.</w:t>
      </w:r>
      <w:r>
        <w:rPr>
          <w:rFonts w:hint="default" w:ascii="Times New Roman" w:hAnsi="Times New Roman" w:cs="Times New Roman"/>
          <w:b w:val="0"/>
          <w:bCs w:val="0"/>
          <w:sz w:val="24"/>
          <w:szCs w:val="24"/>
          <w:highlight w:val="none"/>
        </w:rPr>
        <w:t xml:space="preserve"> </w:t>
      </w:r>
      <w:r>
        <w:rPr>
          <w:rFonts w:hint="default" w:ascii="Times New Roman" w:hAnsi="Times New Roman" w:cs="Times New Roman"/>
          <w:b w:val="0"/>
          <w:bCs w:val="0"/>
          <w:sz w:val="24"/>
          <w:szCs w:val="24"/>
          <w:highlight w:val="none"/>
          <w:lang w:val="en-US" w:eastAsia="zh-CN"/>
        </w:rPr>
        <w:t>(B)</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 xml:space="preserve">Gating strategy used for Fig. </w:t>
      </w:r>
      <w:r>
        <w:rPr>
          <w:rFonts w:hint="default" w:ascii="Times New Roman" w:hAnsi="Times New Roman" w:cs="Times New Roman"/>
          <w:b w:val="0"/>
          <w:bCs w:val="0"/>
          <w:sz w:val="24"/>
          <w:szCs w:val="24"/>
          <w:highlight w:val="none"/>
          <w:lang w:val="en-US" w:eastAsia="zh-CN"/>
        </w:rPr>
        <w:t>2A</w:t>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(C) </w:t>
      </w:r>
      <w:r>
        <w:rPr>
          <w:rFonts w:hint="default" w:ascii="Times New Roman" w:hAnsi="Times New Roman" w:cs="Times New Roman"/>
          <w:b w:val="0"/>
          <w:bCs w:val="0"/>
          <w:sz w:val="24"/>
          <w:szCs w:val="24"/>
          <w:highlight w:val="none"/>
        </w:rPr>
        <w:t xml:space="preserve">Gating strategy for Fig. </w:t>
      </w:r>
      <w:r>
        <w:rPr>
          <w:rFonts w:hint="default" w:ascii="Times New Roman" w:hAnsi="Times New Roman" w:cs="Times New Roman"/>
          <w:b w:val="0"/>
          <w:bCs w:val="0"/>
          <w:sz w:val="24"/>
          <w:szCs w:val="24"/>
          <w:highlight w:val="none"/>
          <w:lang w:val="en-US" w:eastAsia="zh-CN"/>
        </w:rPr>
        <w:t>2E-H</w:t>
      </w:r>
      <w:r>
        <w:rPr>
          <w:rFonts w:hint="eastAsia" w:ascii="Times New Roman" w:hAnsi="Times New Roman" w:cs="Times New Roman"/>
          <w:b w:val="0"/>
          <w:bCs w:val="0"/>
          <w:sz w:val="24"/>
          <w:szCs w:val="24"/>
          <w:highlight w:val="none"/>
          <w:lang w:val="en-US" w:eastAsia="zh-CN"/>
        </w:rPr>
        <w:t>.</w:t>
      </w:r>
    </w:p>
    <w:p w14:paraId="07BEF284">
      <w:pPr>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br w:type="page"/>
      </w:r>
    </w:p>
    <w:p w14:paraId="06E24A0A">
      <w:pPr>
        <w:ind w:left="0" w:leftChars="0" w:firstLine="0" w:firstLineChars="0"/>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drawing>
          <wp:inline distT="0" distB="0" distL="114300" distR="114300">
            <wp:extent cx="6120130" cy="5801360"/>
            <wp:effectExtent l="0" t="0" r="6350" b="5080"/>
            <wp:docPr id="19" name="图片 19" descr="修回-4 圈门2无比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修回-4 圈门2无比例"/>
                    <pic:cNvPicPr>
                      <a:picLocks noChangeAspect="1"/>
                    </pic:cNvPicPr>
                  </pic:nvPicPr>
                  <pic:blipFill>
                    <a:blip r:embed="rId18"/>
                    <a:stretch>
                      <a:fillRect/>
                    </a:stretch>
                  </pic:blipFill>
                  <pic:spPr>
                    <a:xfrm>
                      <a:off x="0" y="0"/>
                      <a:ext cx="6120130" cy="5801360"/>
                    </a:xfrm>
                    <a:prstGeom prst="rect">
                      <a:avLst/>
                    </a:prstGeom>
                  </pic:spPr>
                </pic:pic>
              </a:graphicData>
            </a:graphic>
          </wp:inline>
        </w:drawing>
      </w:r>
    </w:p>
    <w:p w14:paraId="1746DBA1">
      <w:pPr>
        <w:pStyle w:val="6"/>
        <w:keepNext w:val="0"/>
        <w:keepLines w:val="0"/>
        <w:widowControl/>
        <w:suppressLineNumbers w:val="0"/>
        <w:spacing w:line="360" w:lineRule="auto"/>
        <w:ind w:left="0" w:leftChars="0" w:firstLine="0" w:firstLineChars="0"/>
        <w:jc w:val="left"/>
        <w:textAlignment w:val="center"/>
        <w:rPr>
          <w:rFonts w:hint="default" w:ascii="Times New Roman" w:hAnsi="Times New Roman" w:cs="Times New Roman"/>
          <w:sz w:val="24"/>
          <w:szCs w:val="24"/>
          <w:highlight w:val="none"/>
          <w:lang w:val="en-US"/>
        </w:rPr>
      </w:pPr>
      <w:r>
        <w:rPr>
          <w:rFonts w:hint="default" w:ascii="Times New Roman" w:hAnsi="Times New Roman" w:cs="Times New Roman"/>
          <w:b/>
          <w:sz w:val="24"/>
          <w:szCs w:val="24"/>
          <w:highlight w:val="none"/>
        </w:rPr>
        <w:t>Fig. S</w:t>
      </w:r>
      <w:r>
        <w:rPr>
          <w:rFonts w:hint="eastAsia" w:ascii="Times New Roman" w:hAnsi="Times New Roman" w:cs="Times New Roman"/>
          <w:b/>
          <w:sz w:val="24"/>
          <w:szCs w:val="24"/>
          <w:highlight w:val="none"/>
          <w:lang w:val="en-US" w:eastAsia="zh-CN"/>
        </w:rPr>
        <w:t>9</w:t>
      </w: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b/>
          <w:bCs/>
          <w:color w:val="000000"/>
          <w:spacing w:val="0"/>
          <w:position w:val="0"/>
          <w:sz w:val="24"/>
          <w:szCs w:val="24"/>
          <w:highlight w:val="none"/>
        </w:rPr>
        <w:t xml:space="preserve">Representative flow cytometry gating strategies for tumor immune cell infiltration and memory </w:t>
      </w:r>
      <w:r>
        <w:rPr>
          <w:rFonts w:hint="eastAsia" w:ascii="Times New Roman" w:hAnsi="Times New Roman" w:cs="Times New Roman"/>
          <w:b/>
          <w:bCs/>
          <w:color w:val="000000"/>
          <w:spacing w:val="0"/>
          <w:position w:val="0"/>
          <w:sz w:val="24"/>
          <w:szCs w:val="24"/>
          <w:highlight w:val="none"/>
          <w:lang w:eastAsia="zh-CN"/>
        </w:rPr>
        <w:t>T cell</w:t>
      </w:r>
      <w:r>
        <w:rPr>
          <w:rFonts w:hint="default" w:ascii="Times New Roman" w:hAnsi="Times New Roman" w:cs="Times New Roman"/>
          <w:b/>
          <w:bCs/>
          <w:color w:val="000000"/>
          <w:spacing w:val="0"/>
          <w:position w:val="0"/>
          <w:sz w:val="24"/>
          <w:szCs w:val="24"/>
          <w:highlight w:val="none"/>
        </w:rPr>
        <w:t xml:space="preserve"> analyses</w:t>
      </w:r>
      <w:r>
        <w:rPr>
          <w:rFonts w:hint="eastAsia" w:ascii="Times New Roman" w:hAnsi="Times New Roman" w:cs="Times New Roman"/>
          <w:b/>
          <w:bCs/>
          <w:color w:val="000000"/>
          <w:spacing w:val="0"/>
          <w:position w:val="0"/>
          <w:sz w:val="24"/>
          <w:szCs w:val="24"/>
          <w:highlight w:val="none"/>
          <w:lang w:val="en-US" w:eastAsia="zh-CN"/>
        </w:rPr>
        <w:t>.</w:t>
      </w:r>
      <w:r>
        <w:rPr>
          <w:rFonts w:hint="default" w:ascii="Times New Roman" w:hAnsi="Times New Roman" w:cs="Times New Roman"/>
          <w:b/>
          <w:bCs/>
          <w:color w:val="000000"/>
          <w:spacing w:val="0"/>
          <w:position w:val="0"/>
          <w:sz w:val="24"/>
          <w:szCs w:val="24"/>
          <w:highlight w:val="none"/>
        </w:rPr>
        <w:t xml:space="preserve"> </w:t>
      </w:r>
      <w:r>
        <w:rPr>
          <w:rFonts w:hint="default" w:ascii="Times New Roman" w:hAnsi="Times New Roman" w:cs="Times New Roman"/>
          <w:b w:val="0"/>
          <w:bCs w:val="0"/>
          <w:sz w:val="24"/>
          <w:szCs w:val="24"/>
          <w:highlight w:val="none"/>
          <w:lang w:val="en-US" w:eastAsia="zh-CN"/>
        </w:rPr>
        <w:t>(A)</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Gati</w:t>
      </w:r>
      <w:r>
        <w:rPr>
          <w:rFonts w:hint="default" w:ascii="Times New Roman" w:hAnsi="Times New Roman" w:cs="Times New Roman"/>
          <w:b w:val="0"/>
          <w:bCs w:val="0"/>
          <w:sz w:val="24"/>
          <w:szCs w:val="24"/>
          <w:highlight w:val="none"/>
        </w:rPr>
        <w:t xml:space="preserve">ng strategy for Fig. </w:t>
      </w:r>
      <w:r>
        <w:rPr>
          <w:rFonts w:hint="default" w:ascii="Times New Roman" w:hAnsi="Times New Roman" w:cs="Times New Roman"/>
          <w:b w:val="0"/>
          <w:bCs w:val="0"/>
          <w:sz w:val="24"/>
          <w:szCs w:val="24"/>
          <w:highlight w:val="none"/>
          <w:lang w:val="en-US" w:eastAsia="zh-CN"/>
        </w:rPr>
        <w:t>5A and 7A</w:t>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rPr>
        <w:t xml:space="preserve"> </w:t>
      </w:r>
      <w:r>
        <w:rPr>
          <w:rFonts w:hint="default" w:ascii="Times New Roman" w:hAnsi="Times New Roman" w:cs="Times New Roman"/>
          <w:b w:val="0"/>
          <w:bCs w:val="0"/>
          <w:sz w:val="24"/>
          <w:szCs w:val="24"/>
          <w:highlight w:val="none"/>
          <w:lang w:val="en-US" w:eastAsia="zh-CN"/>
        </w:rPr>
        <w:t>(B)</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 xml:space="preserve">Gating strategy used for Fig. </w:t>
      </w:r>
      <w:r>
        <w:rPr>
          <w:rFonts w:hint="default" w:ascii="Times New Roman" w:hAnsi="Times New Roman" w:cs="Times New Roman"/>
          <w:b w:val="0"/>
          <w:bCs w:val="0"/>
          <w:sz w:val="24"/>
          <w:szCs w:val="24"/>
          <w:highlight w:val="none"/>
          <w:lang w:val="en-US" w:eastAsia="zh-CN"/>
        </w:rPr>
        <w:t xml:space="preserve">5D, </w:t>
      </w:r>
      <w:r>
        <w:rPr>
          <w:rFonts w:hint="eastAsia" w:ascii="Times New Roman" w:hAnsi="Times New Roman" w:cs="Times New Roman"/>
          <w:b w:val="0"/>
          <w:bCs w:val="0"/>
          <w:sz w:val="24"/>
          <w:szCs w:val="24"/>
          <w:highlight w:val="none"/>
          <w:lang w:val="en-US" w:eastAsia="zh-CN"/>
        </w:rPr>
        <w:t xml:space="preserve">5F, </w:t>
      </w:r>
      <w:r>
        <w:rPr>
          <w:rFonts w:hint="default" w:ascii="Times New Roman" w:hAnsi="Times New Roman" w:cs="Times New Roman"/>
          <w:b w:val="0"/>
          <w:bCs w:val="0"/>
          <w:sz w:val="24"/>
          <w:szCs w:val="24"/>
          <w:highlight w:val="none"/>
          <w:lang w:val="en-US" w:eastAsia="zh-CN"/>
        </w:rPr>
        <w:t>7D</w:t>
      </w:r>
      <w:r>
        <w:rPr>
          <w:rFonts w:hint="eastAsia" w:ascii="Times New Roman" w:hAnsi="Times New Roman" w:cs="Times New Roman"/>
          <w:b w:val="0"/>
          <w:bCs w:val="0"/>
          <w:sz w:val="24"/>
          <w:szCs w:val="24"/>
          <w:highlight w:val="none"/>
          <w:lang w:val="en-US" w:eastAsia="zh-CN"/>
        </w:rPr>
        <w:t>, 7F</w:t>
      </w:r>
      <w:r>
        <w:rPr>
          <w:rFonts w:hint="default" w:ascii="Times New Roman" w:hAnsi="Times New Roman" w:cs="Times New Roman"/>
          <w:b w:val="0"/>
          <w:bCs w:val="0"/>
          <w:sz w:val="24"/>
          <w:szCs w:val="24"/>
          <w:highlight w:val="none"/>
          <w:lang w:val="en-US" w:eastAsia="zh-CN"/>
        </w:rPr>
        <w:t xml:space="preserve"> and 7I</w:t>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C</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 xml:space="preserve">Gating strategy used for Fig. </w:t>
      </w:r>
      <w:r>
        <w:rPr>
          <w:rFonts w:hint="default" w:ascii="Times New Roman" w:hAnsi="Times New Roman" w:cs="Times New Roman"/>
          <w:b w:val="0"/>
          <w:bCs w:val="0"/>
          <w:sz w:val="24"/>
          <w:szCs w:val="24"/>
          <w:highlight w:val="none"/>
          <w:lang w:val="en-US" w:eastAsia="zh-CN"/>
        </w:rPr>
        <w:t>5G</w:t>
      </w:r>
      <w:r>
        <w:rPr>
          <w:rFonts w:hint="eastAsia" w:ascii="Times New Roman" w:hAnsi="Times New Roman" w:cs="Times New Roman"/>
          <w:b w:val="0"/>
          <w:bCs w:val="0"/>
          <w:sz w:val="24"/>
          <w:szCs w:val="24"/>
          <w:highlight w:val="none"/>
          <w:lang w:val="en-US" w:eastAsia="zh-CN"/>
        </w:rPr>
        <w:t>, 5H,</w:t>
      </w:r>
      <w:r>
        <w:rPr>
          <w:rFonts w:hint="default" w:ascii="Times New Roman" w:hAnsi="Times New Roman" w:cs="Times New Roman"/>
          <w:b w:val="0"/>
          <w:bCs w:val="0"/>
          <w:sz w:val="24"/>
          <w:szCs w:val="24"/>
          <w:highlight w:val="none"/>
          <w:lang w:val="en-US" w:eastAsia="zh-CN"/>
        </w:rPr>
        <w:t xml:space="preserve"> 7G</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and </w:t>
      </w:r>
      <w:r>
        <w:rPr>
          <w:rFonts w:hint="eastAsia" w:ascii="Times New Roman" w:hAnsi="Times New Roman" w:cs="Times New Roman"/>
          <w:b w:val="0"/>
          <w:bCs w:val="0"/>
          <w:sz w:val="24"/>
          <w:szCs w:val="24"/>
          <w:highlight w:val="none"/>
          <w:lang w:val="en-US" w:eastAsia="zh-CN"/>
        </w:rPr>
        <w:t>7L.</w:t>
      </w:r>
      <w:r>
        <w:rPr>
          <w:rFonts w:hint="default" w:ascii="Times New Roman" w:hAnsi="Times New Roman" w:cs="Times New Roman"/>
          <w:b w:val="0"/>
          <w:bCs w:val="0"/>
          <w:sz w:val="24"/>
          <w:szCs w:val="24"/>
          <w:highlight w:val="none"/>
        </w:rPr>
        <w:t xml:space="preserve"> </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D</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Gating strategy used for Fig. S</w:t>
      </w:r>
      <w:r>
        <w:rPr>
          <w:rFonts w:hint="eastAsia" w:ascii="Times New Roman" w:hAnsi="Times New Roman" w:cs="Times New Roman"/>
          <w:b w:val="0"/>
          <w:bCs w:val="0"/>
          <w:sz w:val="24"/>
          <w:szCs w:val="24"/>
          <w:highlight w:val="none"/>
          <w:lang w:val="en-US" w:eastAsia="zh-CN"/>
        </w:rPr>
        <w:t>2B</w:t>
      </w:r>
      <w:r>
        <w:rPr>
          <w:rFonts w:hint="default" w:ascii="Times New Roman" w:hAnsi="Times New Roman" w:cs="Times New Roman"/>
          <w:b w:val="0"/>
          <w:bCs w:val="0"/>
          <w:sz w:val="24"/>
          <w:szCs w:val="24"/>
          <w:highlight w:val="none"/>
          <w:lang w:val="en-US" w:eastAsia="zh-CN"/>
        </w:rPr>
        <w:t>.</w:t>
      </w:r>
    </w:p>
    <w:p w14:paraId="26960CD7">
      <w:pPr>
        <w:rPr>
          <w:rFonts w:hint="default" w:ascii="Times New Roman" w:hAnsi="Times New Roman" w:cs="Times New Roman"/>
          <w:b w:val="0"/>
          <w:bCs w:val="0"/>
          <w:highlight w:val="none"/>
          <w:lang w:val="en-US" w:eastAsia="zh-CN"/>
        </w:rPr>
      </w:pPr>
    </w:p>
    <w:p w14:paraId="42D5B1BA">
      <w:pPr>
        <w:rPr>
          <w:rFonts w:hint="default" w:ascii="Times New Roman" w:hAnsi="Times New Roman" w:cs="Times New Roman"/>
          <w:b w:val="0"/>
          <w:bCs w:val="0"/>
          <w:highlight w:val="none"/>
          <w:lang w:val="en-US" w:eastAsia="zh-CN"/>
        </w:rPr>
      </w:pPr>
    </w:p>
    <w:p w14:paraId="3E9284C8">
      <w:pPr>
        <w:rPr>
          <w:rFonts w:hint="default" w:ascii="Times New Roman" w:hAnsi="Times New Roman" w:cs="Times New Roman"/>
          <w:b w:val="0"/>
          <w:bCs w:val="0"/>
          <w:highlight w:val="none"/>
          <w:lang w:val="en-US" w:eastAsia="zh-CN"/>
        </w:rPr>
      </w:pPr>
    </w:p>
    <w:p w14:paraId="4B78F0B6">
      <w:pPr>
        <w:rPr>
          <w:rFonts w:hint="default" w:ascii="Times New Roman" w:hAnsi="Times New Roman" w:cs="Times New Roman"/>
          <w:b w:val="0"/>
          <w:bCs w:val="0"/>
          <w:highlight w:val="none"/>
          <w:lang w:val="en-US" w:eastAsia="zh-CN"/>
        </w:rPr>
      </w:pPr>
    </w:p>
    <w:p w14:paraId="4B31BACB">
      <w:r>
        <w:drawing>
          <wp:inline distT="0" distB="0" distL="114300" distR="114300">
            <wp:extent cx="5454650" cy="4324350"/>
            <wp:effectExtent l="0" t="0" r="6350" b="635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9"/>
                    <a:stretch>
                      <a:fillRect/>
                    </a:stretch>
                  </pic:blipFill>
                  <pic:spPr>
                    <a:xfrm>
                      <a:off x="0" y="0"/>
                      <a:ext cx="5454650" cy="4324350"/>
                    </a:xfrm>
                    <a:prstGeom prst="rect">
                      <a:avLst/>
                    </a:prstGeom>
                    <a:noFill/>
                    <a:ln>
                      <a:noFill/>
                    </a:ln>
                  </pic:spPr>
                </pic:pic>
              </a:graphicData>
            </a:graphic>
          </wp:inline>
        </w:drawing>
      </w:r>
    </w:p>
    <w:p w14:paraId="439181A4">
      <w:pPr>
        <w:ind w:firstLine="0" w:firstLineChars="0"/>
        <w:rPr>
          <w:rFonts w:hint="default" w:ascii="Times New Roman" w:hAnsi="Times New Roman" w:cs="Times New Roman"/>
          <w:bCs/>
          <w:color w:val="auto"/>
          <w:highlight w:val="none"/>
          <w:lang w:val="en-US" w:eastAsia="zh-CN"/>
        </w:rPr>
      </w:pPr>
      <w:bookmarkStart w:id="0" w:name="_GoBack"/>
      <w:r>
        <w:rPr>
          <w:rFonts w:hint="default" w:ascii="Times New Roman" w:hAnsi="Times New Roman" w:cs="Times New Roman"/>
          <w:b/>
          <w:bCs w:val="0"/>
          <w:color w:val="auto"/>
          <w:highlight w:val="none"/>
          <w:lang w:val="en-US" w:eastAsia="zh-CN"/>
        </w:rPr>
        <w:t>Fig. S10. Stability of DP nanovaccines in PBS.</w:t>
      </w:r>
      <w:r>
        <w:rPr>
          <w:rFonts w:hint="default" w:ascii="Times New Roman" w:hAnsi="Times New Roman" w:cs="Times New Roman"/>
          <w:bCs/>
          <w:color w:val="auto"/>
          <w:highlight w:val="none"/>
          <w:lang w:val="en-US" w:eastAsia="zh-CN"/>
        </w:rPr>
        <w:t xml:space="preserve"> (A, C) Relative changes in zeta potential of DSPE-PEG</w:t>
      </w:r>
      <w:r>
        <w:rPr>
          <w:rFonts w:hint="default" w:ascii="Times New Roman" w:hAnsi="Times New Roman" w:cs="Times New Roman"/>
          <w:bCs/>
          <w:color w:val="auto"/>
          <w:highlight w:val="none"/>
          <w:vertAlign w:val="subscript"/>
          <w:lang w:val="en-US" w:eastAsia="zh-CN"/>
        </w:rPr>
        <w:t>2000</w:t>
      </w:r>
      <w:r>
        <w:rPr>
          <w:rFonts w:hint="default" w:ascii="Times New Roman" w:hAnsi="Times New Roman" w:cs="Times New Roman"/>
          <w:bCs/>
          <w:color w:val="auto"/>
          <w:highlight w:val="none"/>
          <w:lang w:val="en-US" w:eastAsia="zh-CN"/>
        </w:rPr>
        <w:t>-ME2 (A) and DSPE-PEG</w:t>
      </w:r>
      <w:r>
        <w:rPr>
          <w:rFonts w:hint="default" w:ascii="Times New Roman" w:hAnsi="Times New Roman" w:cs="Times New Roman"/>
          <w:bCs/>
          <w:color w:val="auto"/>
          <w:highlight w:val="none"/>
          <w:vertAlign w:val="subscript"/>
          <w:lang w:val="en-US" w:eastAsia="zh-CN"/>
        </w:rPr>
        <w:t>2000</w:t>
      </w:r>
      <w:r>
        <w:rPr>
          <w:rFonts w:hint="default" w:ascii="Times New Roman" w:hAnsi="Times New Roman" w:cs="Times New Roman"/>
          <w:bCs/>
          <w:color w:val="auto"/>
          <w:highlight w:val="none"/>
          <w:lang w:val="en-US" w:eastAsia="zh-CN"/>
        </w:rPr>
        <w:t>-M27 (C) nanoparticles during incubation in PBS for 10 days. (B, D) Relative changes in hydrodynamic diameter of DSPE-PEG</w:t>
      </w:r>
      <w:r>
        <w:rPr>
          <w:rFonts w:hint="default" w:ascii="Times New Roman" w:hAnsi="Times New Roman" w:cs="Times New Roman"/>
          <w:bCs/>
          <w:color w:val="auto"/>
          <w:highlight w:val="none"/>
          <w:vertAlign w:val="subscript"/>
          <w:lang w:val="en-US" w:eastAsia="zh-CN"/>
        </w:rPr>
        <w:t>2000</w:t>
      </w:r>
      <w:r>
        <w:rPr>
          <w:rFonts w:hint="default" w:ascii="Times New Roman" w:hAnsi="Times New Roman" w:cs="Times New Roman"/>
          <w:bCs/>
          <w:color w:val="auto"/>
          <w:highlight w:val="none"/>
          <w:lang w:val="en-US" w:eastAsia="zh-CN"/>
        </w:rPr>
        <w:t>-ME2 (B) and DSPE-PEG</w:t>
      </w:r>
      <w:r>
        <w:rPr>
          <w:rFonts w:hint="default" w:ascii="Times New Roman" w:hAnsi="Times New Roman" w:cs="Times New Roman"/>
          <w:bCs/>
          <w:color w:val="auto"/>
          <w:highlight w:val="none"/>
          <w:vertAlign w:val="subscript"/>
          <w:lang w:val="en-US" w:eastAsia="zh-CN"/>
        </w:rPr>
        <w:t>2000</w:t>
      </w:r>
      <w:r>
        <w:rPr>
          <w:rFonts w:hint="default" w:ascii="Times New Roman" w:hAnsi="Times New Roman" w:cs="Times New Roman"/>
          <w:bCs/>
          <w:color w:val="auto"/>
          <w:highlight w:val="none"/>
          <w:lang w:val="en-US" w:eastAsia="zh-CN"/>
        </w:rPr>
        <w:t>-M27 (D) nanoparticles during incubation in PBS for 10 days. Values were normalized to the corresponding measurements at day 0.</w:t>
      </w:r>
    </w:p>
    <w:bookmarkEnd w:id="0"/>
    <w:p w14:paraId="72670506">
      <w:pPr>
        <w:rPr>
          <w:rFonts w:hint="default"/>
          <w:lang w:val="en-US" w:eastAsia="zh-CN"/>
        </w:rPr>
      </w:pPr>
    </w:p>
    <w:p w14:paraId="7DF33E11">
      <w:pPr>
        <w:rPr>
          <w:rFonts w:hint="default"/>
          <w:lang w:val="en-US" w:eastAsia="zh-CN"/>
        </w:rPr>
      </w:pPr>
    </w:p>
    <w:p w14:paraId="3483A35C">
      <w:pPr>
        <w:rPr>
          <w:rFonts w:hint="default"/>
          <w:lang w:val="en-US" w:eastAsia="zh-CN"/>
        </w:rPr>
      </w:pPr>
    </w:p>
    <w:p w14:paraId="60D72D10">
      <w:pPr>
        <w:rPr>
          <w:rFonts w:hint="default"/>
          <w:lang w:val="en-US" w:eastAsia="zh-CN"/>
        </w:rPr>
      </w:pPr>
    </w:p>
    <w:p w14:paraId="0A9D3C8D">
      <w:pPr>
        <w:rPr>
          <w:rFonts w:hint="default" w:ascii="Times New Roman" w:hAnsi="Times New Roman" w:cs="Times New Roman"/>
          <w:b w:val="0"/>
          <w:bCs w:val="0"/>
          <w:highlight w:val="none"/>
          <w:lang w:val="en-US" w:eastAsia="zh-CN"/>
        </w:rPr>
      </w:pPr>
    </w:p>
    <w:p w14:paraId="034402DD">
      <w:pPr>
        <w:keepNext w:val="0"/>
        <w:keepLines w:val="0"/>
        <w:pageBreakBefore w:val="0"/>
        <w:widowControl w:val="0"/>
        <w:kinsoku/>
        <w:wordWrap/>
        <w:overflowPunct/>
        <w:topLinePunct w:val="0"/>
        <w:autoSpaceDE/>
        <w:autoSpaceDN/>
        <w:bidi w:val="0"/>
        <w:adjustRightInd/>
        <w:snapToGrid/>
        <w:ind w:firstLine="0" w:firstLineChars="0"/>
        <w:textAlignment w:val="auto"/>
      </w:pPr>
      <w:r>
        <w:drawing>
          <wp:inline distT="0" distB="0" distL="114300" distR="114300">
            <wp:extent cx="6118225" cy="2776220"/>
            <wp:effectExtent l="0" t="0" r="3175" b="508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0"/>
                    <a:stretch>
                      <a:fillRect/>
                    </a:stretch>
                  </pic:blipFill>
                  <pic:spPr>
                    <a:xfrm>
                      <a:off x="0" y="0"/>
                      <a:ext cx="6118225" cy="2776220"/>
                    </a:xfrm>
                    <a:prstGeom prst="rect">
                      <a:avLst/>
                    </a:prstGeom>
                    <a:noFill/>
                    <a:ln>
                      <a:noFill/>
                    </a:ln>
                  </pic:spPr>
                </pic:pic>
              </a:graphicData>
            </a:graphic>
          </wp:inline>
        </w:drawing>
      </w:r>
    </w:p>
    <w:p w14:paraId="568B2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jc w:val="both"/>
        <w:rPr>
          <w:rFonts w:hint="default" w:ascii="Times New Roman" w:hAnsi="Times New Roman" w:cs="Times New Roman"/>
          <w:b w:val="0"/>
          <w:bCs w:val="0"/>
          <w:color w:val="auto"/>
          <w:kern w:val="0"/>
          <w:sz w:val="24"/>
          <w:szCs w:val="24"/>
          <w:highlight w:val="yellow"/>
          <w:lang w:val="en-US" w:eastAsia="zh-CN" w:bidi="ar"/>
        </w:rPr>
      </w:pPr>
      <w:r>
        <w:rPr>
          <w:rFonts w:hint="default" w:ascii="Times New Roman" w:hAnsi="Times New Roman" w:cs="Times New Roman"/>
          <w:b/>
          <w:color w:val="auto"/>
          <w:sz w:val="24"/>
          <w:szCs w:val="24"/>
          <w:highlight w:val="none"/>
        </w:rPr>
        <w:t>Fig. S</w:t>
      </w:r>
      <w:r>
        <w:rPr>
          <w:rFonts w:hint="default" w:ascii="Times New Roman" w:hAnsi="Times New Roman" w:cs="Times New Roman"/>
          <w:b/>
          <w:color w:val="auto"/>
          <w:sz w:val="24"/>
          <w:szCs w:val="24"/>
          <w:highlight w:val="none"/>
          <w:lang w:val="en-US" w:eastAsia="zh-CN"/>
        </w:rPr>
        <w:t>11</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b/>
          <w:bCs w:val="0"/>
          <w:color w:val="auto"/>
          <w:highlight w:val="none"/>
        </w:rPr>
        <w:t>OX40 upregulation on CD8</w:t>
      </w:r>
      <w:r>
        <w:rPr>
          <w:rFonts w:hint="default" w:ascii="Times New Roman" w:hAnsi="Times New Roman" w:cs="Times New Roman"/>
          <w:b/>
          <w:bCs w:val="0"/>
          <w:color w:val="auto"/>
          <w:highlight w:val="none"/>
          <w:vertAlign w:val="superscript"/>
          <w:lang w:val="en-US" w:eastAsia="zh-CN"/>
        </w:rPr>
        <w:t>+</w:t>
      </w:r>
      <w:r>
        <w:rPr>
          <w:rFonts w:hint="default" w:ascii="Times New Roman" w:hAnsi="Times New Roman" w:cs="Times New Roman"/>
          <w:b/>
          <w:bCs w:val="0"/>
          <w:color w:val="auto"/>
          <w:highlight w:val="none"/>
          <w:lang w:val="en-US" w:eastAsia="zh-CN"/>
        </w:rPr>
        <w:t xml:space="preserve"> </w:t>
      </w:r>
      <w:r>
        <w:rPr>
          <w:rFonts w:hint="default" w:ascii="Times New Roman" w:hAnsi="Times New Roman" w:cs="Times New Roman"/>
          <w:b/>
          <w:bCs w:val="0"/>
          <w:color w:val="auto"/>
          <w:highlight w:val="none"/>
        </w:rPr>
        <w:t xml:space="preserve">T cells, bacterial integrity validation, and functional verification of </w:t>
      </w:r>
      <w:r>
        <w:rPr>
          <w:rFonts w:hint="default" w:ascii="Times New Roman" w:hAnsi="Times New Roman" w:cs="Times New Roman"/>
          <w:b/>
          <w:bCs/>
          <w:color w:val="auto"/>
          <w:highlight w:val="none"/>
          <w:lang w:val="en-US" w:eastAsia="zh-CN"/>
        </w:rPr>
        <w:t>αOX40</w:t>
      </w:r>
      <w:r>
        <w:rPr>
          <w:rFonts w:hint="default" w:ascii="Times New Roman" w:hAnsi="Times New Roman" w:cs="Times New Roman"/>
          <w:b/>
          <w:bCs w:val="0"/>
          <w:color w:val="auto"/>
          <w:highlight w:val="none"/>
        </w:rPr>
        <w:t xml:space="preserve"> surface modification.</w:t>
      </w:r>
      <w:r>
        <w:rPr>
          <w:rFonts w:hint="default" w:ascii="Times New Roman" w:hAnsi="Times New Roman" w:cs="Times New Roman"/>
          <w:b/>
          <w:bCs w:val="0"/>
          <w:color w:val="auto"/>
          <w:highlight w:val="none"/>
          <w:lang w:val="en-US" w:eastAsia="zh-CN"/>
        </w:rPr>
        <w:t xml:space="preserve"> </w:t>
      </w:r>
      <w:r>
        <w:rPr>
          <w:rFonts w:hint="default" w:ascii="Times New Roman" w:hAnsi="Times New Roman" w:cs="Times New Roman"/>
          <w:bCs/>
          <w:color w:val="auto"/>
          <w:highlight w:val="none"/>
        </w:rPr>
        <w:t>(A) Representative flow cytometry plots showing OX40 expression in tumor-infiltrating CD3⁺CD</w:t>
      </w:r>
      <w:r>
        <w:rPr>
          <w:rFonts w:hint="default" w:ascii="Times New Roman" w:hAnsi="Times New Roman" w:cs="Times New Roman"/>
          <w:bCs/>
          <w:color w:val="auto"/>
          <w:highlight w:val="none"/>
          <w:lang w:val="en-US" w:eastAsia="zh-CN"/>
        </w:rPr>
        <w:t>8</w:t>
      </w:r>
      <w:r>
        <w:rPr>
          <w:rFonts w:hint="default" w:ascii="Times New Roman" w:hAnsi="Times New Roman" w:cs="Times New Roman"/>
          <w:bCs/>
          <w:color w:val="auto"/>
          <w:highlight w:val="none"/>
        </w:rPr>
        <w:t>⁺ T cells 48 h after intratumoral administration of NS or R848.</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(B) Quantitative analysis of the percentage of OX40⁺ cells within the CD3⁺CD</w:t>
      </w:r>
      <w:r>
        <w:rPr>
          <w:rFonts w:hint="default" w:ascii="Times New Roman" w:hAnsi="Times New Roman" w:cs="Times New Roman"/>
          <w:bCs/>
          <w:color w:val="auto"/>
          <w:highlight w:val="none"/>
          <w:lang w:val="en-US" w:eastAsia="zh-CN"/>
        </w:rPr>
        <w:t>8</w:t>
      </w:r>
      <w:r>
        <w:rPr>
          <w:rFonts w:hint="default" w:ascii="Times New Roman" w:hAnsi="Times New Roman" w:cs="Times New Roman"/>
          <w:bCs/>
          <w:color w:val="auto"/>
          <w:highlight w:val="none"/>
        </w:rPr>
        <w:t>⁺ T cell population.</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w:t>
      </w:r>
      <w:r>
        <w:rPr>
          <w:rFonts w:hint="default" w:ascii="Times New Roman" w:hAnsi="Times New Roman" w:cs="Times New Roman"/>
          <w:bCs/>
          <w:color w:val="auto"/>
          <w:highlight w:val="none"/>
          <w:lang w:val="en-US" w:eastAsia="zh-CN"/>
        </w:rPr>
        <w:t>C</w:t>
      </w:r>
      <w:r>
        <w:rPr>
          <w:rFonts w:hint="default" w:ascii="Times New Roman" w:hAnsi="Times New Roman" w:cs="Times New Roman"/>
          <w:bCs/>
          <w:color w:val="auto"/>
          <w:highlight w:val="none"/>
        </w:rPr>
        <w:t>)</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Representative immunofluorescence image of V@</w:t>
      </w:r>
      <w:r>
        <w:rPr>
          <w:rFonts w:hint="default" w:ascii="Times New Roman" w:hAnsi="Times New Roman" w:cs="Times New Roman"/>
          <w:b w:val="0"/>
          <w:bCs w:val="0"/>
          <w:color w:val="auto"/>
          <w:highlight w:val="none"/>
          <w:lang w:val="en-US" w:eastAsia="zh-CN"/>
        </w:rPr>
        <w:t>O</w:t>
      </w:r>
      <w:r>
        <w:rPr>
          <w:rFonts w:hint="default" w:ascii="Times New Roman" w:hAnsi="Times New Roman" w:cs="Times New Roman"/>
          <w:bCs/>
          <w:color w:val="auto"/>
          <w:highlight w:val="none"/>
        </w:rPr>
        <w:t xml:space="preserve"> (Cy5.5-labeled </w:t>
      </w:r>
      <w:r>
        <w:rPr>
          <w:rFonts w:hint="default" w:ascii="Times New Roman" w:hAnsi="Times New Roman" w:cs="Times New Roman"/>
          <w:b w:val="0"/>
          <w:bCs w:val="0"/>
          <w:color w:val="auto"/>
          <w:highlight w:val="none"/>
          <w:lang w:val="en-US" w:eastAsia="zh-CN"/>
        </w:rPr>
        <w:t>αOX40</w:t>
      </w:r>
      <w:r>
        <w:rPr>
          <w:rFonts w:hint="default" w:ascii="Times New Roman" w:hAnsi="Times New Roman" w:cs="Times New Roman"/>
          <w:bCs/>
          <w:color w:val="auto"/>
          <w:highlight w:val="none"/>
        </w:rPr>
        <w:t>). Scale bar = 1</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μm</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w:t>
      </w:r>
      <w:r>
        <w:rPr>
          <w:rFonts w:hint="default" w:ascii="Times New Roman" w:hAnsi="Times New Roman" w:cs="Times New Roman"/>
          <w:bCs/>
          <w:color w:val="auto"/>
          <w:highlight w:val="none"/>
          <w:lang w:val="en-US" w:eastAsia="zh-CN"/>
        </w:rPr>
        <w:t>D</w:t>
      </w:r>
      <w:r>
        <w:rPr>
          <w:rFonts w:hint="default" w:ascii="Times New Roman" w:hAnsi="Times New Roman" w:cs="Times New Roman"/>
          <w:bCs/>
          <w:color w:val="auto"/>
          <w:highlight w:val="none"/>
        </w:rPr>
        <w:t>) Quantitative analysis of CD25⁺ and CD69⁺ proportions in CD4⁺ and CD8⁺ T cells following co</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culture with V@R (R848</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 xml:space="preserve">loaded VNP20009 without </w:t>
      </w:r>
      <w:r>
        <w:rPr>
          <w:rFonts w:hint="default" w:ascii="Times New Roman" w:hAnsi="Times New Roman" w:cs="Times New Roman"/>
          <w:b w:val="0"/>
          <w:bCs w:val="0"/>
          <w:color w:val="auto"/>
          <w:highlight w:val="none"/>
          <w:lang w:val="en-US" w:eastAsia="zh-CN"/>
        </w:rPr>
        <w:t>αOX40</w:t>
      </w:r>
      <w:r>
        <w:rPr>
          <w:rFonts w:hint="default" w:ascii="Times New Roman" w:hAnsi="Times New Roman" w:cs="Times New Roman"/>
          <w:bCs/>
          <w:color w:val="auto"/>
          <w:highlight w:val="none"/>
        </w:rPr>
        <w:t xml:space="preserve"> conjugation) or V@OR (VNP20009 co</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 xml:space="preserve">modified with R848 and </w:t>
      </w:r>
      <w:r>
        <w:rPr>
          <w:rFonts w:hint="default" w:ascii="Times New Roman" w:hAnsi="Times New Roman" w:cs="Times New Roman"/>
          <w:b w:val="0"/>
          <w:bCs w:val="0"/>
          <w:color w:val="auto"/>
          <w:highlight w:val="none"/>
          <w:lang w:val="en-US" w:eastAsia="zh-CN"/>
        </w:rPr>
        <w:t>αOX40</w:t>
      </w:r>
      <w:r>
        <w:rPr>
          <w:rFonts w:hint="default" w:ascii="Times New Roman" w:hAnsi="Times New Roman" w:cs="Times New Roman"/>
          <w:bCs/>
          <w:color w:val="auto"/>
          <w:highlight w:val="none"/>
        </w:rPr>
        <w:t>).Data are presented as mean</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w:t>
      </w:r>
      <w:r>
        <w:rPr>
          <w:rFonts w:hint="default" w:ascii="Times New Roman" w:hAnsi="Times New Roman" w:cs="Times New Roman"/>
          <w:bCs/>
          <w:color w:val="auto"/>
          <w:highlight w:val="none"/>
          <w:lang w:val="en-US" w:eastAsia="zh-CN"/>
        </w:rPr>
        <w:t xml:space="preserve"> </w:t>
      </w:r>
      <w:r>
        <w:rPr>
          <w:rFonts w:hint="default" w:ascii="Times New Roman" w:hAnsi="Times New Roman" w:cs="Times New Roman"/>
          <w:bCs/>
          <w:color w:val="auto"/>
          <w:highlight w:val="none"/>
        </w:rPr>
        <w:t>SEM (n</w:t>
      </w:r>
      <w:r>
        <w:rPr>
          <w:rFonts w:hint="default" w:ascii="Times New Roman" w:hAnsi="Times New Roman" w:cs="Times New Roman"/>
          <w:bCs/>
          <w:color w:val="auto"/>
          <w:highlight w:val="none"/>
          <w:lang w:val="en-US" w:eastAsia="zh-CN"/>
        </w:rPr>
        <w:t xml:space="preserve"> = </w:t>
      </w:r>
      <w:r>
        <w:rPr>
          <w:rFonts w:hint="default" w:ascii="Times New Roman" w:hAnsi="Times New Roman" w:cs="Times New Roman"/>
          <w:bCs/>
          <w:color w:val="auto"/>
          <w:highlight w:val="none"/>
        </w:rPr>
        <w:t>3). Statistical significance was analyzed using an unpaired two</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tailed Student</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s t</w:t>
      </w:r>
      <w:r>
        <w:rPr>
          <w:rFonts w:hint="default"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rPr>
        <w:t>test. *</w:t>
      </w:r>
      <w:r>
        <w:rPr>
          <w:rFonts w:hint="default" w:ascii="Times New Roman" w:hAnsi="Times New Roman" w:cs="Times New Roman"/>
          <w:bCs/>
          <w:i/>
          <w:iCs/>
          <w:color w:val="auto"/>
          <w:highlight w:val="none"/>
          <w:lang w:val="en-US" w:eastAsia="zh-CN"/>
        </w:rPr>
        <w:t>p</w:t>
      </w:r>
      <w:r>
        <w:rPr>
          <w:rFonts w:hint="default" w:ascii="Times New Roman" w:hAnsi="Times New Roman" w:cs="Times New Roman"/>
          <w:bCs/>
          <w:color w:val="auto"/>
          <w:highlight w:val="none"/>
        </w:rPr>
        <w:t> &lt; 0.05, **</w:t>
      </w:r>
      <w:r>
        <w:rPr>
          <w:rFonts w:hint="default" w:ascii="Times New Roman" w:hAnsi="Times New Roman" w:cs="Times New Roman"/>
          <w:bCs/>
          <w:i/>
          <w:iCs/>
          <w:color w:val="auto"/>
          <w:highlight w:val="none"/>
          <w:lang w:val="en-US" w:eastAsia="zh-CN"/>
        </w:rPr>
        <w:t>p</w:t>
      </w:r>
      <w:r>
        <w:rPr>
          <w:rFonts w:hint="default" w:ascii="Times New Roman" w:hAnsi="Times New Roman" w:cs="Times New Roman"/>
          <w:bCs/>
          <w:i/>
          <w:iCs/>
          <w:color w:val="auto"/>
          <w:highlight w:val="none"/>
        </w:rPr>
        <w:t> </w:t>
      </w:r>
      <w:r>
        <w:rPr>
          <w:rFonts w:hint="default" w:ascii="Times New Roman" w:hAnsi="Times New Roman" w:cs="Times New Roman"/>
          <w:bCs/>
          <w:color w:val="auto"/>
          <w:highlight w:val="none"/>
        </w:rPr>
        <w:t>&lt; 0.01.</w:t>
      </w:r>
    </w:p>
    <w:p w14:paraId="1F906779">
      <w:pPr>
        <w:pStyle w:val="6"/>
        <w:keepNext w:val="0"/>
        <w:keepLines w:val="0"/>
        <w:widowControl/>
        <w:suppressLineNumbers w:val="0"/>
        <w:spacing w:line="360" w:lineRule="auto"/>
        <w:ind w:left="0" w:leftChars="0" w:firstLine="0" w:firstLineChars="0"/>
        <w:jc w:val="left"/>
        <w:textAlignment w:val="center"/>
        <w:rPr>
          <w:rFonts w:hint="default" w:ascii="Times New Roman" w:hAnsi="Times New Roman" w:cs="Times New Roman"/>
          <w:color w:val="auto"/>
          <w:lang w:val="en-US" w:eastAsia="zh-CN"/>
        </w:rPr>
        <w:sectPr>
          <w:pgSz w:w="11906" w:h="16838"/>
          <w:pgMar w:top="1134" w:right="1134" w:bottom="1134" w:left="1134" w:header="851" w:footer="992" w:gutter="0"/>
          <w:pgNumType w:fmt="decimal"/>
          <w:cols w:space="425" w:num="1"/>
          <w:docGrid w:type="lines" w:linePitch="312" w:charSpace="0"/>
        </w:sectPr>
      </w:pPr>
    </w:p>
    <w:p w14:paraId="2EF87EF3">
      <w:pPr>
        <w:spacing w:line="288" w:lineRule="auto"/>
        <w:ind w:firstLine="0" w:firstLineChars="0"/>
        <w:rPr>
          <w:rFonts w:ascii="Times New Roman" w:hAnsi="Times New Roman" w:cs="Times New Roman"/>
          <w:color w:val="auto"/>
          <w:highlight w:val="none"/>
        </w:rPr>
      </w:pPr>
    </w:p>
    <w:p w14:paraId="7769F14B">
      <w:pPr>
        <w:spacing w:line="288" w:lineRule="auto"/>
        <w:ind w:firstLine="0" w:firstLineChars="0"/>
        <w:rPr>
          <w:rFonts w:ascii="Times New Roman" w:hAnsi="Times New Roman" w:cs="Times New Roman"/>
          <w:color w:val="auto"/>
          <w:highlight w:val="none"/>
        </w:rPr>
      </w:pPr>
      <w:r>
        <w:rPr>
          <w:rFonts w:ascii="Times New Roman" w:hAnsi="Times New Roman" w:cs="Times New Roman"/>
          <w:color w:val="auto"/>
          <w:highlight w:val="none"/>
        </w:rPr>
        <w:t>Catalog numbers for all antibodies used in this study</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The catalog numbers, clones, and sources of all antibodies are listed as follows:</w:t>
      </w:r>
    </w:p>
    <w:p w14:paraId="1846A18A">
      <w:pPr>
        <w:pStyle w:val="6"/>
        <w:widowControl/>
        <w:spacing w:beforeAutospacing="0" w:afterAutospacing="0" w:line="288" w:lineRule="auto"/>
        <w:ind w:firstLine="0" w:firstLineChars="0"/>
        <w:jc w:val="both"/>
        <w:textAlignment w:val="center"/>
        <w:rPr>
          <w:rFonts w:ascii="Times New Roman" w:hAnsi="Times New Roman"/>
          <w:color w:val="auto"/>
          <w:highlight w:val="none"/>
        </w:rPr>
      </w:pPr>
      <w:r>
        <w:rPr>
          <w:rFonts w:ascii="Times New Roman" w:hAnsi="Times New Roman"/>
          <w:color w:val="auto"/>
          <w:highlight w:val="none"/>
        </w:rPr>
        <w:t xml:space="preserve">Antibodies were purchased from </w:t>
      </w:r>
      <w:r>
        <w:rPr>
          <w:rFonts w:ascii="Times New Roman" w:hAnsi="Times New Roman" w:eastAsia="微软雅黑"/>
          <w:color w:val="auto"/>
          <w:highlight w:val="none"/>
          <w:shd w:val="clear" w:color="auto" w:fill="FFFFFF"/>
        </w:rPr>
        <w:t xml:space="preserve">BD </w:t>
      </w:r>
      <w:r>
        <w:rPr>
          <w:rFonts w:ascii="Times New Roman" w:hAnsi="Times New Roman" w:eastAsia="宋体" w:cs="Times New Roman"/>
          <w:b w:val="0"/>
          <w:color w:val="000000"/>
          <w:kern w:val="0"/>
          <w:sz w:val="24"/>
          <w:szCs w:val="24"/>
          <w:highlight w:val="none"/>
          <w:lang w:val="en-US" w:eastAsia="zh-CN" w:bidi="ar"/>
        </w:rPr>
        <w:t>Biosciences</w:t>
      </w:r>
      <w:r>
        <w:rPr>
          <w:rFonts w:hint="eastAsia" w:ascii="Times New Roman" w:hAnsi="Times New Roman" w:cs="Times New Roman"/>
          <w:b w:val="0"/>
          <w:color w:val="000000"/>
          <w:kern w:val="0"/>
          <w:sz w:val="24"/>
          <w:szCs w:val="24"/>
          <w:highlight w:val="none"/>
          <w:lang w:val="en-US" w:eastAsia="zh-CN" w:bidi="ar"/>
        </w:rPr>
        <w:t xml:space="preserve"> or </w:t>
      </w:r>
      <w:r>
        <w:rPr>
          <w:rFonts w:ascii="Times New Roman" w:hAnsi="Times New Roman" w:eastAsia="宋体" w:cs="Times New Roman"/>
          <w:b w:val="0"/>
          <w:color w:val="000000"/>
          <w:kern w:val="0"/>
          <w:sz w:val="24"/>
          <w:szCs w:val="24"/>
          <w:highlight w:val="none"/>
          <w:lang w:val="en-US" w:eastAsia="zh-CN" w:bidi="ar"/>
        </w:rPr>
        <w:t>BioLegend</w:t>
      </w:r>
      <w:r>
        <w:rPr>
          <w:rFonts w:ascii="Times New Roman" w:hAnsi="Times New Roman"/>
          <w:color w:val="auto"/>
          <w:highlight w:val="none"/>
        </w:rPr>
        <w:t xml:space="preserve"> and diluted in 1:100 :</w:t>
      </w:r>
    </w:p>
    <w:tbl>
      <w:tblPr>
        <w:tblStyle w:val="7"/>
        <w:tblpPr w:leftFromText="180" w:rightFromText="180" w:vertAnchor="text" w:horzAnchor="page" w:tblpX="1286" w:tblpY="1594"/>
        <w:tblOverlap w:val="never"/>
        <w:tblW w:w="480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51"/>
        <w:gridCol w:w="2928"/>
        <w:gridCol w:w="2970"/>
      </w:tblGrid>
      <w:tr w14:paraId="0EA9C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blHeader/>
        </w:trPr>
        <w:tc>
          <w:tcPr>
            <w:tcW w:w="1879" w:type="pct"/>
            <w:tcBorders>
              <w:top w:val="single" w:color="000000" w:sz="12" w:space="0"/>
              <w:left w:val="nil"/>
              <w:bottom w:val="single" w:color="000000" w:sz="4" w:space="0"/>
              <w:right w:val="nil"/>
              <w:tl2br w:val="nil"/>
            </w:tcBorders>
            <w:shd w:val="clear" w:color="auto" w:fill="FFFFFF"/>
            <w:tcMar>
              <w:top w:w="96" w:type="dxa"/>
              <w:left w:w="96" w:type="dxa"/>
              <w:bottom w:w="96" w:type="dxa"/>
              <w:right w:w="96" w:type="dxa"/>
            </w:tcMar>
            <w:vAlign w:val="center"/>
          </w:tcPr>
          <w:p w14:paraId="100FF982">
            <w:pPr>
              <w:keepNext w:val="0"/>
              <w:keepLines w:val="0"/>
              <w:widowControl/>
              <w:suppressLineNumbers w:val="0"/>
              <w:spacing w:line="240" w:lineRule="auto"/>
              <w:ind w:firstLine="0" w:firstLineChars="0"/>
              <w:jc w:val="center"/>
              <w:rPr>
                <w:rFonts w:ascii="Times New Roman" w:hAnsi="Times New Roman" w:cs="Times New Roman"/>
                <w:b w:val="0"/>
                <w:bCs/>
                <w:color w:val="000000"/>
                <w:highlight w:val="none"/>
              </w:rPr>
            </w:pPr>
            <w:r>
              <w:rPr>
                <w:rFonts w:hint="eastAsia" w:ascii="Times New Roman" w:hAnsi="Times New Roman" w:eastAsia="宋体" w:cs="Times New Roman"/>
                <w:b w:val="0"/>
                <w:bCs/>
                <w:color w:val="000000"/>
                <w:kern w:val="0"/>
                <w:sz w:val="24"/>
                <w:szCs w:val="24"/>
                <w:highlight w:val="none"/>
                <w:lang w:val="en-US" w:eastAsia="zh-CN" w:bidi="ar"/>
              </w:rPr>
              <w:t>Antibody name</w:t>
            </w:r>
          </w:p>
        </w:tc>
        <w:tc>
          <w:tcPr>
            <w:tcW w:w="1549" w:type="pct"/>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center"/>
          </w:tcPr>
          <w:p w14:paraId="63641EA7">
            <w:pPr>
              <w:keepNext w:val="0"/>
              <w:keepLines w:val="0"/>
              <w:widowControl/>
              <w:suppressLineNumbers w:val="0"/>
              <w:spacing w:line="240" w:lineRule="auto"/>
              <w:ind w:firstLine="0" w:firstLineChars="0"/>
              <w:jc w:val="center"/>
              <w:rPr>
                <w:rFonts w:ascii="Times New Roman" w:hAnsi="Times New Roman" w:cs="Times New Roman"/>
                <w:b w:val="0"/>
                <w:bCs/>
                <w:color w:val="000000"/>
                <w:highlight w:val="none"/>
              </w:rPr>
            </w:pPr>
            <w:r>
              <w:rPr>
                <w:rFonts w:ascii="Times New Roman" w:hAnsi="Times New Roman" w:eastAsia="宋体" w:cs="Times New Roman"/>
                <w:sz w:val="24"/>
                <w:szCs w:val="24"/>
              </w:rPr>
              <w:t>Catalog Number</w:t>
            </w:r>
          </w:p>
        </w:tc>
        <w:tc>
          <w:tcPr>
            <w:tcW w:w="1571" w:type="pct"/>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center"/>
          </w:tcPr>
          <w:p w14:paraId="61A2A74F">
            <w:pPr>
              <w:keepNext w:val="0"/>
              <w:keepLines w:val="0"/>
              <w:widowControl/>
              <w:suppressLineNumbers w:val="0"/>
              <w:spacing w:line="240" w:lineRule="auto"/>
              <w:ind w:firstLine="0" w:firstLineChars="0"/>
              <w:jc w:val="center"/>
              <w:rPr>
                <w:rFonts w:ascii="Times New Roman" w:hAnsi="Times New Roman" w:cs="Times New Roman"/>
                <w:b w:val="0"/>
                <w:bCs/>
                <w:color w:val="000000"/>
                <w:highlight w:val="none"/>
              </w:rPr>
            </w:pPr>
            <w:r>
              <w:rPr>
                <w:rFonts w:hint="default" w:ascii="Times New Roman" w:hAnsi="Times New Roman" w:eastAsia="宋体" w:cs="Times New Roman"/>
                <w:b w:val="0"/>
                <w:bCs/>
                <w:color w:val="000000"/>
                <w:kern w:val="0"/>
                <w:sz w:val="24"/>
                <w:szCs w:val="24"/>
                <w:highlight w:val="none"/>
                <w:lang w:val="en-US" w:eastAsia="zh-CN" w:bidi="ar"/>
              </w:rPr>
              <w:t>Company</w:t>
            </w:r>
          </w:p>
        </w:tc>
      </w:tr>
      <w:tr w14:paraId="2DEFA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single" w:color="000000" w:sz="4" w:space="0"/>
              <w:left w:val="nil"/>
              <w:bottom w:val="nil"/>
              <w:right w:val="nil"/>
            </w:tcBorders>
            <w:shd w:val="clear" w:color="auto" w:fill="FFFFFF"/>
            <w:tcMar>
              <w:top w:w="96" w:type="dxa"/>
              <w:left w:w="96" w:type="dxa"/>
              <w:bottom w:w="96" w:type="dxa"/>
              <w:right w:w="96" w:type="dxa"/>
            </w:tcMar>
            <w:vAlign w:val="center"/>
          </w:tcPr>
          <w:p w14:paraId="0A6EE717">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CD11c (PE)</w:t>
            </w:r>
          </w:p>
        </w:tc>
        <w:tc>
          <w:tcPr>
            <w:tcW w:w="1549" w:type="pct"/>
            <w:tcBorders>
              <w:top w:val="single" w:color="000000" w:sz="4" w:space="0"/>
              <w:left w:val="nil"/>
              <w:bottom w:val="nil"/>
              <w:right w:val="nil"/>
            </w:tcBorders>
            <w:shd w:val="clear" w:color="auto" w:fill="FFFFFF"/>
            <w:tcMar>
              <w:top w:w="96" w:type="dxa"/>
              <w:left w:w="96" w:type="dxa"/>
              <w:bottom w:w="96" w:type="dxa"/>
              <w:right w:w="96" w:type="dxa"/>
            </w:tcMar>
            <w:vAlign w:val="center"/>
          </w:tcPr>
          <w:p w14:paraId="556445D7">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557401</w:t>
            </w:r>
          </w:p>
        </w:tc>
        <w:tc>
          <w:tcPr>
            <w:tcW w:w="1571" w:type="pct"/>
            <w:tcBorders>
              <w:top w:val="single" w:color="000000" w:sz="4" w:space="0"/>
              <w:left w:val="nil"/>
              <w:bottom w:val="nil"/>
              <w:right w:val="nil"/>
            </w:tcBorders>
            <w:shd w:val="clear" w:color="auto" w:fill="FFFFFF"/>
            <w:tcMar>
              <w:top w:w="96" w:type="dxa"/>
              <w:left w:w="96" w:type="dxa"/>
              <w:bottom w:w="96" w:type="dxa"/>
              <w:right w:w="96" w:type="dxa"/>
            </w:tcMar>
            <w:vAlign w:val="center"/>
          </w:tcPr>
          <w:p w14:paraId="4F0EE0F5">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11C6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5BC57FC7">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CD80 (BV421)</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364F8B62">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562611</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32411EEA">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6FF8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03A405BD">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CD86 (P</w:t>
            </w:r>
            <w:r>
              <w:rPr>
                <w:rFonts w:hint="eastAsia" w:ascii="Times New Roman" w:hAnsi="Times New Roman" w:cs="Times New Roman"/>
                <w:b w:val="0"/>
                <w:color w:val="000000"/>
                <w:kern w:val="0"/>
                <w:sz w:val="24"/>
                <w:szCs w:val="24"/>
                <w:highlight w:val="none"/>
                <w:lang w:val="en-US" w:eastAsia="zh-CN" w:bidi="ar"/>
              </w:rPr>
              <w:t>E-</w:t>
            </w:r>
            <w:r>
              <w:rPr>
                <w:rFonts w:ascii="Times New Roman" w:hAnsi="Times New Roman" w:eastAsia="宋体" w:cs="Times New Roman"/>
                <w:b w:val="0"/>
                <w:color w:val="000000"/>
                <w:kern w:val="0"/>
                <w:sz w:val="24"/>
                <w:szCs w:val="24"/>
                <w:highlight w:val="none"/>
                <w:lang w:val="en-US" w:eastAsia="zh-CN" w:bidi="ar"/>
              </w:rPr>
              <w:t>C</w:t>
            </w:r>
            <w:r>
              <w:rPr>
                <w:rFonts w:hint="eastAsia" w:ascii="Times New Roman" w:hAnsi="Times New Roman" w:cs="Times New Roman"/>
                <w:b w:val="0"/>
                <w:color w:val="000000"/>
                <w:kern w:val="0"/>
                <w:sz w:val="24"/>
                <w:szCs w:val="24"/>
                <w:highlight w:val="none"/>
                <w:lang w:val="en-US" w:eastAsia="zh-CN" w:bidi="ar"/>
              </w:rPr>
              <w:t>y</w:t>
            </w:r>
            <w:r>
              <w:rPr>
                <w:rFonts w:ascii="Times New Roman" w:hAnsi="Times New Roman" w:eastAsia="宋体" w:cs="Times New Roman"/>
                <w:b w:val="0"/>
                <w:color w:val="000000"/>
                <w:kern w:val="0"/>
                <w:sz w:val="24"/>
                <w:szCs w:val="24"/>
                <w:highlight w:val="none"/>
                <w:lang w:val="en-US" w:eastAsia="zh-CN" w:bidi="ar"/>
              </w:rPr>
              <w:t>7)</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7B66AA7D">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560582</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6F39FFC3">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336FF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3A4FA695">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CD3e (P</w:t>
            </w:r>
            <w:r>
              <w:rPr>
                <w:rFonts w:hint="eastAsia" w:ascii="Times New Roman" w:hAnsi="Times New Roman" w:cs="Times New Roman"/>
                <w:b w:val="0"/>
                <w:color w:val="000000"/>
                <w:kern w:val="0"/>
                <w:sz w:val="24"/>
                <w:szCs w:val="24"/>
                <w:highlight w:val="none"/>
                <w:lang w:val="en-US" w:eastAsia="zh-CN" w:bidi="ar"/>
              </w:rPr>
              <w:t>erCP-</w:t>
            </w:r>
            <w:r>
              <w:rPr>
                <w:rFonts w:ascii="Times New Roman" w:hAnsi="Times New Roman" w:eastAsia="宋体" w:cs="Times New Roman"/>
                <w:b w:val="0"/>
                <w:color w:val="000000"/>
                <w:kern w:val="0"/>
                <w:sz w:val="24"/>
                <w:szCs w:val="24"/>
                <w:highlight w:val="none"/>
                <w:lang w:val="en-US" w:eastAsia="zh-CN" w:bidi="ar"/>
              </w:rPr>
              <w:t>C</w:t>
            </w:r>
            <w:r>
              <w:rPr>
                <w:rFonts w:hint="eastAsia" w:ascii="Times New Roman" w:hAnsi="Times New Roman" w:cs="Times New Roman"/>
                <w:b w:val="0"/>
                <w:color w:val="000000"/>
                <w:kern w:val="0"/>
                <w:sz w:val="24"/>
                <w:szCs w:val="24"/>
                <w:highlight w:val="none"/>
                <w:lang w:val="en-US" w:eastAsia="zh-CN" w:bidi="ar"/>
              </w:rPr>
              <w:t>y</w:t>
            </w:r>
            <w:r>
              <w:rPr>
                <w:rFonts w:ascii="Times New Roman" w:hAnsi="Times New Roman" w:eastAsia="宋体" w:cs="Times New Roman"/>
                <w:b w:val="0"/>
                <w:color w:val="000000"/>
                <w:kern w:val="0"/>
                <w:sz w:val="24"/>
                <w:szCs w:val="24"/>
                <w:highlight w:val="none"/>
                <w:lang w:val="en-US" w:eastAsia="zh-CN" w:bidi="ar"/>
              </w:rPr>
              <w:t>5.5)</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6D1CE9BE">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551163</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636CE8E9">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5B279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6BEA8385">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CD8a (FITC)</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150C2C7A">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553030</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76788D3E">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7531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2F652BA5">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CD4 (P</w:t>
            </w:r>
            <w:r>
              <w:rPr>
                <w:rFonts w:hint="eastAsia" w:ascii="Times New Roman" w:hAnsi="Times New Roman" w:cs="Times New Roman"/>
                <w:b w:val="0"/>
                <w:color w:val="000000"/>
                <w:kern w:val="0"/>
                <w:sz w:val="24"/>
                <w:szCs w:val="24"/>
                <w:highlight w:val="none"/>
                <w:lang w:val="en-US" w:eastAsia="zh-CN" w:bidi="ar"/>
              </w:rPr>
              <w:t>E/</w:t>
            </w:r>
            <w:r>
              <w:rPr>
                <w:rFonts w:ascii="Times New Roman" w:hAnsi="Times New Roman" w:eastAsia="宋体" w:cs="Times New Roman"/>
                <w:b w:val="0"/>
                <w:color w:val="000000"/>
                <w:kern w:val="0"/>
                <w:sz w:val="24"/>
                <w:szCs w:val="24"/>
                <w:highlight w:val="none"/>
                <w:lang w:val="en-US" w:eastAsia="zh-CN" w:bidi="ar"/>
              </w:rPr>
              <w:t>C</w:t>
            </w:r>
            <w:r>
              <w:rPr>
                <w:rFonts w:hint="eastAsia" w:ascii="Times New Roman" w:hAnsi="Times New Roman" w:cs="Times New Roman"/>
                <w:b w:val="0"/>
                <w:color w:val="000000"/>
                <w:kern w:val="0"/>
                <w:sz w:val="24"/>
                <w:szCs w:val="24"/>
                <w:highlight w:val="none"/>
                <w:lang w:val="en-US" w:eastAsia="zh-CN" w:bidi="ar"/>
              </w:rPr>
              <w:t>yanine</w:t>
            </w:r>
            <w:r>
              <w:rPr>
                <w:rFonts w:ascii="Times New Roman" w:hAnsi="Times New Roman" w:eastAsia="宋体" w:cs="Times New Roman"/>
                <w:b w:val="0"/>
                <w:color w:val="000000"/>
                <w:kern w:val="0"/>
                <w:sz w:val="24"/>
                <w:szCs w:val="24"/>
                <w:highlight w:val="none"/>
                <w:lang w:val="en-US" w:eastAsia="zh-CN" w:bidi="ar"/>
              </w:rPr>
              <w:t>7)</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4357068B">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100422</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11106142">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BioLegend</w:t>
            </w:r>
          </w:p>
        </w:tc>
      </w:tr>
      <w:tr w14:paraId="5CB5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21AC9FE0">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CD25 (BV421)</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273AB93B">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562606</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7983F26D">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483CF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6111362A">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CD69 (APC)</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4F40A0B1">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560689</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0BAB2579">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08FE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01A64941">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CD44 (PE)</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4C2F24D8">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553134</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602DD0C7">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098C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589A2558">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CD62L (APC)</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3F4A4241">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553152</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2BA3F618">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11BB3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08EF8802">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F4/80 (APC)</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3509829A">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566787</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6DAB97B2">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281C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61593C47">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CD206 (PE)</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3BA931D3">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568273</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3F0B1640">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0BDED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673603ED">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CD11b (FITC)</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7CDA0B7D">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553310</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1937CB38">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3F31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nil"/>
              <w:right w:val="nil"/>
            </w:tcBorders>
            <w:shd w:val="clear" w:color="auto" w:fill="FFFFFF"/>
            <w:tcMar>
              <w:top w:w="96" w:type="dxa"/>
              <w:left w:w="96" w:type="dxa"/>
              <w:bottom w:w="96" w:type="dxa"/>
              <w:right w:w="96" w:type="dxa"/>
            </w:tcMar>
            <w:vAlign w:val="center"/>
          </w:tcPr>
          <w:p w14:paraId="1F20ECE0">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Anti-mouse CD11b (APC)</w:t>
            </w:r>
          </w:p>
        </w:tc>
        <w:tc>
          <w:tcPr>
            <w:tcW w:w="1549" w:type="pct"/>
            <w:tcBorders>
              <w:top w:val="nil"/>
              <w:left w:val="nil"/>
              <w:bottom w:val="nil"/>
              <w:right w:val="nil"/>
            </w:tcBorders>
            <w:shd w:val="clear" w:color="auto" w:fill="FFFFFF"/>
            <w:tcMar>
              <w:top w:w="96" w:type="dxa"/>
              <w:left w:w="96" w:type="dxa"/>
              <w:bottom w:w="96" w:type="dxa"/>
              <w:right w:w="96" w:type="dxa"/>
            </w:tcMar>
            <w:vAlign w:val="center"/>
          </w:tcPr>
          <w:p w14:paraId="7A4D80AB">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561690</w:t>
            </w:r>
          </w:p>
        </w:tc>
        <w:tc>
          <w:tcPr>
            <w:tcW w:w="1571" w:type="pct"/>
            <w:tcBorders>
              <w:top w:val="nil"/>
              <w:left w:val="nil"/>
              <w:bottom w:val="nil"/>
              <w:right w:val="nil"/>
            </w:tcBorders>
            <w:shd w:val="clear" w:color="auto" w:fill="FFFFFF"/>
            <w:tcMar>
              <w:top w:w="96" w:type="dxa"/>
              <w:left w:w="96" w:type="dxa"/>
              <w:bottom w:w="96" w:type="dxa"/>
              <w:right w:w="96" w:type="dxa"/>
            </w:tcMar>
            <w:vAlign w:val="center"/>
          </w:tcPr>
          <w:p w14:paraId="656B7FAE">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highlight w:val="none"/>
                <w:lang w:val="en-US" w:eastAsia="zh-CN" w:bidi="ar-SA"/>
              </w:rPr>
            </w:pPr>
            <w:r>
              <w:rPr>
                <w:rFonts w:ascii="Times New Roman" w:hAnsi="Times New Roman" w:eastAsia="宋体" w:cs="Times New Roman"/>
                <w:b w:val="0"/>
                <w:color w:val="000000"/>
                <w:kern w:val="0"/>
                <w:sz w:val="24"/>
                <w:szCs w:val="24"/>
                <w:highlight w:val="none"/>
                <w:lang w:val="en-US" w:eastAsia="zh-CN" w:bidi="ar"/>
              </w:rPr>
              <w:t>BD Biosciences</w:t>
            </w:r>
          </w:p>
        </w:tc>
      </w:tr>
      <w:tr w14:paraId="17237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1879" w:type="pct"/>
            <w:tcBorders>
              <w:top w:val="nil"/>
              <w:left w:val="nil"/>
              <w:bottom w:val="single" w:color="000000" w:sz="12" w:space="0"/>
              <w:right w:val="nil"/>
            </w:tcBorders>
            <w:shd w:val="clear" w:color="auto" w:fill="FFFFFF"/>
            <w:tcMar>
              <w:top w:w="96" w:type="dxa"/>
              <w:left w:w="96" w:type="dxa"/>
              <w:bottom w:w="96" w:type="dxa"/>
              <w:right w:w="96" w:type="dxa"/>
            </w:tcMar>
            <w:vAlign w:val="center"/>
          </w:tcPr>
          <w:p w14:paraId="19742F0D">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lang w:val="en-US" w:eastAsia="zh-CN" w:bidi="ar-SA"/>
              </w:rPr>
            </w:pPr>
            <w:r>
              <w:rPr>
                <w:rFonts w:ascii="Times New Roman" w:hAnsi="Times New Roman" w:eastAsia="宋体" w:cs="Times New Roman"/>
                <w:b w:val="0"/>
                <w:color w:val="000000"/>
                <w:kern w:val="0"/>
                <w:sz w:val="24"/>
                <w:szCs w:val="24"/>
                <w:lang w:val="en-US" w:eastAsia="zh-CN" w:bidi="ar"/>
              </w:rPr>
              <w:t>Anti-mouse Gr-1 (FITC)</w:t>
            </w:r>
          </w:p>
        </w:tc>
        <w:tc>
          <w:tcPr>
            <w:tcW w:w="1549" w:type="pct"/>
            <w:tcBorders>
              <w:top w:val="nil"/>
              <w:left w:val="nil"/>
              <w:bottom w:val="single" w:color="000000" w:sz="12" w:space="0"/>
              <w:right w:val="nil"/>
            </w:tcBorders>
            <w:shd w:val="clear" w:color="auto" w:fill="FFFFFF"/>
            <w:tcMar>
              <w:top w:w="96" w:type="dxa"/>
              <w:left w:w="96" w:type="dxa"/>
              <w:bottom w:w="96" w:type="dxa"/>
              <w:right w:w="96" w:type="dxa"/>
            </w:tcMar>
            <w:vAlign w:val="center"/>
          </w:tcPr>
          <w:p w14:paraId="2A0F2C15">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lang w:val="en-US" w:eastAsia="zh-CN" w:bidi="ar-SA"/>
              </w:rPr>
            </w:pPr>
            <w:r>
              <w:rPr>
                <w:rFonts w:ascii="Times New Roman" w:hAnsi="Times New Roman" w:eastAsia="宋体" w:cs="Times New Roman"/>
                <w:b w:val="0"/>
                <w:color w:val="000000"/>
                <w:kern w:val="0"/>
                <w:sz w:val="24"/>
                <w:szCs w:val="24"/>
                <w:lang w:val="en-US" w:eastAsia="zh-CN" w:bidi="ar"/>
              </w:rPr>
              <w:t>108406</w:t>
            </w:r>
          </w:p>
        </w:tc>
        <w:tc>
          <w:tcPr>
            <w:tcW w:w="1571" w:type="pct"/>
            <w:tcBorders>
              <w:top w:val="nil"/>
              <w:left w:val="nil"/>
              <w:bottom w:val="single" w:color="000000" w:sz="12" w:space="0"/>
              <w:right w:val="nil"/>
            </w:tcBorders>
            <w:shd w:val="clear" w:color="auto" w:fill="FFFFFF"/>
            <w:tcMar>
              <w:top w:w="96" w:type="dxa"/>
              <w:left w:w="96" w:type="dxa"/>
              <w:bottom w:w="96" w:type="dxa"/>
              <w:right w:w="96" w:type="dxa"/>
            </w:tcMar>
            <w:vAlign w:val="center"/>
          </w:tcPr>
          <w:p w14:paraId="415137DB">
            <w:pPr>
              <w:keepNext w:val="0"/>
              <w:keepLines w:val="0"/>
              <w:widowControl/>
              <w:suppressLineNumbers w:val="0"/>
              <w:spacing w:line="240" w:lineRule="auto"/>
              <w:ind w:firstLine="0" w:firstLineChars="0"/>
              <w:jc w:val="center"/>
              <w:rPr>
                <w:rFonts w:ascii="Times New Roman" w:hAnsi="Times New Roman" w:eastAsia="宋体" w:cs="Times New Roman"/>
                <w:b w:val="0"/>
                <w:color w:val="000000"/>
                <w:kern w:val="2"/>
                <w:sz w:val="24"/>
                <w:szCs w:val="24"/>
                <w:lang w:val="en-US" w:eastAsia="zh-CN" w:bidi="ar-SA"/>
              </w:rPr>
            </w:pPr>
            <w:r>
              <w:rPr>
                <w:rFonts w:ascii="Times New Roman" w:hAnsi="Times New Roman" w:eastAsia="宋体" w:cs="Times New Roman"/>
                <w:b w:val="0"/>
                <w:color w:val="000000"/>
                <w:kern w:val="0"/>
                <w:sz w:val="24"/>
                <w:szCs w:val="24"/>
                <w:lang w:val="en-US" w:eastAsia="zh-CN" w:bidi="ar"/>
              </w:rPr>
              <w:t>BioLegend</w:t>
            </w:r>
          </w:p>
        </w:tc>
      </w:tr>
    </w:tbl>
    <w:p w14:paraId="4661A48A">
      <w:pPr>
        <w:spacing w:line="288" w:lineRule="auto"/>
        <w:ind w:firstLine="0" w:firstLineChars="0"/>
        <w:rPr>
          <w:rFonts w:ascii="Times New Roman" w:hAnsi="Times New Roman" w:cs="Times New Roman"/>
          <w:color w:val="2E54A1" w:themeColor="accent1" w:themeShade="BF"/>
        </w:rPr>
      </w:pPr>
    </w:p>
    <w:p w14:paraId="2AF226FD">
      <w:pPr>
        <w:spacing w:line="288" w:lineRule="auto"/>
        <w:ind w:firstLine="0" w:firstLineChars="0"/>
        <w:rPr>
          <w:rFonts w:hint="eastAsia" w:ascii="Times New Roman" w:hAnsi="Times New Roman" w:cs="Times New Roman"/>
          <w:color w:val="auto"/>
        </w:rPr>
      </w:pPr>
      <w:r>
        <w:rPr>
          <w:rFonts w:hint="eastAsia" w:ascii="Times New Roman" w:hAnsi="Times New Roman" w:cs="Times New Roman"/>
          <w:b/>
          <w:bCs/>
          <w:color w:val="auto"/>
        </w:rPr>
        <w:t>Table S4</w:t>
      </w:r>
      <w:r>
        <w:rPr>
          <w:rFonts w:hint="eastAsia" w:ascii="Times New Roman" w:hAnsi="Times New Roman" w:cs="Times New Roman"/>
          <w:b/>
          <w:bCs/>
          <w:color w:val="auto"/>
          <w:lang w:val="en-US" w:eastAsia="zh-CN"/>
        </w:rPr>
        <w:t xml:space="preserve">. </w:t>
      </w:r>
      <w:r>
        <w:rPr>
          <w:rFonts w:ascii="Times New Roman" w:hAnsi="Times New Roman" w:cs="Times New Roman"/>
          <w:color w:val="auto"/>
        </w:rPr>
        <w:t>The catalog numbers and sources of all antibodies</w:t>
      </w:r>
    </w:p>
    <w:p w14:paraId="1B3472A2">
      <w:pPr>
        <w:spacing w:after="468" w:afterLines="150" w:line="360" w:lineRule="auto"/>
        <w:ind w:firstLine="0" w:firstLineChars="0"/>
        <w:rPr>
          <w:rFonts w:hint="default" w:ascii="Times New Roman" w:hAnsi="Times New Roman" w:cs="Times New Roman"/>
          <w:bCs/>
        </w:rPr>
      </w:pPr>
    </w:p>
    <w:p w14:paraId="69A1C4A7">
      <w:pPr>
        <w:rPr>
          <w:rFonts w:hint="default" w:ascii="Times New Roman" w:hAnsi="Times New Roman" w:cs="Times New Roman"/>
          <w:b w:val="0"/>
          <w:bCs w:val="0"/>
          <w:lang w:val="en-US" w:eastAsia="zh-CN"/>
        </w:rPr>
      </w:pPr>
    </w:p>
    <w:sectPr>
      <w:pgSz w:w="11906" w:h="16838"/>
      <w:pgMar w:top="1134" w:right="1134" w:bottom="1134" w:left="113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42D1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01A3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901A3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8AA418"/>
    <w:multiLevelType w:val="multilevel"/>
    <w:tmpl w:val="5E8AA418"/>
    <w:lvl w:ilvl="0" w:tentative="0">
      <w:start w:val="1"/>
      <w:numFmt w:val="decimal"/>
      <w:suff w:val="nothing"/>
      <w:lvlText w:val="%1．"/>
      <w:lvlJc w:val="left"/>
      <w:pPr>
        <w:ind w:left="0" w:firstLine="403"/>
      </w:pPr>
      <w:rPr>
        <w:rFonts w:hint="default"/>
      </w:rPr>
    </w:lvl>
    <w:lvl w:ilvl="1" w:tentative="0">
      <w:start w:val="1"/>
      <w:numFmt w:val="decimal"/>
      <w:pStyle w:val="3"/>
      <w:lvlText w:val="(%2)"/>
      <w:lvlJc w:val="left"/>
      <w:pPr>
        <w:tabs>
          <w:tab w:val="left" w:pos="840"/>
        </w:tabs>
        <w:ind w:left="1243" w:leftChars="0" w:hanging="420" w:firstLineChars="0"/>
      </w:pPr>
      <w:rPr>
        <w:rFonts w:hint="default"/>
      </w:rPr>
    </w:lvl>
    <w:lvl w:ilvl="2" w:tentative="0">
      <w:start w:val="1"/>
      <w:numFmt w:val="decimalEnclosedCircleChinese"/>
      <w:lvlText w:val="%3"/>
      <w:lvlJc w:val="left"/>
      <w:pPr>
        <w:tabs>
          <w:tab w:val="left" w:pos="1260"/>
        </w:tabs>
        <w:ind w:left="1663" w:leftChars="0" w:hanging="420" w:firstLineChars="0"/>
      </w:pPr>
      <w:rPr>
        <w:rFonts w:hint="default"/>
      </w:rPr>
    </w:lvl>
    <w:lvl w:ilvl="3" w:tentative="0">
      <w:start w:val="1"/>
      <w:numFmt w:val="decimal"/>
      <w:lvlText w:val="%4)"/>
      <w:lvlJc w:val="left"/>
      <w:pPr>
        <w:tabs>
          <w:tab w:val="left" w:pos="1680"/>
        </w:tabs>
        <w:ind w:left="2083" w:leftChars="0" w:hanging="420" w:firstLineChars="0"/>
      </w:pPr>
      <w:rPr>
        <w:rFonts w:hint="default"/>
      </w:rPr>
    </w:lvl>
    <w:lvl w:ilvl="4" w:tentative="0">
      <w:start w:val="1"/>
      <w:numFmt w:val="lowerLetter"/>
      <w:lvlText w:val="%5."/>
      <w:lvlJc w:val="left"/>
      <w:pPr>
        <w:tabs>
          <w:tab w:val="left" w:pos="2100"/>
        </w:tabs>
        <w:ind w:left="2503" w:leftChars="0" w:hanging="420" w:firstLineChars="0"/>
      </w:pPr>
      <w:rPr>
        <w:rFonts w:hint="default"/>
      </w:rPr>
    </w:lvl>
    <w:lvl w:ilvl="5" w:tentative="0">
      <w:start w:val="1"/>
      <w:numFmt w:val="lowerLetter"/>
      <w:lvlText w:val="%6)"/>
      <w:lvlJc w:val="left"/>
      <w:pPr>
        <w:tabs>
          <w:tab w:val="left" w:pos="2520"/>
        </w:tabs>
        <w:ind w:left="2923" w:leftChars="0" w:hanging="420" w:firstLineChars="0"/>
      </w:pPr>
      <w:rPr>
        <w:rFonts w:hint="default"/>
      </w:rPr>
    </w:lvl>
    <w:lvl w:ilvl="6" w:tentative="0">
      <w:start w:val="1"/>
      <w:numFmt w:val="lowerRoman"/>
      <w:lvlText w:val="%7."/>
      <w:lvlJc w:val="left"/>
      <w:pPr>
        <w:tabs>
          <w:tab w:val="left" w:pos="2940"/>
        </w:tabs>
        <w:ind w:left="3343" w:leftChars="0" w:hanging="420" w:firstLineChars="0"/>
      </w:pPr>
      <w:rPr>
        <w:rFonts w:hint="default"/>
      </w:rPr>
    </w:lvl>
    <w:lvl w:ilvl="7" w:tentative="0">
      <w:start w:val="1"/>
      <w:numFmt w:val="lowerRoman"/>
      <w:lvlText w:val="%8)"/>
      <w:lvlJc w:val="left"/>
      <w:pPr>
        <w:tabs>
          <w:tab w:val="left" w:pos="3360"/>
        </w:tabs>
        <w:ind w:left="3763" w:leftChars="0" w:hanging="420" w:firstLineChars="0"/>
      </w:pPr>
      <w:rPr>
        <w:rFonts w:hint="default"/>
      </w:rPr>
    </w:lvl>
    <w:lvl w:ilvl="8" w:tentative="0">
      <w:start w:val="1"/>
      <w:numFmt w:val="lowerLetter"/>
      <w:lvlText w:val="%9."/>
      <w:lvlJc w:val="left"/>
      <w:pPr>
        <w:tabs>
          <w:tab w:val="left" w:pos="3780"/>
        </w:tabs>
        <w:ind w:left="4183" w:leftChars="0" w:hanging="42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16C71F3"/>
    <w:rsid w:val="01B701A0"/>
    <w:rsid w:val="02A74091"/>
    <w:rsid w:val="03B83E7C"/>
    <w:rsid w:val="04AF4EF7"/>
    <w:rsid w:val="090B3B20"/>
    <w:rsid w:val="0B9224B1"/>
    <w:rsid w:val="0C0137D8"/>
    <w:rsid w:val="0F8C0422"/>
    <w:rsid w:val="10426A38"/>
    <w:rsid w:val="10C761F4"/>
    <w:rsid w:val="164D5BED"/>
    <w:rsid w:val="16D52CED"/>
    <w:rsid w:val="18387443"/>
    <w:rsid w:val="18893D8F"/>
    <w:rsid w:val="1CAB72E5"/>
    <w:rsid w:val="24B64E89"/>
    <w:rsid w:val="27017990"/>
    <w:rsid w:val="27F15C4E"/>
    <w:rsid w:val="2CAA00CD"/>
    <w:rsid w:val="2D8F19F0"/>
    <w:rsid w:val="317563EE"/>
    <w:rsid w:val="31C05EB0"/>
    <w:rsid w:val="32671026"/>
    <w:rsid w:val="33663A96"/>
    <w:rsid w:val="33F702EF"/>
    <w:rsid w:val="34204C91"/>
    <w:rsid w:val="344835C0"/>
    <w:rsid w:val="358B0CEF"/>
    <w:rsid w:val="360110CB"/>
    <w:rsid w:val="37E868CC"/>
    <w:rsid w:val="38895B5D"/>
    <w:rsid w:val="39B36A66"/>
    <w:rsid w:val="3A137505"/>
    <w:rsid w:val="3ABB50ED"/>
    <w:rsid w:val="3C7B0B3D"/>
    <w:rsid w:val="49E72F71"/>
    <w:rsid w:val="4AE77651"/>
    <w:rsid w:val="4B297C2E"/>
    <w:rsid w:val="4C115F9A"/>
    <w:rsid w:val="4CD564D9"/>
    <w:rsid w:val="4D396A5F"/>
    <w:rsid w:val="4D4617E1"/>
    <w:rsid w:val="505C663B"/>
    <w:rsid w:val="511A2107"/>
    <w:rsid w:val="51517B80"/>
    <w:rsid w:val="523A5B1F"/>
    <w:rsid w:val="57F01655"/>
    <w:rsid w:val="598F49A2"/>
    <w:rsid w:val="5BF6081F"/>
    <w:rsid w:val="5D997B9D"/>
    <w:rsid w:val="61E909C7"/>
    <w:rsid w:val="640922D0"/>
    <w:rsid w:val="64D120D8"/>
    <w:rsid w:val="656E5DB3"/>
    <w:rsid w:val="669A1852"/>
    <w:rsid w:val="66D21F9E"/>
    <w:rsid w:val="67683405"/>
    <w:rsid w:val="6AEC5DF0"/>
    <w:rsid w:val="71076500"/>
    <w:rsid w:val="72141A90"/>
    <w:rsid w:val="75774810"/>
    <w:rsid w:val="764F47A9"/>
    <w:rsid w:val="773572CE"/>
    <w:rsid w:val="775841CD"/>
    <w:rsid w:val="779A0328"/>
    <w:rsid w:val="781F6A99"/>
    <w:rsid w:val="785A141E"/>
    <w:rsid w:val="79522E05"/>
    <w:rsid w:val="79826F30"/>
    <w:rsid w:val="79E50670"/>
    <w:rsid w:val="7A505823"/>
    <w:rsid w:val="7F695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Calibri" w:hAnsi="Calibri" w:eastAsia="宋体" w:cstheme="minorBidi"/>
      <w:kern w:val="2"/>
      <w:sz w:val="24"/>
      <w:szCs w:val="24"/>
      <w:lang w:val="en-US" w:eastAsia="zh-CN" w:bidi="ar-SA"/>
    </w:rPr>
  </w:style>
  <w:style w:type="paragraph" w:styleId="2">
    <w:name w:val="heading 1"/>
    <w:basedOn w:val="1"/>
    <w:next w:val="1"/>
    <w:qFormat/>
    <w:uiPriority w:val="0"/>
    <w:pPr>
      <w:keepNext/>
      <w:keepLines/>
      <w:spacing w:beforeLines="0" w:beforeAutospacing="0" w:after="100" w:afterLines="0" w:afterAutospacing="0" w:line="576" w:lineRule="auto"/>
      <w:outlineLvl w:val="0"/>
    </w:pPr>
    <w:rPr>
      <w:rFonts w:ascii="Times New Roman" w:hAnsi="Times New Roman" w:eastAsia="黑体"/>
      <w:kern w:val="44"/>
      <w:sz w:val="30"/>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575" w:hanging="575" w:firstLineChars="0"/>
      <w:outlineLvl w:val="1"/>
    </w:pPr>
    <w:rPr>
      <w:rFonts w:ascii="Arial" w:hAnsi="Arial" w:eastAsia="黑体"/>
      <w:b/>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customXml" Target="ink/ink2.xml"/><Relationship Id="rId15" Type="http://schemas.openxmlformats.org/officeDocument/2006/relationships/image" Target="media/image8.png"/><Relationship Id="rId14" Type="http://schemas.openxmlformats.org/officeDocument/2006/relationships/customXml" Target="ink/ink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9-10T17:05:29"/>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14568.000 183364.000 767</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9-10T17:05:28"/>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16128.000 183304.000 767</inkml:trace>
</inkml:ink>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1446</Words>
  <Characters>8538</Characters>
  <Lines>0</Lines>
  <Paragraphs>0</Paragraphs>
  <TotalTime>3</TotalTime>
  <ScaleCrop>false</ScaleCrop>
  <LinksUpToDate>false</LinksUpToDate>
  <CharactersWithSpaces>9900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2022-06-19T11:28:00Z</dcterms:created>
  <dc:creator>28630</dc:creator>
  <cp:lastModifiedBy>郑清华</cp:lastModifiedBy>
  <dcterms:modified xsi:type="dcterms:W3CDTF">2026-09-11T15:20:34Z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596861844CAB4F3BAEE221E56D641825</vt:lpwstr>
  </property>
  <property fmtid="{D5CDD505-2E9C-101B-9397-08002B2CF9AE}" pid="4" name="KSOTemplateDocerSaveRecord">
    <vt:lpwstr>eyJoZGlkIjoiNGZiOGE0ZTc1NzI4NDVhMDA1YmJjYTg5MzA1YzAyNzAiLCJ1c2VySWQiOiI1ODE4OTY0NDAifQ==</vt:lpwstr>
  </property>
</Properties>
</file>