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EE1" w:rsidRPr="00053AB0" w:rsidRDefault="00043EE1" w:rsidP="00043EE1">
      <w:pPr>
        <w:rPr>
          <w:sz w:val="20"/>
          <w:szCs w:val="20"/>
        </w:rPr>
      </w:pPr>
      <w:r>
        <w:t>Additional file 2:</w:t>
      </w:r>
      <w:r>
        <w:t xml:space="preserve"> </w:t>
      </w:r>
      <w:r>
        <w:t>Table S</w:t>
      </w:r>
      <w:r w:rsidRPr="00053AB0">
        <w:rPr>
          <w:sz w:val="20"/>
          <w:szCs w:val="20"/>
        </w:rPr>
        <w:t xml:space="preserve">1: Willingness to Participate in Needle Exchange Activities Among Community Pharmacists Who Do or Do Not Currently Sell Needles and Syringes, Ordinal Logistic Regression Analysis Results </w:t>
      </w:r>
    </w:p>
    <w:tbl>
      <w:tblPr>
        <w:tblStyle w:val="LightShading"/>
        <w:tblW w:w="13878" w:type="dxa"/>
        <w:tblLook w:val="06A0"/>
      </w:tblPr>
      <w:tblGrid>
        <w:gridCol w:w="4164"/>
        <w:gridCol w:w="1128"/>
        <w:gridCol w:w="1283"/>
        <w:gridCol w:w="1126"/>
        <w:gridCol w:w="1089"/>
        <w:gridCol w:w="1096"/>
        <w:gridCol w:w="1292"/>
        <w:gridCol w:w="901"/>
        <w:gridCol w:w="1799"/>
      </w:tblGrid>
      <w:tr w:rsidR="00043EE1" w:rsidTr="00C07A19">
        <w:trPr>
          <w:cnfStyle w:val="100000000000"/>
        </w:trPr>
        <w:tc>
          <w:tcPr>
            <w:cnfStyle w:val="001000000000"/>
            <w:tcW w:w="4164" w:type="dxa"/>
            <w:tcBorders>
              <w:top w:val="single" w:sz="18" w:space="0" w:color="auto"/>
              <w:bottom w:val="nil"/>
            </w:tcBorders>
          </w:tcPr>
          <w:p w:rsidR="00043EE1" w:rsidRPr="00EB53EF" w:rsidRDefault="00043EE1" w:rsidP="00C07A19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626" w:type="dxa"/>
            <w:gridSpan w:val="4"/>
            <w:tcBorders>
              <w:top w:val="single" w:sz="18" w:space="0" w:color="auto"/>
              <w:bottom w:val="single" w:sz="4" w:space="0" w:color="auto"/>
            </w:tcBorders>
          </w:tcPr>
          <w:p w:rsidR="00043EE1" w:rsidRDefault="00043EE1" w:rsidP="00C07A19">
            <w:pPr>
              <w:jc w:val="center"/>
              <w:cnfStyle w:val="1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Specification A: Those who Sell Needles/Syringes</w:t>
            </w:r>
          </w:p>
        </w:tc>
        <w:tc>
          <w:tcPr>
            <w:tcW w:w="5088" w:type="dxa"/>
            <w:gridSpan w:val="4"/>
            <w:tcBorders>
              <w:top w:val="single" w:sz="18" w:space="0" w:color="auto"/>
              <w:left w:val="double" w:sz="4" w:space="0" w:color="auto"/>
              <w:bottom w:val="single" w:sz="4" w:space="0" w:color="auto"/>
            </w:tcBorders>
          </w:tcPr>
          <w:p w:rsidR="00043EE1" w:rsidRDefault="00043EE1" w:rsidP="00C07A19">
            <w:pPr>
              <w:jc w:val="center"/>
              <w:cnfStyle w:val="1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Specification B: Those who do NOT Sell Needles/Syringes</w:t>
            </w:r>
          </w:p>
        </w:tc>
      </w:tr>
      <w:tr w:rsidR="00043EE1" w:rsidTr="00C07A19">
        <w:tc>
          <w:tcPr>
            <w:cnfStyle w:val="001000000000"/>
            <w:tcW w:w="4164" w:type="dxa"/>
            <w:tcBorders>
              <w:top w:val="single" w:sz="18" w:space="0" w:color="auto"/>
              <w:bottom w:val="nil"/>
            </w:tcBorders>
          </w:tcPr>
          <w:p w:rsidR="00043EE1" w:rsidRPr="00EB53EF" w:rsidRDefault="00043EE1" w:rsidP="00C07A19">
            <w:pPr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tcBorders>
              <w:top w:val="single" w:sz="18" w:space="0" w:color="auto"/>
              <w:bottom w:val="single" w:sz="4" w:space="0" w:color="auto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rFonts w:asciiTheme="majorHAnsi" w:eastAsiaTheme="majorEastAsia" w:hAnsiTheme="majorHAnsi" w:cstheme="majorBidi"/>
                <w:b/>
                <w:bCs/>
                <w:color w:val="404040" w:themeColor="text1" w:themeTint="BF"/>
                <w:sz w:val="20"/>
                <w:szCs w:val="20"/>
              </w:rPr>
            </w:pPr>
            <w:r>
              <w:rPr>
                <w:sz w:val="20"/>
                <w:szCs w:val="20"/>
              </w:rPr>
              <w:t>Willingness to Provide Clean Needles and Syringes</w:t>
            </w:r>
            <w:r w:rsidRPr="007C46BA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(n=402)</w:t>
            </w:r>
          </w:p>
        </w:tc>
        <w:tc>
          <w:tcPr>
            <w:tcW w:w="2215" w:type="dxa"/>
            <w:gridSpan w:val="2"/>
            <w:tcBorders>
              <w:top w:val="single" w:sz="18" w:space="0" w:color="auto"/>
              <w:left w:val="double" w:sz="4" w:space="0" w:color="auto"/>
              <w:bottom w:val="sing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rFonts w:asciiTheme="majorHAnsi" w:eastAsiaTheme="majorEastAsia" w:hAnsiTheme="majorHAnsi" w:cstheme="majorBidi"/>
                <w:b/>
                <w:bCs/>
                <w:color w:val="404040" w:themeColor="text1" w:themeTint="BF"/>
                <w:sz w:val="20"/>
                <w:szCs w:val="20"/>
              </w:rPr>
            </w:pPr>
            <w:r>
              <w:rPr>
                <w:sz w:val="20"/>
                <w:szCs w:val="20"/>
              </w:rPr>
              <w:t>Willingness to Dispose of Used Needles and Syringes</w:t>
            </w:r>
            <w:r w:rsidRPr="007C46BA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(n=402)</w:t>
            </w:r>
          </w:p>
        </w:tc>
        <w:tc>
          <w:tcPr>
            <w:tcW w:w="2388" w:type="dxa"/>
            <w:gridSpan w:val="2"/>
            <w:tcBorders>
              <w:top w:val="single" w:sz="18" w:space="0" w:color="auto"/>
              <w:left w:val="double" w:sz="4" w:space="0" w:color="auto"/>
              <w:bottom w:val="sing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Willingness to Provide Clean Needles and Syringes</w:t>
            </w:r>
            <w:r w:rsidRPr="007C46BA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(n=226)</w:t>
            </w:r>
          </w:p>
        </w:tc>
        <w:tc>
          <w:tcPr>
            <w:tcW w:w="2700" w:type="dxa"/>
            <w:gridSpan w:val="2"/>
            <w:tcBorders>
              <w:top w:val="single" w:sz="18" w:space="0" w:color="auto"/>
              <w:left w:val="double" w:sz="4" w:space="0" w:color="auto"/>
              <w:bottom w:val="sing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Willingness to Dispose of Used Needles and Syringes</w:t>
            </w:r>
            <w:r w:rsidRPr="007C46BA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(n=230)</w:t>
            </w:r>
          </w:p>
        </w:tc>
      </w:tr>
      <w:tr w:rsidR="00043EE1" w:rsidTr="00C07A19">
        <w:tc>
          <w:tcPr>
            <w:cnfStyle w:val="001000000000"/>
            <w:tcW w:w="4164" w:type="dxa"/>
            <w:tcBorders>
              <w:top w:val="nil"/>
              <w:bottom w:val="single" w:sz="18" w:space="0" w:color="auto"/>
            </w:tcBorders>
          </w:tcPr>
          <w:p w:rsidR="00043EE1" w:rsidRPr="00EB53EF" w:rsidRDefault="00043EE1" w:rsidP="00C07A19">
            <w:pPr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18" w:space="0" w:color="auto"/>
            </w:tcBorders>
          </w:tcPr>
          <w:p w:rsidR="00043EE1" w:rsidRPr="004F46FF" w:rsidRDefault="00043EE1" w:rsidP="00C07A19">
            <w:pPr>
              <w:jc w:val="center"/>
              <w:cnfStyle w:val="00000000000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bottom w:val="single" w:sz="18" w:space="0" w:color="auto"/>
              <w:right w:val="double" w:sz="4" w:space="0" w:color="auto"/>
            </w:tcBorders>
          </w:tcPr>
          <w:p w:rsidR="00043EE1" w:rsidRPr="004F46FF" w:rsidRDefault="00043EE1" w:rsidP="00C07A19">
            <w:pPr>
              <w:jc w:val="center"/>
              <w:cnfStyle w:val="000000000000"/>
              <w:rPr>
                <w:i/>
                <w:sz w:val="20"/>
                <w:szCs w:val="20"/>
              </w:rPr>
            </w:pPr>
            <w:r w:rsidRPr="004F46FF">
              <w:rPr>
                <w:i/>
                <w:sz w:val="20"/>
                <w:szCs w:val="20"/>
              </w:rPr>
              <w:t>95% CI</w:t>
            </w:r>
          </w:p>
        </w:tc>
        <w:tc>
          <w:tcPr>
            <w:tcW w:w="1126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</w:tcBorders>
          </w:tcPr>
          <w:p w:rsidR="00043EE1" w:rsidRPr="004F46FF" w:rsidRDefault="00043EE1" w:rsidP="00C07A19">
            <w:pPr>
              <w:jc w:val="center"/>
              <w:cnfStyle w:val="00000000000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089" w:type="dxa"/>
            <w:tcBorders>
              <w:top w:val="single" w:sz="4" w:space="0" w:color="auto"/>
              <w:bottom w:val="single" w:sz="18" w:space="0" w:color="auto"/>
              <w:right w:val="double" w:sz="4" w:space="0" w:color="auto"/>
            </w:tcBorders>
          </w:tcPr>
          <w:p w:rsidR="00043EE1" w:rsidRPr="004F46FF" w:rsidRDefault="00043EE1" w:rsidP="00C07A19">
            <w:pPr>
              <w:jc w:val="center"/>
              <w:cnfStyle w:val="000000000000"/>
              <w:rPr>
                <w:i/>
                <w:sz w:val="20"/>
                <w:szCs w:val="20"/>
              </w:rPr>
            </w:pPr>
            <w:r w:rsidRPr="004F46FF">
              <w:rPr>
                <w:i/>
                <w:sz w:val="20"/>
                <w:szCs w:val="20"/>
              </w:rPr>
              <w:t>95% CI</w:t>
            </w:r>
          </w:p>
        </w:tc>
        <w:tc>
          <w:tcPr>
            <w:tcW w:w="1096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nil"/>
            </w:tcBorders>
          </w:tcPr>
          <w:p w:rsidR="00043EE1" w:rsidRPr="004F46FF" w:rsidRDefault="00043EE1" w:rsidP="00C07A19">
            <w:pPr>
              <w:jc w:val="center"/>
              <w:cnfStyle w:val="00000000000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18" w:space="0" w:color="auto"/>
              <w:right w:val="double" w:sz="4" w:space="0" w:color="auto"/>
            </w:tcBorders>
          </w:tcPr>
          <w:p w:rsidR="00043EE1" w:rsidRPr="004F46FF" w:rsidRDefault="00043EE1" w:rsidP="00C07A19">
            <w:pPr>
              <w:jc w:val="center"/>
              <w:cnfStyle w:val="0000000000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95% CI</w:t>
            </w:r>
          </w:p>
        </w:tc>
        <w:tc>
          <w:tcPr>
            <w:tcW w:w="901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nil"/>
            </w:tcBorders>
          </w:tcPr>
          <w:p w:rsidR="00043EE1" w:rsidRPr="004F46FF" w:rsidRDefault="00043EE1" w:rsidP="00C07A19">
            <w:pPr>
              <w:jc w:val="center"/>
              <w:cnfStyle w:val="00000000000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18" w:space="0" w:color="auto"/>
            </w:tcBorders>
          </w:tcPr>
          <w:p w:rsidR="00043EE1" w:rsidRPr="004F46FF" w:rsidRDefault="00043EE1" w:rsidP="00C07A19">
            <w:pPr>
              <w:jc w:val="center"/>
              <w:cnfStyle w:val="00000000000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95% CI</w:t>
            </w:r>
          </w:p>
        </w:tc>
      </w:tr>
      <w:tr w:rsidR="00043EE1" w:rsidTr="00C07A19">
        <w:tc>
          <w:tcPr>
            <w:cnfStyle w:val="001000000000"/>
            <w:tcW w:w="4164" w:type="dxa"/>
            <w:tcBorders>
              <w:top w:val="single" w:sz="18" w:space="0" w:color="auto"/>
            </w:tcBorders>
          </w:tcPr>
          <w:p w:rsidR="00043EE1" w:rsidRPr="00EB53EF" w:rsidRDefault="00043EE1" w:rsidP="00C07A19">
            <w:pPr>
              <w:rPr>
                <w:sz w:val="20"/>
                <w:szCs w:val="20"/>
              </w:rPr>
            </w:pPr>
            <w:r w:rsidRPr="00EB53EF">
              <w:rPr>
                <w:sz w:val="20"/>
                <w:szCs w:val="20"/>
              </w:rPr>
              <w:t>Terminal Degree</w:t>
            </w:r>
          </w:p>
        </w:tc>
        <w:tc>
          <w:tcPr>
            <w:tcW w:w="1128" w:type="dxa"/>
            <w:tcBorders>
              <w:top w:val="single" w:sz="18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18" w:space="0" w:color="auto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18" w:space="0" w:color="auto"/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8" w:space="0" w:color="auto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18" w:space="0" w:color="auto"/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18" w:space="0" w:color="auto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18" w:space="0" w:color="auto"/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18" w:space="0" w:color="auto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 w:rsidRPr="00EB53EF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EB53EF">
              <w:rPr>
                <w:b w:val="0"/>
                <w:sz w:val="20"/>
                <w:szCs w:val="20"/>
              </w:rPr>
              <w:t>BSPharm</w:t>
            </w:r>
            <w:proofErr w:type="spellEnd"/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 w:rsidRPr="009B7786">
              <w:rPr>
                <w:sz w:val="20"/>
                <w:szCs w:val="20"/>
              </w:rPr>
              <w:t>Ref.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 w:rsidRPr="009B7786">
              <w:rPr>
                <w:sz w:val="20"/>
                <w:szCs w:val="20"/>
              </w:rPr>
              <w:t>Ref.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 w:rsidRPr="00EB53EF">
              <w:rPr>
                <w:sz w:val="20"/>
                <w:szCs w:val="20"/>
              </w:rPr>
              <w:t xml:space="preserve">  </w:t>
            </w:r>
            <w:proofErr w:type="spellStart"/>
            <w:r w:rsidRPr="00EB53EF">
              <w:rPr>
                <w:b w:val="0"/>
                <w:sz w:val="20"/>
                <w:szCs w:val="20"/>
              </w:rPr>
              <w:t>PharmD</w:t>
            </w:r>
            <w:proofErr w:type="spellEnd"/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0.58-2.10</w:t>
            </w: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 w:rsidRPr="009B7786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 w:rsidRPr="009B7786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67-2.65</w:t>
            </w: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0.70-1.98</w:t>
            </w: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0.15-4.03</w:t>
            </w: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Years in Practice</w:t>
            </w:r>
            <w:r w:rsidRPr="00EB53E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 w:rsidRPr="00EB53EF">
              <w:rPr>
                <w:sz w:val="20"/>
                <w:szCs w:val="20"/>
              </w:rPr>
              <w:t xml:space="preserve">  </w:t>
            </w:r>
            <w:r>
              <w:rPr>
                <w:b w:val="0"/>
                <w:sz w:val="20"/>
                <w:szCs w:val="20"/>
              </w:rPr>
              <w:t>0 to 5</w:t>
            </w:r>
            <w:r w:rsidRPr="00EB53EF">
              <w:rPr>
                <w:b w:val="0"/>
                <w:sz w:val="20"/>
                <w:szCs w:val="20"/>
              </w:rPr>
              <w:t xml:space="preserve"> years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 w:rsidRPr="009B7786">
              <w:rPr>
                <w:sz w:val="20"/>
                <w:szCs w:val="20"/>
              </w:rPr>
              <w:t>Ref.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 w:rsidRPr="009B7786">
              <w:rPr>
                <w:sz w:val="20"/>
                <w:szCs w:val="20"/>
              </w:rPr>
              <w:t>Ref.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 w:rsidRPr="00EB53EF">
              <w:rPr>
                <w:sz w:val="20"/>
                <w:szCs w:val="20"/>
              </w:rPr>
              <w:t xml:space="preserve">  </w:t>
            </w:r>
            <w:r>
              <w:rPr>
                <w:b w:val="0"/>
                <w:sz w:val="20"/>
                <w:szCs w:val="20"/>
              </w:rPr>
              <w:t>6 to 10</w:t>
            </w:r>
            <w:r w:rsidRPr="00EB53EF">
              <w:rPr>
                <w:b w:val="0"/>
                <w:sz w:val="20"/>
                <w:szCs w:val="20"/>
              </w:rPr>
              <w:t xml:space="preserve"> years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0.36-1.16</w:t>
            </w: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0.52-1.72</w:t>
            </w: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0.42-2.93</w:t>
            </w: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0.15-1.22</w:t>
            </w: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 w:rsidRPr="00EB53EF">
              <w:rPr>
                <w:b w:val="0"/>
                <w:sz w:val="20"/>
                <w:szCs w:val="20"/>
              </w:rPr>
              <w:t xml:space="preserve">  11 to 20 years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0.73-2.27</w:t>
            </w: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0.84-2.84</w:t>
            </w: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0.54-3.16</w:t>
            </w: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0.62-3.51</w:t>
            </w: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 w:rsidRPr="00EB53EF">
              <w:rPr>
                <w:b w:val="0"/>
                <w:sz w:val="20"/>
                <w:szCs w:val="20"/>
              </w:rPr>
              <w:t xml:space="preserve">  &gt;20 years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0.48-1,16</w:t>
            </w: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0.77-3.70</w:t>
            </w: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0.27-2.26</w:t>
            </w: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0.40-3.38</w:t>
            </w: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sz w:val="20"/>
                <w:szCs w:val="20"/>
              </w:rPr>
            </w:pPr>
            <w:r w:rsidRPr="00EB53EF">
              <w:rPr>
                <w:sz w:val="20"/>
                <w:szCs w:val="20"/>
              </w:rPr>
              <w:t>Pharmacist Gender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 w:rsidRPr="00EB53EF">
              <w:rPr>
                <w:sz w:val="20"/>
                <w:szCs w:val="20"/>
              </w:rPr>
              <w:t xml:space="preserve">  </w:t>
            </w:r>
            <w:r w:rsidRPr="00EB53EF">
              <w:rPr>
                <w:b w:val="0"/>
                <w:sz w:val="20"/>
                <w:szCs w:val="20"/>
              </w:rPr>
              <w:t>Female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0.49-1.06</w:t>
            </w: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0.61-1.34</w:t>
            </w: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0.45-1.37</w:t>
            </w: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0.47*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0.27-0.84</w:t>
            </w: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 w:rsidRPr="00EB53EF">
              <w:rPr>
                <w:sz w:val="20"/>
                <w:szCs w:val="20"/>
              </w:rPr>
              <w:t xml:space="preserve">  </w:t>
            </w:r>
            <w:r w:rsidRPr="00EB53EF">
              <w:rPr>
                <w:b w:val="0"/>
                <w:sz w:val="20"/>
                <w:szCs w:val="20"/>
              </w:rPr>
              <w:t>Male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 w:rsidRPr="009B7786">
              <w:rPr>
                <w:sz w:val="20"/>
                <w:szCs w:val="20"/>
              </w:rPr>
              <w:t>Ref.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 w:rsidRPr="009B7786">
              <w:rPr>
                <w:sz w:val="20"/>
                <w:szCs w:val="20"/>
              </w:rPr>
              <w:t>Ref.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Community Pharmacy Practice Setting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355A94" w:rsidRDefault="00043EE1" w:rsidP="00C07A19">
            <w:pPr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 w:val="0"/>
                <w:sz w:val="20"/>
                <w:szCs w:val="20"/>
              </w:rPr>
              <w:t>Chain or Supermarket Pharmacy</w:t>
            </w:r>
          </w:p>
        </w:tc>
        <w:tc>
          <w:tcPr>
            <w:tcW w:w="1128" w:type="dxa"/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0.63-1.47</w:t>
            </w: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0.47-1.12</w:t>
            </w: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0.43-1.45</w:t>
            </w: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0.39*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0.21-0.73</w:t>
            </w: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355A94" w:rsidRDefault="00043EE1" w:rsidP="00C07A19">
            <w:pPr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 w:val="0"/>
                <w:sz w:val="20"/>
                <w:szCs w:val="20"/>
              </w:rPr>
              <w:t>Independent Pharmacy</w:t>
            </w:r>
          </w:p>
        </w:tc>
        <w:tc>
          <w:tcPr>
            <w:tcW w:w="1128" w:type="dxa"/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Urban or Rural Practice Setting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  Urban County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0.65-1.44</w:t>
            </w: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0.61-1.33</w:t>
            </w: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0.67-2.12</w:t>
            </w: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0.68-2.23</w:t>
            </w: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  Rural County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Ref.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Pharmacist Attitudes</w:t>
            </w:r>
            <w:r>
              <w:rPr>
                <w:sz w:val="20"/>
                <w:szCs w:val="20"/>
                <w:vertAlign w:val="superscript"/>
              </w:rPr>
              <w:t>1</w:t>
            </w:r>
            <w:r>
              <w:rPr>
                <w:b w:val="0"/>
                <w:sz w:val="20"/>
                <w:szCs w:val="20"/>
              </w:rPr>
              <w:t xml:space="preserve">   </w:t>
            </w:r>
          </w:p>
        </w:tc>
        <w:tc>
          <w:tcPr>
            <w:tcW w:w="1128" w:type="dxa"/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</w:p>
        </w:tc>
      </w:tr>
      <w:tr w:rsidR="00043EE1" w:rsidTr="00C07A19">
        <w:tc>
          <w:tcPr>
            <w:cnfStyle w:val="001000000000"/>
            <w:tcW w:w="4164" w:type="dxa"/>
            <w:tcBorders>
              <w:bottom w:val="nil"/>
            </w:tcBorders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  Pharmacists could have significant public health impact by providing access to syringes/needles for IV drug users</w:t>
            </w:r>
          </w:p>
        </w:tc>
        <w:tc>
          <w:tcPr>
            <w:tcW w:w="1128" w:type="dxa"/>
            <w:tcBorders>
              <w:bottom w:val="nil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3.82*</w:t>
            </w:r>
          </w:p>
        </w:tc>
        <w:tc>
          <w:tcPr>
            <w:tcW w:w="1283" w:type="dxa"/>
            <w:tcBorders>
              <w:bottom w:val="nil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3.11-4.69</w:t>
            </w:r>
          </w:p>
        </w:tc>
        <w:tc>
          <w:tcPr>
            <w:tcW w:w="1126" w:type="dxa"/>
            <w:tcBorders>
              <w:left w:val="double" w:sz="4" w:space="0" w:color="auto"/>
              <w:bottom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2.25*</w:t>
            </w:r>
          </w:p>
        </w:tc>
        <w:tc>
          <w:tcPr>
            <w:tcW w:w="1089" w:type="dxa"/>
            <w:tcBorders>
              <w:bottom w:val="nil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1.84-2.75</w:t>
            </w:r>
          </w:p>
        </w:tc>
        <w:tc>
          <w:tcPr>
            <w:tcW w:w="1096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3.34*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2.64-4.24</w:t>
            </w:r>
          </w:p>
        </w:tc>
        <w:tc>
          <w:tcPr>
            <w:tcW w:w="901" w:type="dxa"/>
            <w:tcBorders>
              <w:left w:val="double" w:sz="4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1.85*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1.49-2.29</w:t>
            </w:r>
          </w:p>
        </w:tc>
      </w:tr>
      <w:tr w:rsidR="00043EE1" w:rsidTr="00C07A19">
        <w:tc>
          <w:tcPr>
            <w:cnfStyle w:val="001000000000"/>
            <w:tcW w:w="4164" w:type="dxa"/>
            <w:tcBorders>
              <w:top w:val="nil"/>
              <w:bottom w:val="single" w:sz="18" w:space="0" w:color="auto"/>
            </w:tcBorders>
          </w:tcPr>
          <w:p w:rsidR="00043EE1" w:rsidRPr="00EB53EF" w:rsidRDefault="00043EE1" w:rsidP="00C07A1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     Access to clean syringes/needles is important to prevent blood-borne infections such as HIV and hepatitis in IV drug users</w:t>
            </w:r>
          </w:p>
        </w:tc>
        <w:tc>
          <w:tcPr>
            <w:tcW w:w="1128" w:type="dxa"/>
            <w:tcBorders>
              <w:top w:val="nil"/>
              <w:bottom w:val="single" w:sz="18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1283" w:type="dxa"/>
            <w:tcBorders>
              <w:top w:val="nil"/>
              <w:bottom w:val="single" w:sz="18" w:space="0" w:color="auto"/>
              <w:right w:val="double" w:sz="4" w:space="0" w:color="auto"/>
            </w:tcBorders>
          </w:tcPr>
          <w:p w:rsidR="00043EE1" w:rsidRPr="009B7786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0.76-1.15</w:t>
            </w:r>
          </w:p>
        </w:tc>
        <w:tc>
          <w:tcPr>
            <w:tcW w:w="1126" w:type="dxa"/>
            <w:tcBorders>
              <w:top w:val="nil"/>
              <w:left w:val="double" w:sz="4" w:space="0" w:color="auto"/>
              <w:bottom w:val="single" w:sz="18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089" w:type="dxa"/>
            <w:tcBorders>
              <w:top w:val="nil"/>
              <w:bottom w:val="single" w:sz="18" w:space="0" w:color="auto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0.65-1.02</w:t>
            </w:r>
          </w:p>
        </w:tc>
        <w:tc>
          <w:tcPr>
            <w:tcW w:w="1096" w:type="dxa"/>
            <w:tcBorders>
              <w:left w:val="double" w:sz="4" w:space="0" w:color="auto"/>
              <w:bottom w:val="single" w:sz="18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18" w:space="0" w:color="auto"/>
              <w:right w:val="double" w:sz="4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0.94-1.40</w:t>
            </w:r>
          </w:p>
        </w:tc>
        <w:tc>
          <w:tcPr>
            <w:tcW w:w="901" w:type="dxa"/>
            <w:tcBorders>
              <w:left w:val="double" w:sz="4" w:space="0" w:color="auto"/>
              <w:bottom w:val="single" w:sz="18" w:space="0" w:color="auto"/>
              <w:right w:val="nil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18" w:space="0" w:color="auto"/>
            </w:tcBorders>
          </w:tcPr>
          <w:p w:rsidR="00043EE1" w:rsidRDefault="00043EE1" w:rsidP="00C07A19">
            <w:pPr>
              <w:jc w:val="center"/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0.81-1.25</w:t>
            </w:r>
          </w:p>
        </w:tc>
      </w:tr>
    </w:tbl>
    <w:p w:rsidR="00043EE1" w:rsidRDefault="00043EE1" w:rsidP="00043EE1">
      <w:pPr>
        <w:rPr>
          <w:i/>
          <w:sz w:val="20"/>
          <w:szCs w:val="20"/>
        </w:rPr>
      </w:pPr>
      <w:r>
        <w:rPr>
          <w:i/>
          <w:sz w:val="20"/>
          <w:szCs w:val="20"/>
          <w:vertAlign w:val="superscript"/>
        </w:rPr>
        <w:t>1</w:t>
      </w:r>
      <w:r w:rsidRPr="004244B1">
        <w:rPr>
          <w:i/>
          <w:sz w:val="20"/>
          <w:szCs w:val="20"/>
        </w:rPr>
        <w:t xml:space="preserve">Respondents could select a response on a scale of </w:t>
      </w:r>
      <w:proofErr w:type="gramStart"/>
      <w:r w:rsidRPr="004244B1">
        <w:rPr>
          <w:i/>
          <w:sz w:val="20"/>
          <w:szCs w:val="20"/>
        </w:rPr>
        <w:t>1</w:t>
      </w:r>
      <w:proofErr w:type="gramEnd"/>
      <w:r w:rsidRPr="004244B1">
        <w:rPr>
          <w:i/>
          <w:sz w:val="20"/>
          <w:szCs w:val="20"/>
        </w:rPr>
        <w:t xml:space="preserve"> (Strongly disagree) to 6 (</w:t>
      </w:r>
      <w:r>
        <w:rPr>
          <w:i/>
          <w:sz w:val="20"/>
          <w:szCs w:val="20"/>
        </w:rPr>
        <w:t>S</w:t>
      </w:r>
      <w:r w:rsidRPr="004244B1">
        <w:rPr>
          <w:i/>
          <w:sz w:val="20"/>
          <w:szCs w:val="20"/>
        </w:rPr>
        <w:t xml:space="preserve">trongly agree) for each attitude question. Responses of “Don’t </w:t>
      </w:r>
      <w:proofErr w:type="gramStart"/>
      <w:r w:rsidRPr="004244B1">
        <w:rPr>
          <w:i/>
          <w:sz w:val="20"/>
          <w:szCs w:val="20"/>
        </w:rPr>
        <w:t>Know</w:t>
      </w:r>
      <w:proofErr w:type="gramEnd"/>
      <w:r w:rsidRPr="004244B1">
        <w:rPr>
          <w:i/>
          <w:sz w:val="20"/>
          <w:szCs w:val="20"/>
        </w:rPr>
        <w:t>” were not included in regression analysis.</w:t>
      </w:r>
    </w:p>
    <w:p w:rsidR="00043EE1" w:rsidRDefault="00043EE1" w:rsidP="00043EE1">
      <w:pPr>
        <w:rPr>
          <w:i/>
          <w:sz w:val="20"/>
          <w:szCs w:val="20"/>
        </w:rPr>
      </w:pPr>
      <w:r w:rsidRPr="00A87EC6">
        <w:rPr>
          <w:i/>
          <w:sz w:val="20"/>
          <w:szCs w:val="20"/>
          <w:vertAlign w:val="superscript"/>
        </w:rPr>
        <w:lastRenderedPageBreak/>
        <w:t>2</w:t>
      </w:r>
      <w:r>
        <w:rPr>
          <w:i/>
          <w:sz w:val="20"/>
          <w:szCs w:val="20"/>
        </w:rPr>
        <w:t xml:space="preserve">The reference group for the dependent variable in both willingness models is a response of </w:t>
      </w:r>
      <w:proofErr w:type="gramStart"/>
      <w:r>
        <w:rPr>
          <w:i/>
          <w:sz w:val="20"/>
          <w:szCs w:val="20"/>
        </w:rPr>
        <w:t>1</w:t>
      </w:r>
      <w:proofErr w:type="gramEnd"/>
      <w:r>
        <w:rPr>
          <w:i/>
          <w:sz w:val="20"/>
          <w:szCs w:val="20"/>
        </w:rPr>
        <w:t xml:space="preserve"> (Not at all willing). </w:t>
      </w:r>
    </w:p>
    <w:p w:rsidR="00043EE1" w:rsidRPr="008E2A39" w:rsidRDefault="00043EE1" w:rsidP="00043EE1">
      <w:pPr>
        <w:rPr>
          <w:b/>
          <w:sz w:val="20"/>
          <w:szCs w:val="20"/>
        </w:rPr>
      </w:pPr>
      <w:r>
        <w:rPr>
          <w:i/>
          <w:sz w:val="20"/>
          <w:szCs w:val="20"/>
        </w:rPr>
        <w:t>*Indicates statistical significance.</w:t>
      </w:r>
    </w:p>
    <w:p w:rsidR="00CD4802" w:rsidRDefault="00CD4802"/>
    <w:sectPr w:rsidR="00CD4802" w:rsidSect="00043EE1">
      <w:pgSz w:w="15840" w:h="12240" w:orient="landscape"/>
      <w:pgMar w:top="1656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43EE1"/>
    <w:rsid w:val="00043EE1"/>
    <w:rsid w:val="00796121"/>
    <w:rsid w:val="00971F61"/>
    <w:rsid w:val="00CD4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043EE1"/>
    <w:pPr>
      <w:spacing w:after="0" w:line="240" w:lineRule="auto"/>
    </w:pPr>
    <w:rPr>
      <w:rFonts w:ascii="Calibri" w:eastAsiaTheme="minorEastAsia" w:hAnsi="Calibri"/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1942</Characters>
  <Application>Microsoft Office Word</Application>
  <DocSecurity>0</DocSecurity>
  <Lines>47</Lines>
  <Paragraphs>14</Paragraphs>
  <ScaleCrop>false</ScaleCrop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LACOSTA</dc:creator>
  <cp:lastModifiedBy>LACOSTA</cp:lastModifiedBy>
  <cp:revision>1</cp:revision>
  <dcterms:created xsi:type="dcterms:W3CDTF">2018-01-22T11:27:00Z</dcterms:created>
  <dcterms:modified xsi:type="dcterms:W3CDTF">2018-01-22T11:28:00Z</dcterms:modified>
</cp:coreProperties>
</file>