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1843"/>
        <w:gridCol w:w="1418"/>
        <w:gridCol w:w="3543"/>
        <w:gridCol w:w="1991"/>
        <w:gridCol w:w="2325"/>
      </w:tblGrid>
      <w:tr w:rsidR="00EE5199" w14:paraId="14854929" w14:textId="77777777" w:rsidTr="00EE5199">
        <w:trPr>
          <w:trHeight w:val="132"/>
        </w:trPr>
        <w:tc>
          <w:tcPr>
            <w:tcW w:w="2830" w:type="dxa"/>
          </w:tcPr>
          <w:p w14:paraId="456D1D08" w14:textId="04AFBF43" w:rsidR="00EE5199" w:rsidRPr="00D3305C" w:rsidRDefault="00EE5199" w:rsidP="00D3305C">
            <w:pPr>
              <w:jc w:val="center"/>
              <w:rPr>
                <w:sz w:val="10"/>
                <w:szCs w:val="10"/>
              </w:rPr>
            </w:pPr>
            <w:r w:rsidRPr="00D3305C">
              <w:rPr>
                <w:sz w:val="10"/>
                <w:szCs w:val="10"/>
              </w:rPr>
              <w:t>Study</w:t>
            </w:r>
          </w:p>
        </w:tc>
        <w:tc>
          <w:tcPr>
            <w:tcW w:w="11120" w:type="dxa"/>
            <w:gridSpan w:val="5"/>
          </w:tcPr>
          <w:p w14:paraId="7A2264E3" w14:textId="29C9F25A" w:rsidR="00EE5199" w:rsidRPr="00D3305C" w:rsidRDefault="00EE5199" w:rsidP="00BC7E88">
            <w:pPr>
              <w:jc w:val="center"/>
              <w:rPr>
                <w:sz w:val="10"/>
                <w:szCs w:val="10"/>
              </w:rPr>
            </w:pPr>
            <w:r w:rsidRPr="00D3305C">
              <w:rPr>
                <w:sz w:val="10"/>
                <w:szCs w:val="10"/>
              </w:rPr>
              <w:t>Epidemiological</w:t>
            </w:r>
            <w:r w:rsidR="0020597E">
              <w:rPr>
                <w:sz w:val="10"/>
                <w:szCs w:val="10"/>
              </w:rPr>
              <w:t>/Clinical</w:t>
            </w:r>
            <w:r w:rsidRPr="00D3305C">
              <w:rPr>
                <w:sz w:val="10"/>
                <w:szCs w:val="10"/>
              </w:rPr>
              <w:t xml:space="preserve"> Findings</w:t>
            </w:r>
          </w:p>
        </w:tc>
      </w:tr>
      <w:tr w:rsidR="00EE5199" w14:paraId="28078238" w14:textId="77777777" w:rsidTr="0069029B">
        <w:tc>
          <w:tcPr>
            <w:tcW w:w="2830" w:type="dxa"/>
            <w:vMerge w:val="restart"/>
            <w:vAlign w:val="center"/>
          </w:tcPr>
          <w:p w14:paraId="4C8DD2B7" w14:textId="0742F074" w:rsidR="00EE5199" w:rsidRPr="00D3305C" w:rsidRDefault="00D32E27" w:rsidP="0069029B">
            <w:pPr>
              <w:jc w:val="center"/>
              <w:rPr>
                <w:color w:val="FF0000"/>
                <w:sz w:val="10"/>
                <w:szCs w:val="10"/>
              </w:rPr>
            </w:pPr>
            <w:r>
              <w:rPr>
                <w:color w:val="FF0000"/>
                <w:sz w:val="10"/>
                <w:szCs w:val="10"/>
              </w:rPr>
              <w:t>Modéer</w:t>
            </w:r>
            <w:r w:rsidR="00EE5199">
              <w:rPr>
                <w:color w:val="FF0000"/>
                <w:sz w:val="10"/>
                <w:szCs w:val="10"/>
              </w:rPr>
              <w:t xml:space="preserve"> et al., </w:t>
            </w:r>
            <w:r w:rsidR="00E434C4">
              <w:rPr>
                <w:color w:val="FF0000"/>
                <w:sz w:val="10"/>
                <w:szCs w:val="10"/>
              </w:rPr>
              <w:t>19</w:t>
            </w:r>
            <w:r>
              <w:rPr>
                <w:color w:val="FF0000"/>
                <w:sz w:val="10"/>
                <w:szCs w:val="10"/>
              </w:rPr>
              <w:t>80</w:t>
            </w:r>
            <w:r w:rsidR="00EE5199">
              <w:rPr>
                <w:color w:val="FF0000"/>
                <w:sz w:val="10"/>
                <w:szCs w:val="10"/>
              </w:rPr>
              <w:t xml:space="preserve"> [ref. </w:t>
            </w:r>
            <w:r>
              <w:rPr>
                <w:color w:val="FF0000"/>
                <w:sz w:val="10"/>
                <w:szCs w:val="10"/>
              </w:rPr>
              <w:t>8</w:t>
            </w:r>
            <w:r w:rsidR="006F4CDD">
              <w:rPr>
                <w:color w:val="FF0000"/>
                <w:sz w:val="10"/>
                <w:szCs w:val="10"/>
              </w:rPr>
              <w:t>9</w:t>
            </w:r>
            <w:r w:rsidR="00EE5199">
              <w:rPr>
                <w:color w:val="FF0000"/>
                <w:sz w:val="10"/>
                <w:szCs w:val="10"/>
              </w:rPr>
              <w:t>]</w:t>
            </w:r>
          </w:p>
        </w:tc>
        <w:tc>
          <w:tcPr>
            <w:tcW w:w="1843" w:type="dxa"/>
            <w:vAlign w:val="center"/>
          </w:tcPr>
          <w:p w14:paraId="77D987A0" w14:textId="334EBCDD" w:rsidR="00EE5199" w:rsidRDefault="00247EC5" w:rsidP="0069029B">
            <w:pPr>
              <w:jc w:val="center"/>
              <w:rPr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End-point</w:t>
            </w:r>
          </w:p>
        </w:tc>
        <w:tc>
          <w:tcPr>
            <w:tcW w:w="1418" w:type="dxa"/>
            <w:vAlign w:val="center"/>
          </w:tcPr>
          <w:p w14:paraId="6F34FA76" w14:textId="2395C385" w:rsidR="00EE5199" w:rsidRDefault="00EE5199" w:rsidP="00227CA3">
            <w:pPr>
              <w:jc w:val="center"/>
              <w:rPr>
                <w:sz w:val="10"/>
                <w:szCs w:val="10"/>
              </w:rPr>
            </w:pPr>
            <w:r w:rsidRPr="0040458D">
              <w:rPr>
                <w:b/>
                <w:color w:val="000000" w:themeColor="text1"/>
                <w:sz w:val="10"/>
                <w:szCs w:val="10"/>
              </w:rPr>
              <w:t xml:space="preserve">Number of </w:t>
            </w:r>
            <w:r w:rsidR="00247EC5">
              <w:rPr>
                <w:b/>
                <w:color w:val="000000" w:themeColor="text1"/>
                <w:sz w:val="10"/>
                <w:szCs w:val="10"/>
              </w:rPr>
              <w:t>subjects</w:t>
            </w:r>
          </w:p>
        </w:tc>
        <w:tc>
          <w:tcPr>
            <w:tcW w:w="3543" w:type="dxa"/>
            <w:vAlign w:val="center"/>
          </w:tcPr>
          <w:p w14:paraId="5E796C17" w14:textId="6D4B8526" w:rsidR="00EE5199" w:rsidRPr="00972794" w:rsidRDefault="00CA181E" w:rsidP="00CA181E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CA181E">
              <w:rPr>
                <w:b/>
                <w:color w:val="000000" w:themeColor="text1"/>
                <w:sz w:val="10"/>
                <w:szCs w:val="10"/>
              </w:rPr>
              <w:t>Clinical Findings</w:t>
            </w:r>
          </w:p>
        </w:tc>
        <w:tc>
          <w:tcPr>
            <w:tcW w:w="1991" w:type="dxa"/>
            <w:vAlign w:val="center"/>
          </w:tcPr>
          <w:p w14:paraId="7334857F" w14:textId="55E5AA90" w:rsidR="00EE5199" w:rsidRPr="00972794" w:rsidRDefault="00EE5199" w:rsidP="00A2430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40458D">
              <w:rPr>
                <w:b/>
                <w:color w:val="000000" w:themeColor="text1"/>
                <w:sz w:val="10"/>
                <w:szCs w:val="10"/>
              </w:rPr>
              <w:t>95% Confidence Interval</w:t>
            </w:r>
          </w:p>
        </w:tc>
        <w:tc>
          <w:tcPr>
            <w:tcW w:w="2325" w:type="dxa"/>
            <w:vAlign w:val="center"/>
          </w:tcPr>
          <w:p w14:paraId="18DFD52F" w14:textId="77777777" w:rsidR="00EE5199" w:rsidRPr="0006771D" w:rsidRDefault="00EE5199" w:rsidP="00A24307">
            <w:pPr>
              <w:jc w:val="center"/>
              <w:rPr>
                <w:b/>
                <w:sz w:val="10"/>
                <w:szCs w:val="10"/>
              </w:rPr>
            </w:pPr>
            <w:r w:rsidRPr="0006771D">
              <w:rPr>
                <w:b/>
                <w:sz w:val="10"/>
                <w:szCs w:val="10"/>
              </w:rPr>
              <w:t>Scoring assessment of quality of the study</w:t>
            </w:r>
          </w:p>
          <w:p w14:paraId="40F23C7E" w14:textId="5E023BDF" w:rsidR="00EE5199" w:rsidRDefault="00EE5199" w:rsidP="00A24307">
            <w:pPr>
              <w:jc w:val="center"/>
              <w:rPr>
                <w:sz w:val="10"/>
                <w:szCs w:val="10"/>
              </w:rPr>
            </w:pPr>
            <w:r w:rsidRPr="0006771D">
              <w:rPr>
                <w:b/>
                <w:sz w:val="10"/>
                <w:szCs w:val="10"/>
              </w:rPr>
              <w:t>(based on assessment using the Klimisch Score</w:t>
            </w:r>
            <w:r>
              <w:rPr>
                <w:b/>
                <w:sz w:val="10"/>
                <w:szCs w:val="10"/>
              </w:rPr>
              <w:t>)</w:t>
            </w:r>
          </w:p>
        </w:tc>
      </w:tr>
      <w:tr w:rsidR="00EE5199" w14:paraId="4C84DD90" w14:textId="77777777" w:rsidTr="00077047">
        <w:tc>
          <w:tcPr>
            <w:tcW w:w="2830" w:type="dxa"/>
            <w:vMerge/>
            <w:vAlign w:val="center"/>
          </w:tcPr>
          <w:p w14:paraId="431B6D05" w14:textId="77777777" w:rsidR="00EE5199" w:rsidRPr="00D3305C" w:rsidRDefault="00EE5199" w:rsidP="0069029B">
            <w:pPr>
              <w:jc w:val="center"/>
              <w:rPr>
                <w:color w:val="FF0000"/>
                <w:sz w:val="10"/>
                <w:szCs w:val="10"/>
              </w:rPr>
            </w:pPr>
          </w:p>
        </w:tc>
        <w:tc>
          <w:tcPr>
            <w:tcW w:w="1843" w:type="dxa"/>
            <w:vAlign w:val="center"/>
          </w:tcPr>
          <w:p w14:paraId="0E322805" w14:textId="6DB867F8" w:rsidR="00EE5199" w:rsidRDefault="00247EC5" w:rsidP="0069029B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Gingival Index</w:t>
            </w:r>
          </w:p>
        </w:tc>
        <w:tc>
          <w:tcPr>
            <w:tcW w:w="1418" w:type="dxa"/>
            <w:vAlign w:val="center"/>
          </w:tcPr>
          <w:p w14:paraId="3535FB11" w14:textId="1594FDC3" w:rsidR="00EE5199" w:rsidRDefault="00247EC5" w:rsidP="00077047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School children (n=232; boys, n=119</w:t>
            </w:r>
            <w:r w:rsidR="00CA181E">
              <w:rPr>
                <w:sz w:val="10"/>
                <w:szCs w:val="10"/>
              </w:rPr>
              <w:t>;</w:t>
            </w:r>
            <w:r>
              <w:rPr>
                <w:sz w:val="10"/>
                <w:szCs w:val="10"/>
              </w:rPr>
              <w:t xml:space="preserve"> girls, </w:t>
            </w:r>
            <w:r w:rsidR="00CA181E">
              <w:rPr>
                <w:sz w:val="10"/>
                <w:szCs w:val="10"/>
              </w:rPr>
              <w:t>n=113). Mean age 13.5 years.</w:t>
            </w:r>
          </w:p>
        </w:tc>
        <w:tc>
          <w:tcPr>
            <w:tcW w:w="3543" w:type="dxa"/>
          </w:tcPr>
          <w:p w14:paraId="595EB3F2" w14:textId="77777777" w:rsidR="00EE5199" w:rsidRDefault="00CA181E" w:rsidP="00CA181E">
            <w:pPr>
              <w:jc w:val="both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Snus use reported by 11% of boys. No reported use in girls. Mean consumption of snus was five pinches per day with snus being present in the oral cavity for an average of 3.5 hours per day.</w:t>
            </w:r>
          </w:p>
          <w:p w14:paraId="68B9D2D1" w14:textId="77777777" w:rsidR="00CA181E" w:rsidRDefault="00CA181E" w:rsidP="00CA181E">
            <w:pPr>
              <w:jc w:val="both"/>
              <w:rPr>
                <w:color w:val="000000" w:themeColor="text1"/>
                <w:sz w:val="10"/>
                <w:szCs w:val="10"/>
              </w:rPr>
            </w:pPr>
          </w:p>
          <w:p w14:paraId="72ED9E4E" w14:textId="1727B25F" w:rsidR="00CA181E" w:rsidRPr="0050521E" w:rsidRDefault="00CA181E" w:rsidP="00CA181E">
            <w:pPr>
              <w:jc w:val="both"/>
              <w:rPr>
                <w:color w:val="000000" w:themeColor="text1"/>
                <w:sz w:val="10"/>
                <w:szCs w:val="10"/>
              </w:rPr>
            </w:pPr>
            <w:r>
              <w:rPr>
                <w:color w:val="000000" w:themeColor="text1"/>
                <w:sz w:val="10"/>
                <w:szCs w:val="10"/>
              </w:rPr>
              <w:t>Only clinical endpoint which was statistically significant between snus users and non-users was gingival index on all surfaces as well as in the upper front jaw [after adjustment for plaque]. Gingival index in general was 1.10 for snus users and 0.89 in non-users.</w:t>
            </w:r>
          </w:p>
        </w:tc>
        <w:tc>
          <w:tcPr>
            <w:tcW w:w="1991" w:type="dxa"/>
            <w:vAlign w:val="center"/>
          </w:tcPr>
          <w:p w14:paraId="20DEFC17" w14:textId="39948AE2" w:rsidR="00EE5199" w:rsidRPr="0050521E" w:rsidRDefault="0020597E" w:rsidP="0020597E">
            <w:pPr>
              <w:jc w:val="center"/>
              <w:rPr>
                <w:color w:val="000000" w:themeColor="text1"/>
                <w:sz w:val="10"/>
                <w:szCs w:val="10"/>
              </w:rPr>
            </w:pPr>
            <w:r>
              <w:rPr>
                <w:color w:val="000000" w:themeColor="text1"/>
                <w:sz w:val="10"/>
                <w:szCs w:val="10"/>
              </w:rPr>
              <w:t>N/A</w:t>
            </w:r>
          </w:p>
        </w:tc>
        <w:tc>
          <w:tcPr>
            <w:tcW w:w="2325" w:type="dxa"/>
            <w:vAlign w:val="center"/>
          </w:tcPr>
          <w:p w14:paraId="2579CB9C" w14:textId="5059991C" w:rsidR="00EE5199" w:rsidRDefault="00CA181E" w:rsidP="00CA181E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2 [small number of boys who self-reported as snus users (11% of 119)]</w:t>
            </w:r>
          </w:p>
        </w:tc>
      </w:tr>
      <w:tr w:rsidR="009A02FF" w14:paraId="0F7E0E2C" w14:textId="77777777" w:rsidTr="00077047">
        <w:tc>
          <w:tcPr>
            <w:tcW w:w="2830" w:type="dxa"/>
            <w:vMerge w:val="restart"/>
            <w:vAlign w:val="center"/>
          </w:tcPr>
          <w:p w14:paraId="4A8AF814" w14:textId="1C671F22" w:rsidR="009A02FF" w:rsidRPr="00387A5A" w:rsidRDefault="009A02FF" w:rsidP="009A02FF">
            <w:pPr>
              <w:jc w:val="center"/>
              <w:rPr>
                <w:color w:val="000000" w:themeColor="text1"/>
                <w:sz w:val="10"/>
                <w:szCs w:val="10"/>
                <w:vertAlign w:val="superscript"/>
              </w:rPr>
            </w:pPr>
            <w:r>
              <w:rPr>
                <w:color w:val="FF0000"/>
                <w:sz w:val="10"/>
                <w:szCs w:val="10"/>
              </w:rPr>
              <w:t>Frithiof et al., 1983 [ref. 9</w:t>
            </w:r>
            <w:r w:rsidR="006F4CDD">
              <w:rPr>
                <w:color w:val="FF0000"/>
                <w:sz w:val="10"/>
                <w:szCs w:val="10"/>
              </w:rPr>
              <w:t>5</w:t>
            </w:r>
            <w:r>
              <w:rPr>
                <w:color w:val="FF0000"/>
                <w:sz w:val="10"/>
                <w:szCs w:val="10"/>
              </w:rPr>
              <w:t>]</w:t>
            </w:r>
          </w:p>
        </w:tc>
        <w:tc>
          <w:tcPr>
            <w:tcW w:w="1843" w:type="dxa"/>
            <w:vAlign w:val="center"/>
          </w:tcPr>
          <w:p w14:paraId="505BFCCB" w14:textId="6BBE78E1" w:rsidR="009A02FF" w:rsidRDefault="009A02FF" w:rsidP="009A02FF">
            <w:pPr>
              <w:jc w:val="center"/>
              <w:rPr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End-point</w:t>
            </w:r>
          </w:p>
        </w:tc>
        <w:tc>
          <w:tcPr>
            <w:tcW w:w="1418" w:type="dxa"/>
            <w:vAlign w:val="center"/>
          </w:tcPr>
          <w:p w14:paraId="73FDD64E" w14:textId="0EEE4A6A" w:rsidR="009A02FF" w:rsidRPr="00972794" w:rsidRDefault="009A02FF" w:rsidP="00077047">
            <w:pPr>
              <w:jc w:val="center"/>
              <w:rPr>
                <w:b/>
                <w:sz w:val="10"/>
                <w:szCs w:val="10"/>
              </w:rPr>
            </w:pPr>
            <w:r w:rsidRPr="0040458D">
              <w:rPr>
                <w:b/>
                <w:color w:val="000000" w:themeColor="text1"/>
                <w:sz w:val="10"/>
                <w:szCs w:val="10"/>
              </w:rPr>
              <w:t xml:space="preserve">Number of </w:t>
            </w:r>
            <w:r w:rsidR="00227CA3">
              <w:rPr>
                <w:b/>
                <w:color w:val="000000" w:themeColor="text1"/>
                <w:sz w:val="10"/>
                <w:szCs w:val="10"/>
              </w:rPr>
              <w:t>subjects</w:t>
            </w:r>
          </w:p>
        </w:tc>
        <w:tc>
          <w:tcPr>
            <w:tcW w:w="3543" w:type="dxa"/>
            <w:vAlign w:val="center"/>
          </w:tcPr>
          <w:p w14:paraId="6C135104" w14:textId="49A636DF" w:rsidR="009A02FF" w:rsidRPr="00972794" w:rsidRDefault="00227CA3" w:rsidP="009A02FF">
            <w:pPr>
              <w:jc w:val="center"/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Clinical Findings</w:t>
            </w:r>
          </w:p>
        </w:tc>
        <w:tc>
          <w:tcPr>
            <w:tcW w:w="1991" w:type="dxa"/>
            <w:vAlign w:val="center"/>
          </w:tcPr>
          <w:p w14:paraId="3C17E8D6" w14:textId="15A44F59" w:rsidR="009A02FF" w:rsidRPr="00972794" w:rsidRDefault="009A02FF" w:rsidP="009A02FF">
            <w:pPr>
              <w:jc w:val="center"/>
              <w:rPr>
                <w:b/>
                <w:sz w:val="10"/>
                <w:szCs w:val="10"/>
              </w:rPr>
            </w:pPr>
            <w:r w:rsidRPr="0040458D">
              <w:rPr>
                <w:b/>
                <w:color w:val="000000" w:themeColor="text1"/>
                <w:sz w:val="10"/>
                <w:szCs w:val="10"/>
              </w:rPr>
              <w:t>95% Confidence Interval</w:t>
            </w:r>
          </w:p>
        </w:tc>
        <w:tc>
          <w:tcPr>
            <w:tcW w:w="2325" w:type="dxa"/>
          </w:tcPr>
          <w:p w14:paraId="745FCD4A" w14:textId="77777777" w:rsidR="009A02FF" w:rsidRPr="0006771D" w:rsidRDefault="009A02FF" w:rsidP="009A02FF">
            <w:pPr>
              <w:jc w:val="center"/>
              <w:rPr>
                <w:b/>
                <w:sz w:val="10"/>
                <w:szCs w:val="10"/>
              </w:rPr>
            </w:pPr>
            <w:r w:rsidRPr="0006771D">
              <w:rPr>
                <w:b/>
                <w:sz w:val="10"/>
                <w:szCs w:val="10"/>
              </w:rPr>
              <w:t>Scoring assessment of quality of the study</w:t>
            </w:r>
          </w:p>
          <w:p w14:paraId="7C4C203F" w14:textId="1A53812D" w:rsidR="009A02FF" w:rsidRPr="0006771D" w:rsidRDefault="009A02FF" w:rsidP="009A02FF">
            <w:pPr>
              <w:jc w:val="center"/>
              <w:rPr>
                <w:b/>
                <w:sz w:val="10"/>
                <w:szCs w:val="10"/>
              </w:rPr>
            </w:pPr>
            <w:r w:rsidRPr="0006771D">
              <w:rPr>
                <w:b/>
                <w:sz w:val="10"/>
                <w:szCs w:val="10"/>
              </w:rPr>
              <w:t>(based on assessment using the Klimisch Score</w:t>
            </w:r>
            <w:r>
              <w:rPr>
                <w:b/>
                <w:sz w:val="10"/>
                <w:szCs w:val="10"/>
              </w:rPr>
              <w:t>)</w:t>
            </w:r>
          </w:p>
        </w:tc>
      </w:tr>
      <w:tr w:rsidR="009A02FF" w14:paraId="4F2649F1" w14:textId="77777777" w:rsidTr="00077047">
        <w:tc>
          <w:tcPr>
            <w:tcW w:w="2830" w:type="dxa"/>
            <w:vMerge/>
            <w:vAlign w:val="center"/>
          </w:tcPr>
          <w:p w14:paraId="62E69D56" w14:textId="77777777" w:rsidR="009A02FF" w:rsidRDefault="009A02FF" w:rsidP="009A02FF">
            <w:pPr>
              <w:jc w:val="center"/>
              <w:rPr>
                <w:color w:val="FF0000"/>
                <w:sz w:val="10"/>
                <w:szCs w:val="10"/>
              </w:rPr>
            </w:pPr>
          </w:p>
        </w:tc>
        <w:tc>
          <w:tcPr>
            <w:tcW w:w="1843" w:type="dxa"/>
            <w:vAlign w:val="center"/>
          </w:tcPr>
          <w:p w14:paraId="442EE8EC" w14:textId="39B4A5B9" w:rsidR="009A02FF" w:rsidRDefault="009A02FF" w:rsidP="009A02FF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Gingival recession</w:t>
            </w:r>
          </w:p>
        </w:tc>
        <w:tc>
          <w:tcPr>
            <w:tcW w:w="1418" w:type="dxa"/>
            <w:vAlign w:val="center"/>
          </w:tcPr>
          <w:p w14:paraId="56AA892A" w14:textId="4E6745A3" w:rsidR="009A02FF" w:rsidRPr="0020597E" w:rsidRDefault="00227CA3" w:rsidP="0007704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20597E">
              <w:rPr>
                <w:color w:val="000000" w:themeColor="text1"/>
                <w:sz w:val="10"/>
                <w:szCs w:val="10"/>
              </w:rPr>
              <w:t>Male snus users (n=21). Oral lesions were studied.</w:t>
            </w:r>
          </w:p>
        </w:tc>
        <w:tc>
          <w:tcPr>
            <w:tcW w:w="3543" w:type="dxa"/>
          </w:tcPr>
          <w:p w14:paraId="675CEB85" w14:textId="6C29CB19" w:rsidR="009A02FF" w:rsidRPr="00227CA3" w:rsidRDefault="00227CA3" w:rsidP="00227CA3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0"/>
                <w:szCs w:val="10"/>
                <w:lang w:val="en-US"/>
              </w:rPr>
            </w:pPr>
            <w:r w:rsidRPr="00227CA3">
              <w:rPr>
                <w:rFonts w:cs="Times New Roman"/>
                <w:sz w:val="10"/>
                <w:szCs w:val="10"/>
                <w:lang w:val="en-US"/>
              </w:rPr>
              <w:t>The lesions had a characteristic whitish</w:t>
            </w:r>
            <w:r>
              <w:rPr>
                <w:rFonts w:cs="Times New Roman"/>
                <w:sz w:val="10"/>
                <w:szCs w:val="10"/>
                <w:lang w:val="en-US"/>
              </w:rPr>
              <w:t xml:space="preserve"> </w:t>
            </w:r>
            <w:r w:rsidRPr="00227CA3">
              <w:rPr>
                <w:rFonts w:cs="Times New Roman"/>
                <w:sz w:val="10"/>
                <w:szCs w:val="10"/>
                <w:lang w:val="en-US"/>
              </w:rPr>
              <w:t>appearance and the most common localization was in the</w:t>
            </w:r>
            <w:r>
              <w:rPr>
                <w:rFonts w:cs="Times New Roman"/>
                <w:sz w:val="10"/>
                <w:szCs w:val="10"/>
                <w:lang w:val="en-US"/>
              </w:rPr>
              <w:t xml:space="preserve"> </w:t>
            </w:r>
            <w:r w:rsidRPr="00227CA3">
              <w:rPr>
                <w:rFonts w:cs="Times New Roman"/>
                <w:sz w:val="10"/>
                <w:szCs w:val="10"/>
                <w:lang w:val="en-US"/>
              </w:rPr>
              <w:t>vestibular area of the upper jaw. In two cases gingival retraction was observed. Light microscopical examination showed a mild epithelial dysplasia in five cases. No carcinoma in situ or invasive carcinoma was recognized.</w:t>
            </w:r>
            <w:r>
              <w:rPr>
                <w:rFonts w:cs="Times New Roman"/>
                <w:sz w:val="10"/>
                <w:szCs w:val="10"/>
                <w:lang w:val="en-US"/>
              </w:rPr>
              <w:t xml:space="preserve"> No evidence of gingival recession was observed</w:t>
            </w:r>
          </w:p>
        </w:tc>
        <w:tc>
          <w:tcPr>
            <w:tcW w:w="1991" w:type="dxa"/>
            <w:vAlign w:val="center"/>
          </w:tcPr>
          <w:p w14:paraId="72C4304B" w14:textId="6B833E38" w:rsidR="009A02FF" w:rsidRPr="00C41D84" w:rsidRDefault="00227CA3" w:rsidP="00227CA3">
            <w:pPr>
              <w:jc w:val="center"/>
              <w:rPr>
                <w:color w:val="000000" w:themeColor="text1"/>
                <w:sz w:val="10"/>
                <w:szCs w:val="10"/>
              </w:rPr>
            </w:pPr>
            <w:r>
              <w:rPr>
                <w:color w:val="000000" w:themeColor="text1"/>
                <w:sz w:val="10"/>
                <w:szCs w:val="10"/>
              </w:rPr>
              <w:t>N/A</w:t>
            </w:r>
          </w:p>
        </w:tc>
        <w:tc>
          <w:tcPr>
            <w:tcW w:w="2325" w:type="dxa"/>
            <w:vAlign w:val="center"/>
          </w:tcPr>
          <w:p w14:paraId="6B7DAB6C" w14:textId="160E9385" w:rsidR="009A02FF" w:rsidRPr="00227CA3" w:rsidRDefault="00227CA3" w:rsidP="00227CA3">
            <w:pPr>
              <w:jc w:val="center"/>
              <w:rPr>
                <w:sz w:val="10"/>
                <w:szCs w:val="10"/>
              </w:rPr>
            </w:pPr>
            <w:r w:rsidRPr="00227CA3">
              <w:rPr>
                <w:sz w:val="10"/>
                <w:szCs w:val="10"/>
              </w:rPr>
              <w:t>2 [a small number of subjects were studied and no quantitative assessment of condition frequency was provided by the original authors]</w:t>
            </w:r>
          </w:p>
        </w:tc>
      </w:tr>
      <w:tr w:rsidR="009A02FF" w14:paraId="0C90DF2D" w14:textId="77777777" w:rsidTr="00077047">
        <w:tc>
          <w:tcPr>
            <w:tcW w:w="2830" w:type="dxa"/>
            <w:vMerge w:val="restart"/>
            <w:vAlign w:val="center"/>
          </w:tcPr>
          <w:p w14:paraId="6EDAB90E" w14:textId="24241240" w:rsidR="009A02FF" w:rsidRDefault="009A02FF" w:rsidP="009A02FF">
            <w:pPr>
              <w:jc w:val="center"/>
              <w:rPr>
                <w:color w:val="FF0000"/>
                <w:sz w:val="10"/>
                <w:szCs w:val="10"/>
              </w:rPr>
            </w:pPr>
            <w:r>
              <w:rPr>
                <w:color w:val="FF0000"/>
                <w:sz w:val="10"/>
                <w:szCs w:val="10"/>
              </w:rPr>
              <w:t>Andersson and Axéll, 1989 [ref. 9</w:t>
            </w:r>
            <w:r w:rsidR="006F4CDD">
              <w:rPr>
                <w:color w:val="FF0000"/>
                <w:sz w:val="10"/>
                <w:szCs w:val="10"/>
              </w:rPr>
              <w:t>4</w:t>
            </w:r>
            <w:r>
              <w:rPr>
                <w:color w:val="FF0000"/>
                <w:sz w:val="10"/>
                <w:szCs w:val="10"/>
              </w:rPr>
              <w:t>]</w:t>
            </w:r>
          </w:p>
        </w:tc>
        <w:tc>
          <w:tcPr>
            <w:tcW w:w="1843" w:type="dxa"/>
            <w:vAlign w:val="center"/>
          </w:tcPr>
          <w:p w14:paraId="57FA460C" w14:textId="76D82FEE" w:rsidR="009A02FF" w:rsidRDefault="004A06A8" w:rsidP="009A02FF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End-point</w:t>
            </w:r>
          </w:p>
        </w:tc>
        <w:tc>
          <w:tcPr>
            <w:tcW w:w="1418" w:type="dxa"/>
            <w:vAlign w:val="center"/>
          </w:tcPr>
          <w:p w14:paraId="375E0CDB" w14:textId="613EC3DE" w:rsidR="009A02FF" w:rsidRPr="0040458D" w:rsidRDefault="009A02FF" w:rsidP="00077047">
            <w:pPr>
              <w:jc w:val="center"/>
              <w:rPr>
                <w:b/>
                <w:color w:val="000000" w:themeColor="text1"/>
                <w:sz w:val="10"/>
                <w:szCs w:val="10"/>
              </w:rPr>
            </w:pPr>
            <w:r w:rsidRPr="0040458D">
              <w:rPr>
                <w:b/>
                <w:color w:val="000000" w:themeColor="text1"/>
                <w:sz w:val="10"/>
                <w:szCs w:val="10"/>
              </w:rPr>
              <w:t>Number of cases</w:t>
            </w:r>
          </w:p>
        </w:tc>
        <w:tc>
          <w:tcPr>
            <w:tcW w:w="3543" w:type="dxa"/>
            <w:vAlign w:val="center"/>
          </w:tcPr>
          <w:p w14:paraId="2E2006E0" w14:textId="100DC73E" w:rsidR="009A02FF" w:rsidRPr="004A06A8" w:rsidRDefault="004A06A8" w:rsidP="009A02FF">
            <w:pPr>
              <w:jc w:val="center"/>
              <w:rPr>
                <w:b/>
                <w:color w:val="000000" w:themeColor="text1"/>
                <w:sz w:val="10"/>
                <w:szCs w:val="10"/>
              </w:rPr>
            </w:pPr>
            <w:r w:rsidRPr="004A06A8">
              <w:rPr>
                <w:b/>
                <w:color w:val="000000" w:themeColor="text1"/>
                <w:sz w:val="10"/>
                <w:szCs w:val="10"/>
              </w:rPr>
              <w:t>Clinical Findings</w:t>
            </w:r>
          </w:p>
        </w:tc>
        <w:tc>
          <w:tcPr>
            <w:tcW w:w="1991" w:type="dxa"/>
            <w:vAlign w:val="center"/>
          </w:tcPr>
          <w:p w14:paraId="1DB486A2" w14:textId="03B48A01" w:rsidR="009A02FF" w:rsidRPr="00C41D84" w:rsidRDefault="009A02FF" w:rsidP="009A02FF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40458D">
              <w:rPr>
                <w:b/>
                <w:color w:val="000000" w:themeColor="text1"/>
                <w:sz w:val="10"/>
                <w:szCs w:val="10"/>
              </w:rPr>
              <w:t>95% Confidence Interval</w:t>
            </w:r>
          </w:p>
        </w:tc>
        <w:tc>
          <w:tcPr>
            <w:tcW w:w="2325" w:type="dxa"/>
          </w:tcPr>
          <w:p w14:paraId="401EFC84" w14:textId="77777777" w:rsidR="009A02FF" w:rsidRPr="0006771D" w:rsidRDefault="009A02FF" w:rsidP="009A02FF">
            <w:pPr>
              <w:jc w:val="center"/>
              <w:rPr>
                <w:b/>
                <w:sz w:val="10"/>
                <w:szCs w:val="10"/>
              </w:rPr>
            </w:pPr>
            <w:r w:rsidRPr="0006771D">
              <w:rPr>
                <w:b/>
                <w:sz w:val="10"/>
                <w:szCs w:val="10"/>
              </w:rPr>
              <w:t>Scoring assessment of quality of the study</w:t>
            </w:r>
          </w:p>
          <w:p w14:paraId="319DC4BA" w14:textId="7FCA179C" w:rsidR="009A02FF" w:rsidRPr="0006771D" w:rsidRDefault="009A02FF" w:rsidP="009A02FF">
            <w:pPr>
              <w:jc w:val="center"/>
              <w:rPr>
                <w:b/>
                <w:sz w:val="10"/>
                <w:szCs w:val="10"/>
              </w:rPr>
            </w:pPr>
            <w:r w:rsidRPr="0006771D">
              <w:rPr>
                <w:b/>
                <w:sz w:val="10"/>
                <w:szCs w:val="10"/>
              </w:rPr>
              <w:t>(based on assessment using the Klimisch Score</w:t>
            </w:r>
            <w:r>
              <w:rPr>
                <w:b/>
                <w:sz w:val="10"/>
                <w:szCs w:val="10"/>
              </w:rPr>
              <w:t>)</w:t>
            </w:r>
          </w:p>
        </w:tc>
      </w:tr>
      <w:tr w:rsidR="009A02FF" w14:paraId="593B2BFC" w14:textId="77777777" w:rsidTr="00077047">
        <w:tc>
          <w:tcPr>
            <w:tcW w:w="2830" w:type="dxa"/>
            <w:vMerge/>
            <w:vAlign w:val="center"/>
          </w:tcPr>
          <w:p w14:paraId="2CCE7F64" w14:textId="77777777" w:rsidR="009A02FF" w:rsidRDefault="009A02FF" w:rsidP="009A02FF">
            <w:pPr>
              <w:jc w:val="center"/>
              <w:rPr>
                <w:color w:val="FF0000"/>
                <w:sz w:val="10"/>
                <w:szCs w:val="10"/>
              </w:rPr>
            </w:pPr>
          </w:p>
        </w:tc>
        <w:tc>
          <w:tcPr>
            <w:tcW w:w="1843" w:type="dxa"/>
            <w:vAlign w:val="center"/>
          </w:tcPr>
          <w:p w14:paraId="08F9E218" w14:textId="41DC2619" w:rsidR="009A02FF" w:rsidRDefault="004A06A8" w:rsidP="009A02FF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Gingival Recession</w:t>
            </w:r>
          </w:p>
        </w:tc>
        <w:tc>
          <w:tcPr>
            <w:tcW w:w="1418" w:type="dxa"/>
            <w:vAlign w:val="center"/>
          </w:tcPr>
          <w:p w14:paraId="7563601F" w14:textId="1BAD640C" w:rsidR="009A02FF" w:rsidRPr="004A06A8" w:rsidRDefault="004A06A8" w:rsidP="0007704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4A06A8">
              <w:rPr>
                <w:color w:val="000000" w:themeColor="text1"/>
                <w:sz w:val="10"/>
                <w:szCs w:val="10"/>
              </w:rPr>
              <w:t>All subjects (n=252); Loose snus users, n=184; Portion-bag snuff users, n=68.</w:t>
            </w:r>
          </w:p>
        </w:tc>
        <w:tc>
          <w:tcPr>
            <w:tcW w:w="3543" w:type="dxa"/>
          </w:tcPr>
          <w:p w14:paraId="70148982" w14:textId="77777777" w:rsidR="009A02FF" w:rsidRDefault="004A06A8" w:rsidP="004A06A8">
            <w:pPr>
              <w:jc w:val="both"/>
              <w:rPr>
                <w:color w:val="000000" w:themeColor="text1"/>
                <w:sz w:val="10"/>
                <w:szCs w:val="10"/>
              </w:rPr>
            </w:pPr>
            <w:r>
              <w:rPr>
                <w:color w:val="000000" w:themeColor="text1"/>
                <w:sz w:val="10"/>
                <w:szCs w:val="10"/>
              </w:rPr>
              <w:t>Clinical assessment conducted on all participants including clinical grading of lesions observed at sites where snus was placed. Gingival recession was also assessed. For a gingival recession to be registered as a snus-related recession, the borderline of the lesion should be in contact with the retracted gingival recession.</w:t>
            </w:r>
          </w:p>
          <w:p w14:paraId="2506B506" w14:textId="77777777" w:rsidR="004A06A8" w:rsidRDefault="004A06A8" w:rsidP="004A06A8">
            <w:pPr>
              <w:jc w:val="both"/>
              <w:rPr>
                <w:color w:val="000000" w:themeColor="text1"/>
                <w:sz w:val="10"/>
                <w:szCs w:val="10"/>
              </w:rPr>
            </w:pPr>
          </w:p>
          <w:p w14:paraId="006B8851" w14:textId="069092D1" w:rsidR="004A06A8" w:rsidRPr="00C41D84" w:rsidRDefault="004A06A8" w:rsidP="004A06A8">
            <w:pPr>
              <w:jc w:val="both"/>
              <w:rPr>
                <w:color w:val="000000" w:themeColor="text1"/>
                <w:sz w:val="10"/>
                <w:szCs w:val="10"/>
              </w:rPr>
            </w:pPr>
            <w:r>
              <w:rPr>
                <w:color w:val="000000" w:themeColor="text1"/>
                <w:sz w:val="10"/>
                <w:szCs w:val="10"/>
              </w:rPr>
              <w:t xml:space="preserve">Among </w:t>
            </w:r>
            <w:r w:rsidR="00E47CF3">
              <w:rPr>
                <w:color w:val="000000" w:themeColor="text1"/>
                <w:sz w:val="10"/>
                <w:szCs w:val="10"/>
              </w:rPr>
              <w:t>users of loose snus, 23.5% (n=42) subjects showed gingival recessions whilst only 2.9% (n=2) subjects who used portioned bagged snus showed gingival recessions.</w:t>
            </w:r>
          </w:p>
        </w:tc>
        <w:tc>
          <w:tcPr>
            <w:tcW w:w="1991" w:type="dxa"/>
            <w:vAlign w:val="center"/>
          </w:tcPr>
          <w:p w14:paraId="38593310" w14:textId="14FFA9F8" w:rsidR="009A02FF" w:rsidRPr="00C41D84" w:rsidRDefault="00E47CF3" w:rsidP="00E47CF3">
            <w:pPr>
              <w:jc w:val="center"/>
              <w:rPr>
                <w:color w:val="000000" w:themeColor="text1"/>
                <w:sz w:val="10"/>
                <w:szCs w:val="10"/>
              </w:rPr>
            </w:pPr>
            <w:r>
              <w:rPr>
                <w:color w:val="000000" w:themeColor="text1"/>
                <w:sz w:val="10"/>
                <w:szCs w:val="10"/>
              </w:rPr>
              <w:t>N/A</w:t>
            </w:r>
          </w:p>
        </w:tc>
        <w:tc>
          <w:tcPr>
            <w:tcW w:w="2325" w:type="dxa"/>
            <w:vAlign w:val="center"/>
          </w:tcPr>
          <w:p w14:paraId="5108CA06" w14:textId="2F284DE3" w:rsidR="009A02FF" w:rsidRPr="00E47CF3" w:rsidRDefault="00E47CF3" w:rsidP="00E47CF3">
            <w:pPr>
              <w:jc w:val="center"/>
              <w:rPr>
                <w:sz w:val="10"/>
                <w:szCs w:val="10"/>
              </w:rPr>
            </w:pPr>
            <w:r w:rsidRPr="00E47CF3">
              <w:rPr>
                <w:sz w:val="10"/>
                <w:szCs w:val="10"/>
              </w:rPr>
              <w:t>1</w:t>
            </w:r>
          </w:p>
        </w:tc>
      </w:tr>
      <w:tr w:rsidR="009A02FF" w14:paraId="67AB9AB4" w14:textId="77777777" w:rsidTr="00077047">
        <w:tc>
          <w:tcPr>
            <w:tcW w:w="2830" w:type="dxa"/>
            <w:vMerge w:val="restart"/>
            <w:vAlign w:val="center"/>
          </w:tcPr>
          <w:p w14:paraId="7E44C038" w14:textId="36BE19C0" w:rsidR="009A02FF" w:rsidRDefault="009A02FF" w:rsidP="009A02FF">
            <w:pPr>
              <w:jc w:val="center"/>
              <w:rPr>
                <w:color w:val="FF0000"/>
                <w:sz w:val="10"/>
                <w:szCs w:val="10"/>
              </w:rPr>
            </w:pPr>
            <w:r>
              <w:rPr>
                <w:color w:val="FF0000"/>
                <w:sz w:val="10"/>
                <w:szCs w:val="10"/>
              </w:rPr>
              <w:t xml:space="preserve">Wickholm et al., 2004 [ref. </w:t>
            </w:r>
            <w:r w:rsidR="00955DB1">
              <w:rPr>
                <w:color w:val="FF0000"/>
                <w:sz w:val="10"/>
                <w:szCs w:val="10"/>
              </w:rPr>
              <w:t>90</w:t>
            </w:r>
            <w:r>
              <w:rPr>
                <w:color w:val="FF0000"/>
                <w:sz w:val="10"/>
                <w:szCs w:val="10"/>
              </w:rPr>
              <w:t>]</w:t>
            </w:r>
          </w:p>
        </w:tc>
        <w:tc>
          <w:tcPr>
            <w:tcW w:w="1843" w:type="dxa"/>
            <w:vAlign w:val="center"/>
          </w:tcPr>
          <w:p w14:paraId="2E8F28E5" w14:textId="71CC3464" w:rsidR="009A02FF" w:rsidRPr="00CB7694" w:rsidRDefault="00CB7694" w:rsidP="009A02FF">
            <w:pPr>
              <w:jc w:val="center"/>
              <w:rPr>
                <w:b/>
                <w:sz w:val="10"/>
                <w:szCs w:val="10"/>
              </w:rPr>
            </w:pPr>
            <w:r w:rsidRPr="00CB7694">
              <w:rPr>
                <w:b/>
                <w:sz w:val="10"/>
                <w:szCs w:val="10"/>
              </w:rPr>
              <w:t>End-point</w:t>
            </w:r>
          </w:p>
        </w:tc>
        <w:tc>
          <w:tcPr>
            <w:tcW w:w="1418" w:type="dxa"/>
            <w:vAlign w:val="center"/>
          </w:tcPr>
          <w:p w14:paraId="4520991B" w14:textId="3D0A9E2C" w:rsidR="00542391" w:rsidRPr="0040458D" w:rsidRDefault="009A02FF" w:rsidP="00077047">
            <w:pPr>
              <w:jc w:val="center"/>
              <w:rPr>
                <w:b/>
                <w:color w:val="000000" w:themeColor="text1"/>
                <w:sz w:val="10"/>
                <w:szCs w:val="10"/>
              </w:rPr>
            </w:pPr>
            <w:r w:rsidRPr="0040458D">
              <w:rPr>
                <w:b/>
                <w:color w:val="000000" w:themeColor="text1"/>
                <w:sz w:val="10"/>
                <w:szCs w:val="10"/>
              </w:rPr>
              <w:t xml:space="preserve">Number of </w:t>
            </w:r>
            <w:r w:rsidR="00542391">
              <w:rPr>
                <w:b/>
                <w:color w:val="000000" w:themeColor="text1"/>
                <w:sz w:val="10"/>
                <w:szCs w:val="10"/>
              </w:rPr>
              <w:t>cases</w:t>
            </w:r>
          </w:p>
        </w:tc>
        <w:tc>
          <w:tcPr>
            <w:tcW w:w="3543" w:type="dxa"/>
            <w:vAlign w:val="center"/>
          </w:tcPr>
          <w:p w14:paraId="0E9E7854" w14:textId="6FAD2552" w:rsidR="009A02FF" w:rsidRPr="00542391" w:rsidRDefault="00CB7694" w:rsidP="009A02FF">
            <w:pPr>
              <w:jc w:val="center"/>
              <w:rPr>
                <w:b/>
                <w:color w:val="000000" w:themeColor="text1"/>
                <w:sz w:val="10"/>
                <w:szCs w:val="10"/>
              </w:rPr>
            </w:pPr>
            <w:r w:rsidRPr="00542391">
              <w:rPr>
                <w:b/>
                <w:color w:val="000000" w:themeColor="text1"/>
                <w:sz w:val="10"/>
                <w:szCs w:val="10"/>
              </w:rPr>
              <w:t>Odds Ratio</w:t>
            </w:r>
            <w:r w:rsidR="00542391" w:rsidRPr="00542391">
              <w:rPr>
                <w:b/>
                <w:color w:val="000000" w:themeColor="text1"/>
                <w:sz w:val="10"/>
                <w:szCs w:val="10"/>
              </w:rPr>
              <w:t xml:space="preserve"> (adjusted for age, gender, education, smoking and plaque)</w:t>
            </w:r>
          </w:p>
        </w:tc>
        <w:tc>
          <w:tcPr>
            <w:tcW w:w="1991" w:type="dxa"/>
            <w:vAlign w:val="center"/>
          </w:tcPr>
          <w:p w14:paraId="707AE7FC" w14:textId="29020FC7" w:rsidR="009A02FF" w:rsidRPr="00C41D84" w:rsidRDefault="009A02FF" w:rsidP="009A02FF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40458D">
              <w:rPr>
                <w:b/>
                <w:color w:val="000000" w:themeColor="text1"/>
                <w:sz w:val="10"/>
                <w:szCs w:val="10"/>
              </w:rPr>
              <w:t>95% Confidence Interval</w:t>
            </w:r>
          </w:p>
        </w:tc>
        <w:tc>
          <w:tcPr>
            <w:tcW w:w="2325" w:type="dxa"/>
          </w:tcPr>
          <w:p w14:paraId="4F241697" w14:textId="77777777" w:rsidR="009A02FF" w:rsidRPr="0006771D" w:rsidRDefault="009A02FF" w:rsidP="009A02FF">
            <w:pPr>
              <w:jc w:val="center"/>
              <w:rPr>
                <w:b/>
                <w:sz w:val="10"/>
                <w:szCs w:val="10"/>
              </w:rPr>
            </w:pPr>
            <w:r w:rsidRPr="0006771D">
              <w:rPr>
                <w:b/>
                <w:sz w:val="10"/>
                <w:szCs w:val="10"/>
              </w:rPr>
              <w:t>Scoring assessment of quality of the study</w:t>
            </w:r>
          </w:p>
          <w:p w14:paraId="3622949A" w14:textId="36837BC4" w:rsidR="009A02FF" w:rsidRPr="0006771D" w:rsidRDefault="009A02FF" w:rsidP="009A02FF">
            <w:pPr>
              <w:jc w:val="center"/>
              <w:rPr>
                <w:b/>
                <w:sz w:val="10"/>
                <w:szCs w:val="10"/>
              </w:rPr>
            </w:pPr>
            <w:r w:rsidRPr="0006771D">
              <w:rPr>
                <w:b/>
                <w:sz w:val="10"/>
                <w:szCs w:val="10"/>
              </w:rPr>
              <w:t>(based on assessment using the Klimisch Score</w:t>
            </w:r>
            <w:r>
              <w:rPr>
                <w:b/>
                <w:sz w:val="10"/>
                <w:szCs w:val="10"/>
              </w:rPr>
              <w:t>)</w:t>
            </w:r>
          </w:p>
        </w:tc>
      </w:tr>
      <w:tr w:rsidR="009A02FF" w14:paraId="0BCD2779" w14:textId="77777777" w:rsidTr="00077047">
        <w:tc>
          <w:tcPr>
            <w:tcW w:w="2830" w:type="dxa"/>
            <w:vMerge/>
            <w:vAlign w:val="center"/>
          </w:tcPr>
          <w:p w14:paraId="3D5AE586" w14:textId="77777777" w:rsidR="009A02FF" w:rsidRDefault="009A02FF" w:rsidP="009A02FF">
            <w:pPr>
              <w:jc w:val="center"/>
              <w:rPr>
                <w:color w:val="FF0000"/>
                <w:sz w:val="10"/>
                <w:szCs w:val="10"/>
              </w:rPr>
            </w:pPr>
          </w:p>
        </w:tc>
        <w:tc>
          <w:tcPr>
            <w:tcW w:w="1843" w:type="dxa"/>
            <w:vAlign w:val="center"/>
          </w:tcPr>
          <w:p w14:paraId="6631BB56" w14:textId="77777777" w:rsidR="009A02FF" w:rsidRDefault="00CB7694" w:rsidP="009A02FF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Periodontal Disease</w:t>
            </w:r>
          </w:p>
          <w:p w14:paraId="6324225D" w14:textId="30AF070E" w:rsidR="00CB7694" w:rsidRDefault="00CB7694" w:rsidP="00542391">
            <w:pPr>
              <w:jc w:val="both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(</w:t>
            </w:r>
            <w:r w:rsidR="00542391">
              <w:rPr>
                <w:sz w:val="10"/>
                <w:szCs w:val="10"/>
              </w:rPr>
              <w:t xml:space="preserve">defined as </w:t>
            </w:r>
            <w:r>
              <w:rPr>
                <w:sz w:val="10"/>
                <w:szCs w:val="10"/>
              </w:rPr>
              <w:t>≥3 teeth with pocket depth ≥5mm)</w:t>
            </w:r>
          </w:p>
        </w:tc>
        <w:tc>
          <w:tcPr>
            <w:tcW w:w="1418" w:type="dxa"/>
            <w:vAlign w:val="center"/>
          </w:tcPr>
          <w:p w14:paraId="747B97E5" w14:textId="77777777" w:rsidR="009A02FF" w:rsidRPr="00542391" w:rsidRDefault="00542391" w:rsidP="0007704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542391">
              <w:rPr>
                <w:color w:val="000000" w:themeColor="text1"/>
                <w:sz w:val="10"/>
                <w:szCs w:val="10"/>
              </w:rPr>
              <w:t>No snus use, n=1.521</w:t>
            </w:r>
          </w:p>
          <w:p w14:paraId="6ABA64D1" w14:textId="77777777" w:rsidR="00542391" w:rsidRPr="00542391" w:rsidRDefault="00542391" w:rsidP="0007704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542391">
              <w:rPr>
                <w:color w:val="000000" w:themeColor="text1"/>
                <w:sz w:val="10"/>
                <w:szCs w:val="10"/>
              </w:rPr>
              <w:t>Former snus use, n=31</w:t>
            </w:r>
          </w:p>
          <w:p w14:paraId="7C473E12" w14:textId="4A479DC0" w:rsidR="00542391" w:rsidRPr="0040458D" w:rsidRDefault="00542391" w:rsidP="00077047">
            <w:pPr>
              <w:jc w:val="center"/>
              <w:rPr>
                <w:b/>
                <w:color w:val="000000" w:themeColor="text1"/>
                <w:sz w:val="10"/>
                <w:szCs w:val="10"/>
              </w:rPr>
            </w:pPr>
            <w:r w:rsidRPr="00542391">
              <w:rPr>
                <w:color w:val="000000" w:themeColor="text1"/>
                <w:sz w:val="10"/>
                <w:szCs w:val="10"/>
              </w:rPr>
              <w:t>Current snus use, n=122</w:t>
            </w:r>
          </w:p>
        </w:tc>
        <w:tc>
          <w:tcPr>
            <w:tcW w:w="3543" w:type="dxa"/>
          </w:tcPr>
          <w:p w14:paraId="04E49421" w14:textId="77777777" w:rsidR="009A02FF" w:rsidRDefault="00542391" w:rsidP="009A02FF">
            <w:pPr>
              <w:jc w:val="center"/>
              <w:rPr>
                <w:color w:val="000000" w:themeColor="text1"/>
                <w:sz w:val="10"/>
                <w:szCs w:val="10"/>
              </w:rPr>
            </w:pPr>
            <w:r>
              <w:rPr>
                <w:color w:val="000000" w:themeColor="text1"/>
                <w:sz w:val="10"/>
                <w:szCs w:val="10"/>
              </w:rPr>
              <w:t>REFERENCE</w:t>
            </w:r>
          </w:p>
          <w:p w14:paraId="48FEEA62" w14:textId="77777777" w:rsidR="00542391" w:rsidRDefault="00542391" w:rsidP="009A02FF">
            <w:pPr>
              <w:jc w:val="center"/>
              <w:rPr>
                <w:color w:val="000000" w:themeColor="text1"/>
                <w:sz w:val="10"/>
                <w:szCs w:val="10"/>
              </w:rPr>
            </w:pPr>
            <w:r>
              <w:rPr>
                <w:color w:val="000000" w:themeColor="text1"/>
                <w:sz w:val="10"/>
                <w:szCs w:val="10"/>
              </w:rPr>
              <w:t>2.55</w:t>
            </w:r>
          </w:p>
          <w:p w14:paraId="54253525" w14:textId="1CD28948" w:rsidR="00542391" w:rsidRPr="00C41D84" w:rsidRDefault="00542391" w:rsidP="009A02FF">
            <w:pPr>
              <w:jc w:val="center"/>
              <w:rPr>
                <w:color w:val="000000" w:themeColor="text1"/>
                <w:sz w:val="10"/>
                <w:szCs w:val="10"/>
              </w:rPr>
            </w:pPr>
            <w:r>
              <w:rPr>
                <w:color w:val="000000" w:themeColor="text1"/>
                <w:sz w:val="10"/>
                <w:szCs w:val="10"/>
              </w:rPr>
              <w:t>0.66</w:t>
            </w:r>
          </w:p>
        </w:tc>
        <w:tc>
          <w:tcPr>
            <w:tcW w:w="1991" w:type="dxa"/>
          </w:tcPr>
          <w:p w14:paraId="23BF6194" w14:textId="77777777" w:rsidR="009A02FF" w:rsidRDefault="00542391" w:rsidP="009A02FF">
            <w:pPr>
              <w:jc w:val="center"/>
              <w:rPr>
                <w:color w:val="000000" w:themeColor="text1"/>
                <w:sz w:val="10"/>
                <w:szCs w:val="10"/>
              </w:rPr>
            </w:pPr>
            <w:r>
              <w:rPr>
                <w:color w:val="000000" w:themeColor="text1"/>
                <w:sz w:val="10"/>
                <w:szCs w:val="10"/>
              </w:rPr>
              <w:t>N/A</w:t>
            </w:r>
          </w:p>
          <w:p w14:paraId="3C6FBFF8" w14:textId="77777777" w:rsidR="00542391" w:rsidRDefault="00542391" w:rsidP="009A02FF">
            <w:pPr>
              <w:jc w:val="center"/>
              <w:rPr>
                <w:color w:val="000000" w:themeColor="text1"/>
                <w:sz w:val="10"/>
                <w:szCs w:val="10"/>
              </w:rPr>
            </w:pPr>
            <w:r>
              <w:rPr>
                <w:color w:val="000000" w:themeColor="text1"/>
                <w:sz w:val="10"/>
                <w:szCs w:val="10"/>
              </w:rPr>
              <w:t>0.30-1.32</w:t>
            </w:r>
          </w:p>
          <w:p w14:paraId="3274A8FB" w14:textId="1282EEAE" w:rsidR="00542391" w:rsidRPr="00C41D84" w:rsidRDefault="00542391" w:rsidP="009A02FF">
            <w:pPr>
              <w:jc w:val="center"/>
              <w:rPr>
                <w:color w:val="000000" w:themeColor="text1"/>
                <w:sz w:val="10"/>
                <w:szCs w:val="10"/>
              </w:rPr>
            </w:pPr>
            <w:r>
              <w:rPr>
                <w:color w:val="000000" w:themeColor="text1"/>
                <w:sz w:val="10"/>
                <w:szCs w:val="10"/>
              </w:rPr>
              <w:t>0.98-1.01</w:t>
            </w:r>
          </w:p>
        </w:tc>
        <w:tc>
          <w:tcPr>
            <w:tcW w:w="2325" w:type="dxa"/>
            <w:vAlign w:val="center"/>
          </w:tcPr>
          <w:p w14:paraId="4083652C" w14:textId="45AE7D1A" w:rsidR="009A02FF" w:rsidRPr="00542391" w:rsidRDefault="00542391" w:rsidP="00542391">
            <w:pPr>
              <w:jc w:val="center"/>
              <w:rPr>
                <w:sz w:val="10"/>
                <w:szCs w:val="10"/>
              </w:rPr>
            </w:pPr>
            <w:r w:rsidRPr="00542391">
              <w:rPr>
                <w:sz w:val="10"/>
                <w:szCs w:val="10"/>
              </w:rPr>
              <w:t>1</w:t>
            </w:r>
          </w:p>
        </w:tc>
      </w:tr>
      <w:tr w:rsidR="009A02FF" w14:paraId="4CE1D059" w14:textId="77777777" w:rsidTr="00077047">
        <w:tc>
          <w:tcPr>
            <w:tcW w:w="2830" w:type="dxa"/>
            <w:vMerge w:val="restart"/>
            <w:vAlign w:val="center"/>
          </w:tcPr>
          <w:p w14:paraId="01CF06F3" w14:textId="3A6349E8" w:rsidR="009A02FF" w:rsidRDefault="009A02FF" w:rsidP="009A02FF">
            <w:pPr>
              <w:jc w:val="center"/>
              <w:rPr>
                <w:color w:val="FF0000"/>
                <w:sz w:val="10"/>
                <w:szCs w:val="10"/>
              </w:rPr>
            </w:pPr>
            <w:r>
              <w:rPr>
                <w:color w:val="FF0000"/>
                <w:sz w:val="10"/>
                <w:szCs w:val="10"/>
              </w:rPr>
              <w:t>Rolandsson et al., 2005 [ref.</w:t>
            </w:r>
            <w:r w:rsidR="00955DB1">
              <w:rPr>
                <w:color w:val="FF0000"/>
                <w:sz w:val="10"/>
                <w:szCs w:val="10"/>
              </w:rPr>
              <w:t>91</w:t>
            </w:r>
            <w:r>
              <w:rPr>
                <w:color w:val="FF0000"/>
                <w:sz w:val="10"/>
                <w:szCs w:val="10"/>
              </w:rPr>
              <w:t>]</w:t>
            </w:r>
          </w:p>
        </w:tc>
        <w:tc>
          <w:tcPr>
            <w:tcW w:w="1843" w:type="dxa"/>
            <w:vAlign w:val="center"/>
          </w:tcPr>
          <w:p w14:paraId="7E4A5A96" w14:textId="7B419504" w:rsidR="009A02FF" w:rsidRPr="00E434C4" w:rsidRDefault="0020597E" w:rsidP="009A02FF">
            <w:pPr>
              <w:jc w:val="center"/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End-point</w:t>
            </w:r>
          </w:p>
        </w:tc>
        <w:tc>
          <w:tcPr>
            <w:tcW w:w="1418" w:type="dxa"/>
            <w:vAlign w:val="center"/>
          </w:tcPr>
          <w:p w14:paraId="0582232F" w14:textId="720A4753" w:rsidR="009A02FF" w:rsidRPr="0040458D" w:rsidRDefault="009A02FF" w:rsidP="00077047">
            <w:pPr>
              <w:jc w:val="center"/>
              <w:rPr>
                <w:b/>
                <w:color w:val="000000" w:themeColor="text1"/>
                <w:sz w:val="10"/>
                <w:szCs w:val="10"/>
              </w:rPr>
            </w:pPr>
            <w:r w:rsidRPr="0040458D">
              <w:rPr>
                <w:b/>
                <w:color w:val="000000" w:themeColor="text1"/>
                <w:sz w:val="10"/>
                <w:szCs w:val="10"/>
              </w:rPr>
              <w:t xml:space="preserve">Number of </w:t>
            </w:r>
            <w:r w:rsidR="0020597E">
              <w:rPr>
                <w:b/>
                <w:color w:val="000000" w:themeColor="text1"/>
                <w:sz w:val="10"/>
                <w:szCs w:val="10"/>
              </w:rPr>
              <w:t>subjects</w:t>
            </w:r>
          </w:p>
        </w:tc>
        <w:tc>
          <w:tcPr>
            <w:tcW w:w="3543" w:type="dxa"/>
            <w:vAlign w:val="center"/>
          </w:tcPr>
          <w:p w14:paraId="6C8C81D6" w14:textId="218483E8" w:rsidR="009A02FF" w:rsidRPr="00C41D84" w:rsidRDefault="007D6AC7" w:rsidP="009A02FF">
            <w:pPr>
              <w:jc w:val="center"/>
              <w:rPr>
                <w:color w:val="000000" w:themeColor="text1"/>
                <w:sz w:val="10"/>
                <w:szCs w:val="10"/>
              </w:rPr>
            </w:pPr>
            <w:r>
              <w:rPr>
                <w:b/>
                <w:color w:val="000000" w:themeColor="text1"/>
                <w:sz w:val="10"/>
                <w:szCs w:val="10"/>
              </w:rPr>
              <w:t>Clinical Findings</w:t>
            </w:r>
          </w:p>
        </w:tc>
        <w:tc>
          <w:tcPr>
            <w:tcW w:w="1991" w:type="dxa"/>
            <w:vAlign w:val="center"/>
          </w:tcPr>
          <w:p w14:paraId="655DDEAF" w14:textId="17A668ED" w:rsidR="009A02FF" w:rsidRPr="00C41D84" w:rsidRDefault="009A02FF" w:rsidP="009A02FF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40458D">
              <w:rPr>
                <w:b/>
                <w:color w:val="000000" w:themeColor="text1"/>
                <w:sz w:val="10"/>
                <w:szCs w:val="10"/>
              </w:rPr>
              <w:t>95% Confidence Interval</w:t>
            </w:r>
          </w:p>
        </w:tc>
        <w:tc>
          <w:tcPr>
            <w:tcW w:w="2325" w:type="dxa"/>
          </w:tcPr>
          <w:p w14:paraId="66140005" w14:textId="77777777" w:rsidR="009A02FF" w:rsidRPr="0006771D" w:rsidRDefault="009A02FF" w:rsidP="009A02FF">
            <w:pPr>
              <w:jc w:val="center"/>
              <w:rPr>
                <w:b/>
                <w:sz w:val="10"/>
                <w:szCs w:val="10"/>
              </w:rPr>
            </w:pPr>
            <w:r w:rsidRPr="0006771D">
              <w:rPr>
                <w:b/>
                <w:sz w:val="10"/>
                <w:szCs w:val="10"/>
              </w:rPr>
              <w:t>Scoring assessment of quality of the study</w:t>
            </w:r>
          </w:p>
          <w:p w14:paraId="5D34C7CC" w14:textId="2851BB4D" w:rsidR="009A02FF" w:rsidRPr="0006771D" w:rsidRDefault="009A02FF" w:rsidP="009A02FF">
            <w:pPr>
              <w:jc w:val="center"/>
              <w:rPr>
                <w:b/>
                <w:sz w:val="10"/>
                <w:szCs w:val="10"/>
              </w:rPr>
            </w:pPr>
            <w:r w:rsidRPr="0006771D">
              <w:rPr>
                <w:b/>
                <w:sz w:val="10"/>
                <w:szCs w:val="10"/>
              </w:rPr>
              <w:t>(based on assessment using the Klimisch Score</w:t>
            </w:r>
            <w:r>
              <w:rPr>
                <w:b/>
                <w:sz w:val="10"/>
                <w:szCs w:val="10"/>
              </w:rPr>
              <w:t>)</w:t>
            </w:r>
          </w:p>
        </w:tc>
      </w:tr>
      <w:tr w:rsidR="009A02FF" w14:paraId="1A2B2946" w14:textId="77777777" w:rsidTr="00077047">
        <w:tc>
          <w:tcPr>
            <w:tcW w:w="2830" w:type="dxa"/>
            <w:vMerge/>
            <w:vAlign w:val="center"/>
          </w:tcPr>
          <w:p w14:paraId="0E02CE1C" w14:textId="77777777" w:rsidR="009A02FF" w:rsidRDefault="009A02FF" w:rsidP="009A02FF">
            <w:pPr>
              <w:jc w:val="center"/>
              <w:rPr>
                <w:color w:val="FF0000"/>
                <w:sz w:val="10"/>
                <w:szCs w:val="10"/>
              </w:rPr>
            </w:pPr>
          </w:p>
        </w:tc>
        <w:tc>
          <w:tcPr>
            <w:tcW w:w="1843" w:type="dxa"/>
            <w:vAlign w:val="center"/>
          </w:tcPr>
          <w:p w14:paraId="1CA9D19B" w14:textId="01BF5A86" w:rsidR="009A02FF" w:rsidRDefault="007D6AC7" w:rsidP="007D6AC7">
            <w:pPr>
              <w:jc w:val="both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Clinical assessment of snus associated lesions and general dental health including gingival recession</w:t>
            </w:r>
          </w:p>
        </w:tc>
        <w:tc>
          <w:tcPr>
            <w:tcW w:w="1418" w:type="dxa"/>
            <w:vAlign w:val="center"/>
          </w:tcPr>
          <w:p w14:paraId="39DADB16" w14:textId="4BA76577" w:rsidR="009A02FF" w:rsidRPr="007D6AC7" w:rsidRDefault="007D6AC7" w:rsidP="0007704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7D6AC7">
              <w:rPr>
                <w:color w:val="000000" w:themeColor="text1"/>
                <w:sz w:val="10"/>
                <w:szCs w:val="10"/>
              </w:rPr>
              <w:t>All subjects (n=80); Adolescent males aged 16 to 25 years. 40 snus users, 40 non-users.</w:t>
            </w:r>
          </w:p>
        </w:tc>
        <w:tc>
          <w:tcPr>
            <w:tcW w:w="3543" w:type="dxa"/>
          </w:tcPr>
          <w:p w14:paraId="1C13A22D" w14:textId="162C2634" w:rsidR="009A02FF" w:rsidRPr="007D6AC7" w:rsidRDefault="007D6AC7" w:rsidP="007D6AC7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0"/>
                <w:szCs w:val="10"/>
                <w:lang w:val="en-US"/>
              </w:rPr>
            </w:pPr>
            <w:r w:rsidRPr="007D6AC7">
              <w:rPr>
                <w:rFonts w:cs="Times New Roman"/>
                <w:sz w:val="10"/>
                <w:szCs w:val="10"/>
                <w:lang w:val="en-US"/>
              </w:rPr>
              <w:t>Of</w:t>
            </w:r>
            <w:r>
              <w:rPr>
                <w:rFonts w:cs="Times New Roman"/>
                <w:sz w:val="10"/>
                <w:szCs w:val="10"/>
                <w:lang w:val="en-US"/>
              </w:rPr>
              <w:t xml:space="preserve"> the</w:t>
            </w:r>
            <w:r w:rsidRPr="007D6AC7">
              <w:rPr>
                <w:rFonts w:cs="Times New Roman"/>
                <w:sz w:val="10"/>
                <w:szCs w:val="10"/>
                <w:lang w:val="en-US"/>
              </w:rPr>
              <w:t xml:space="preserve"> </w:t>
            </w:r>
            <w:r>
              <w:rPr>
                <w:rFonts w:cs="Times New Roman"/>
                <w:sz w:val="10"/>
                <w:szCs w:val="10"/>
                <w:lang w:val="en-US"/>
              </w:rPr>
              <w:t>forty</w:t>
            </w:r>
            <w:r w:rsidRPr="007D6AC7">
              <w:rPr>
                <w:rFonts w:cs="Times New Roman"/>
                <w:sz w:val="10"/>
                <w:szCs w:val="10"/>
                <w:lang w:val="en-US"/>
              </w:rPr>
              <w:t xml:space="preserve"> snu</w:t>
            </w:r>
            <w:r>
              <w:rPr>
                <w:rFonts w:cs="Times New Roman"/>
                <w:sz w:val="10"/>
                <w:szCs w:val="10"/>
                <w:lang w:val="en-US"/>
              </w:rPr>
              <w:t>s</w:t>
            </w:r>
            <w:r w:rsidRPr="007D6AC7">
              <w:rPr>
                <w:rFonts w:cs="Times New Roman"/>
                <w:sz w:val="10"/>
                <w:szCs w:val="10"/>
                <w:lang w:val="en-US"/>
              </w:rPr>
              <w:t xml:space="preserve"> users, 35 showed snu</w:t>
            </w:r>
            <w:r>
              <w:rPr>
                <w:rFonts w:cs="Times New Roman"/>
                <w:sz w:val="10"/>
                <w:szCs w:val="10"/>
                <w:lang w:val="en-US"/>
              </w:rPr>
              <w:t>s</w:t>
            </w:r>
            <w:r w:rsidRPr="007D6AC7">
              <w:rPr>
                <w:rFonts w:cs="Times New Roman"/>
                <w:sz w:val="10"/>
                <w:szCs w:val="10"/>
                <w:lang w:val="en-US"/>
              </w:rPr>
              <w:t xml:space="preserve"> i</w:t>
            </w:r>
            <w:r>
              <w:rPr>
                <w:rFonts w:cs="Times New Roman"/>
                <w:sz w:val="10"/>
                <w:szCs w:val="10"/>
                <w:lang w:val="en-US"/>
              </w:rPr>
              <w:t>nduc</w:t>
            </w:r>
            <w:r w:rsidRPr="007D6AC7">
              <w:rPr>
                <w:rFonts w:cs="Times New Roman"/>
                <w:sz w:val="10"/>
                <w:szCs w:val="10"/>
                <w:lang w:val="en-US"/>
              </w:rPr>
              <w:t>ed lesions. The clinical diagnosis of snu</w:t>
            </w:r>
            <w:r>
              <w:rPr>
                <w:rFonts w:cs="Times New Roman"/>
                <w:sz w:val="10"/>
                <w:szCs w:val="10"/>
                <w:lang w:val="en-US"/>
              </w:rPr>
              <w:t>s</w:t>
            </w:r>
            <w:r w:rsidRPr="007D6AC7">
              <w:rPr>
                <w:rFonts w:cs="Times New Roman"/>
                <w:sz w:val="10"/>
                <w:szCs w:val="10"/>
                <w:lang w:val="en-US"/>
              </w:rPr>
              <w:t xml:space="preserve"> users’</w:t>
            </w:r>
            <w:r>
              <w:rPr>
                <w:rFonts w:cs="Times New Roman"/>
                <w:sz w:val="10"/>
                <w:szCs w:val="10"/>
                <w:lang w:val="en-US"/>
              </w:rPr>
              <w:t xml:space="preserve"> </w:t>
            </w:r>
            <w:r w:rsidRPr="007D6AC7">
              <w:rPr>
                <w:rFonts w:cs="Times New Roman"/>
                <w:sz w:val="10"/>
                <w:szCs w:val="10"/>
                <w:lang w:val="en-US"/>
              </w:rPr>
              <w:t>mucosa showed snu</w:t>
            </w:r>
            <w:r>
              <w:rPr>
                <w:rFonts w:cs="Times New Roman"/>
                <w:sz w:val="10"/>
                <w:szCs w:val="10"/>
                <w:lang w:val="en-US"/>
              </w:rPr>
              <w:t xml:space="preserve">s </w:t>
            </w:r>
            <w:r w:rsidRPr="007D6AC7">
              <w:rPr>
                <w:rFonts w:cs="Times New Roman"/>
                <w:sz w:val="10"/>
                <w:szCs w:val="10"/>
                <w:lang w:val="en-US"/>
              </w:rPr>
              <w:t>lesions of different severity clinically classified as degree 1, 2 and 3. When</w:t>
            </w:r>
            <w:r>
              <w:rPr>
                <w:rFonts w:cs="Times New Roman"/>
                <w:sz w:val="10"/>
                <w:szCs w:val="10"/>
                <w:lang w:val="en-US"/>
              </w:rPr>
              <w:t xml:space="preserve"> analysing</w:t>
            </w:r>
            <w:r w:rsidRPr="007D6AC7">
              <w:rPr>
                <w:rFonts w:cs="Times New Roman"/>
                <w:sz w:val="10"/>
                <w:szCs w:val="10"/>
                <w:lang w:val="en-US"/>
              </w:rPr>
              <w:t xml:space="preserve"> snu</w:t>
            </w:r>
            <w:r>
              <w:rPr>
                <w:rFonts w:cs="Times New Roman"/>
                <w:sz w:val="10"/>
                <w:szCs w:val="10"/>
                <w:lang w:val="en-US"/>
              </w:rPr>
              <w:t>s</w:t>
            </w:r>
            <w:r w:rsidRPr="007D6AC7">
              <w:rPr>
                <w:rFonts w:cs="Times New Roman"/>
                <w:sz w:val="10"/>
                <w:szCs w:val="10"/>
                <w:lang w:val="en-US"/>
              </w:rPr>
              <w:t xml:space="preserve"> lesions of degree</w:t>
            </w:r>
            <w:r>
              <w:rPr>
                <w:rFonts w:cs="Times New Roman"/>
                <w:sz w:val="10"/>
                <w:szCs w:val="10"/>
                <w:lang w:val="en-US"/>
              </w:rPr>
              <w:t>s</w:t>
            </w:r>
            <w:r w:rsidRPr="007D6AC7">
              <w:rPr>
                <w:rFonts w:cs="Times New Roman"/>
                <w:sz w:val="10"/>
                <w:szCs w:val="10"/>
                <w:lang w:val="en-US"/>
              </w:rPr>
              <w:t xml:space="preserve"> 2 and 3, hours of daily snu</w:t>
            </w:r>
            <w:r>
              <w:rPr>
                <w:rFonts w:cs="Times New Roman"/>
                <w:sz w:val="10"/>
                <w:szCs w:val="10"/>
                <w:lang w:val="en-US"/>
              </w:rPr>
              <w:t>s</w:t>
            </w:r>
            <w:r w:rsidRPr="007D6AC7">
              <w:rPr>
                <w:rFonts w:cs="Times New Roman"/>
                <w:sz w:val="10"/>
                <w:szCs w:val="10"/>
                <w:lang w:val="en-US"/>
              </w:rPr>
              <w:t xml:space="preserve"> use and package form (portion-bag snu</w:t>
            </w:r>
            <w:r>
              <w:rPr>
                <w:rFonts w:cs="Times New Roman"/>
                <w:sz w:val="10"/>
                <w:szCs w:val="10"/>
                <w:lang w:val="en-US"/>
              </w:rPr>
              <w:t xml:space="preserve">s </w:t>
            </w:r>
            <w:r w:rsidRPr="007D6AC7">
              <w:rPr>
                <w:rFonts w:cs="Times New Roman"/>
                <w:sz w:val="10"/>
                <w:szCs w:val="10"/>
                <w:lang w:val="en-US"/>
              </w:rPr>
              <w:t>versus loose snu</w:t>
            </w:r>
            <w:r>
              <w:rPr>
                <w:rFonts w:cs="Times New Roman"/>
                <w:sz w:val="10"/>
                <w:szCs w:val="10"/>
                <w:lang w:val="en-US"/>
              </w:rPr>
              <w:t>s</w:t>
            </w:r>
            <w:r w:rsidRPr="007D6AC7">
              <w:rPr>
                <w:rFonts w:cs="Times New Roman"/>
                <w:sz w:val="10"/>
                <w:szCs w:val="10"/>
                <w:lang w:val="en-US"/>
              </w:rPr>
              <w:t>) was statistically significant. There were no statistical differences between snu</w:t>
            </w:r>
            <w:r>
              <w:rPr>
                <w:rFonts w:cs="Times New Roman"/>
                <w:sz w:val="10"/>
                <w:szCs w:val="10"/>
                <w:lang w:val="en-US"/>
              </w:rPr>
              <w:t xml:space="preserve">s </w:t>
            </w:r>
            <w:r w:rsidRPr="007D6AC7">
              <w:rPr>
                <w:rFonts w:cs="Times New Roman"/>
                <w:sz w:val="10"/>
                <w:szCs w:val="10"/>
                <w:lang w:val="en-US"/>
              </w:rPr>
              <w:t>users and non-users regarding restored tooth surfaces, presence of plaque, gingival inflammation and</w:t>
            </w:r>
            <w:r>
              <w:rPr>
                <w:rFonts w:cs="Times New Roman"/>
                <w:sz w:val="10"/>
                <w:szCs w:val="10"/>
                <w:lang w:val="en-US"/>
              </w:rPr>
              <w:t xml:space="preserve"> </w:t>
            </w:r>
            <w:r w:rsidRPr="007D6AC7">
              <w:rPr>
                <w:rFonts w:cs="Times New Roman"/>
                <w:sz w:val="10"/>
                <w:szCs w:val="10"/>
                <w:lang w:val="en-US"/>
              </w:rPr>
              <w:t>probing pocket depth. Seventeen percent of the cases showed loss of periodontal attachment as gingival</w:t>
            </w:r>
            <w:r>
              <w:rPr>
                <w:rFonts w:cs="Times New Roman"/>
                <w:sz w:val="10"/>
                <w:szCs w:val="10"/>
                <w:lang w:val="en-US"/>
              </w:rPr>
              <w:t xml:space="preserve"> </w:t>
            </w:r>
            <w:r w:rsidRPr="007D6AC7">
              <w:rPr>
                <w:rFonts w:cs="Times New Roman"/>
                <w:sz w:val="10"/>
                <w:szCs w:val="10"/>
                <w:lang w:val="en-US"/>
              </w:rPr>
              <w:t>recessions.</w:t>
            </w:r>
          </w:p>
        </w:tc>
        <w:tc>
          <w:tcPr>
            <w:tcW w:w="1991" w:type="dxa"/>
            <w:vAlign w:val="center"/>
          </w:tcPr>
          <w:p w14:paraId="38416141" w14:textId="55951F53" w:rsidR="009A02FF" w:rsidRPr="007D6AC7" w:rsidRDefault="007D6AC7" w:rsidP="007D6AC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7D6AC7">
              <w:rPr>
                <w:color w:val="000000" w:themeColor="text1"/>
                <w:sz w:val="10"/>
                <w:szCs w:val="10"/>
              </w:rPr>
              <w:t>N/A</w:t>
            </w:r>
          </w:p>
        </w:tc>
        <w:tc>
          <w:tcPr>
            <w:tcW w:w="2325" w:type="dxa"/>
            <w:vAlign w:val="center"/>
          </w:tcPr>
          <w:p w14:paraId="3F3CCA56" w14:textId="54DF9D53" w:rsidR="009A02FF" w:rsidRPr="007D6AC7" w:rsidRDefault="007D6AC7" w:rsidP="007D6AC7">
            <w:pPr>
              <w:jc w:val="center"/>
              <w:rPr>
                <w:sz w:val="10"/>
                <w:szCs w:val="10"/>
              </w:rPr>
            </w:pPr>
            <w:r w:rsidRPr="007D6AC7">
              <w:rPr>
                <w:sz w:val="10"/>
                <w:szCs w:val="10"/>
              </w:rPr>
              <w:t>1</w:t>
            </w:r>
          </w:p>
        </w:tc>
      </w:tr>
      <w:tr w:rsidR="009A02FF" w14:paraId="0985510A" w14:textId="77777777" w:rsidTr="00077047">
        <w:tc>
          <w:tcPr>
            <w:tcW w:w="2830" w:type="dxa"/>
            <w:vMerge w:val="restart"/>
            <w:vAlign w:val="center"/>
          </w:tcPr>
          <w:p w14:paraId="45A7AD93" w14:textId="35E3D62D" w:rsidR="009A02FF" w:rsidRDefault="009A02FF" w:rsidP="009A02FF">
            <w:pPr>
              <w:jc w:val="center"/>
              <w:rPr>
                <w:color w:val="FF0000"/>
                <w:sz w:val="10"/>
                <w:szCs w:val="10"/>
              </w:rPr>
            </w:pPr>
            <w:r>
              <w:rPr>
                <w:color w:val="FF0000"/>
                <w:sz w:val="10"/>
                <w:szCs w:val="10"/>
              </w:rPr>
              <w:t xml:space="preserve">Bergström et al., 2006 [ref. </w:t>
            </w:r>
            <w:r w:rsidR="00955DB1">
              <w:rPr>
                <w:color w:val="FF0000"/>
                <w:sz w:val="10"/>
                <w:szCs w:val="10"/>
              </w:rPr>
              <w:t>92</w:t>
            </w:r>
            <w:r>
              <w:rPr>
                <w:color w:val="FF0000"/>
                <w:sz w:val="10"/>
                <w:szCs w:val="10"/>
              </w:rPr>
              <w:t>]</w:t>
            </w:r>
          </w:p>
        </w:tc>
        <w:tc>
          <w:tcPr>
            <w:tcW w:w="1843" w:type="dxa"/>
            <w:vAlign w:val="center"/>
          </w:tcPr>
          <w:p w14:paraId="4CBABCF0" w14:textId="6B42C9DF" w:rsidR="009A02FF" w:rsidRDefault="009A02FF" w:rsidP="009A02FF">
            <w:pPr>
              <w:jc w:val="center"/>
              <w:rPr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End-point</w:t>
            </w:r>
          </w:p>
        </w:tc>
        <w:tc>
          <w:tcPr>
            <w:tcW w:w="1418" w:type="dxa"/>
            <w:vAlign w:val="center"/>
          </w:tcPr>
          <w:p w14:paraId="32EF298A" w14:textId="27C107B3" w:rsidR="009A02FF" w:rsidRPr="0040458D" w:rsidRDefault="009A02FF" w:rsidP="00077047">
            <w:pPr>
              <w:jc w:val="center"/>
              <w:rPr>
                <w:b/>
                <w:color w:val="000000" w:themeColor="text1"/>
                <w:sz w:val="10"/>
                <w:szCs w:val="10"/>
              </w:rPr>
            </w:pPr>
            <w:r w:rsidRPr="0040458D">
              <w:rPr>
                <w:b/>
                <w:color w:val="000000" w:themeColor="text1"/>
                <w:sz w:val="10"/>
                <w:szCs w:val="10"/>
              </w:rPr>
              <w:t xml:space="preserve">Number of </w:t>
            </w:r>
            <w:r>
              <w:rPr>
                <w:b/>
                <w:color w:val="000000" w:themeColor="text1"/>
                <w:sz w:val="10"/>
                <w:szCs w:val="10"/>
              </w:rPr>
              <w:t>subjects</w:t>
            </w:r>
          </w:p>
        </w:tc>
        <w:tc>
          <w:tcPr>
            <w:tcW w:w="3543" w:type="dxa"/>
            <w:vAlign w:val="center"/>
          </w:tcPr>
          <w:p w14:paraId="1C19719F" w14:textId="565AD6D1" w:rsidR="009A02FF" w:rsidRPr="00CA181E" w:rsidRDefault="009A02FF" w:rsidP="009A02FF">
            <w:pPr>
              <w:jc w:val="center"/>
              <w:rPr>
                <w:b/>
                <w:color w:val="000000" w:themeColor="text1"/>
                <w:sz w:val="10"/>
                <w:szCs w:val="10"/>
              </w:rPr>
            </w:pPr>
            <w:r w:rsidRPr="00CA181E">
              <w:rPr>
                <w:b/>
                <w:color w:val="000000" w:themeColor="text1"/>
                <w:sz w:val="10"/>
                <w:szCs w:val="10"/>
              </w:rPr>
              <w:t>Clinical Findings</w:t>
            </w:r>
          </w:p>
        </w:tc>
        <w:tc>
          <w:tcPr>
            <w:tcW w:w="1991" w:type="dxa"/>
            <w:vAlign w:val="center"/>
          </w:tcPr>
          <w:p w14:paraId="1728961D" w14:textId="2ADCF2CB" w:rsidR="009A02FF" w:rsidRPr="00C41D84" w:rsidRDefault="009A02FF" w:rsidP="009A02FF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40458D">
              <w:rPr>
                <w:b/>
                <w:color w:val="000000" w:themeColor="text1"/>
                <w:sz w:val="10"/>
                <w:szCs w:val="10"/>
              </w:rPr>
              <w:t>95% Confidence Interval</w:t>
            </w:r>
          </w:p>
        </w:tc>
        <w:tc>
          <w:tcPr>
            <w:tcW w:w="2325" w:type="dxa"/>
          </w:tcPr>
          <w:p w14:paraId="795B1283" w14:textId="77777777" w:rsidR="009A02FF" w:rsidRPr="0006771D" w:rsidRDefault="009A02FF" w:rsidP="009A02FF">
            <w:pPr>
              <w:jc w:val="center"/>
              <w:rPr>
                <w:b/>
                <w:sz w:val="10"/>
                <w:szCs w:val="10"/>
              </w:rPr>
            </w:pPr>
            <w:r w:rsidRPr="0006771D">
              <w:rPr>
                <w:b/>
                <w:sz w:val="10"/>
                <w:szCs w:val="10"/>
              </w:rPr>
              <w:t>Scoring assessment of quality of the study</w:t>
            </w:r>
          </w:p>
          <w:p w14:paraId="0B13969A" w14:textId="35E21158" w:rsidR="009A02FF" w:rsidRPr="0006771D" w:rsidRDefault="009A02FF" w:rsidP="009A02FF">
            <w:pPr>
              <w:jc w:val="center"/>
              <w:rPr>
                <w:b/>
                <w:sz w:val="10"/>
                <w:szCs w:val="10"/>
              </w:rPr>
            </w:pPr>
            <w:r w:rsidRPr="0006771D">
              <w:rPr>
                <w:b/>
                <w:sz w:val="10"/>
                <w:szCs w:val="10"/>
              </w:rPr>
              <w:t>(based on assessment using the Klimisch Score</w:t>
            </w:r>
            <w:r>
              <w:rPr>
                <w:b/>
                <w:sz w:val="10"/>
                <w:szCs w:val="10"/>
              </w:rPr>
              <w:t>)</w:t>
            </w:r>
          </w:p>
        </w:tc>
      </w:tr>
      <w:tr w:rsidR="009A02FF" w14:paraId="1355BA48" w14:textId="77777777" w:rsidTr="00077047">
        <w:tc>
          <w:tcPr>
            <w:tcW w:w="2830" w:type="dxa"/>
            <w:vMerge/>
            <w:vAlign w:val="center"/>
          </w:tcPr>
          <w:p w14:paraId="5A829DDC" w14:textId="77777777" w:rsidR="009A02FF" w:rsidRDefault="009A02FF" w:rsidP="009A02FF">
            <w:pPr>
              <w:jc w:val="center"/>
              <w:rPr>
                <w:color w:val="FF0000"/>
                <w:sz w:val="10"/>
                <w:szCs w:val="10"/>
              </w:rPr>
            </w:pPr>
          </w:p>
        </w:tc>
        <w:tc>
          <w:tcPr>
            <w:tcW w:w="1843" w:type="dxa"/>
            <w:vAlign w:val="center"/>
          </w:tcPr>
          <w:p w14:paraId="5FEEE7B9" w14:textId="2BC4BADB" w:rsidR="009A02FF" w:rsidRDefault="009A02FF" w:rsidP="009A02FF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Periodontal bone loss</w:t>
            </w:r>
          </w:p>
        </w:tc>
        <w:tc>
          <w:tcPr>
            <w:tcW w:w="1418" w:type="dxa"/>
            <w:vAlign w:val="center"/>
          </w:tcPr>
          <w:p w14:paraId="6B3C8623" w14:textId="63178E9F" w:rsidR="009A02FF" w:rsidRPr="004A06A8" w:rsidRDefault="009A02FF" w:rsidP="0007704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4A06A8">
              <w:rPr>
                <w:color w:val="000000" w:themeColor="text1"/>
                <w:sz w:val="10"/>
                <w:szCs w:val="10"/>
              </w:rPr>
              <w:t>All subjects (n=84; current snus users, n=25; former snus users, n=21; never users, n=38; aged 26-54)</w:t>
            </w:r>
          </w:p>
        </w:tc>
        <w:tc>
          <w:tcPr>
            <w:tcW w:w="3543" w:type="dxa"/>
          </w:tcPr>
          <w:p w14:paraId="056ECE39" w14:textId="7BA32C6A" w:rsidR="009A02FF" w:rsidRDefault="009A02FF" w:rsidP="009A02FF">
            <w:pPr>
              <w:jc w:val="both"/>
              <w:rPr>
                <w:color w:val="000000" w:themeColor="text1"/>
                <w:sz w:val="10"/>
                <w:szCs w:val="10"/>
              </w:rPr>
            </w:pPr>
            <w:r>
              <w:rPr>
                <w:color w:val="000000" w:themeColor="text1"/>
                <w:sz w:val="10"/>
                <w:szCs w:val="10"/>
              </w:rPr>
              <w:t>Periodontal bone loss quantified as distance from cement-enamel junction (CEJ) to periodontal bone crest (PBC) at pre-molars and molars in each quadrant of the dentition. [stated as mean and 95% confident interval; Units are mm]</w:t>
            </w:r>
          </w:p>
          <w:p w14:paraId="5AF8B90F" w14:textId="77777777" w:rsidR="009A02FF" w:rsidRDefault="009A02FF" w:rsidP="009A02FF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0BF2D611" w14:textId="193E91E8" w:rsidR="009A02FF" w:rsidRPr="00C41D84" w:rsidRDefault="009A02FF" w:rsidP="009A02FF">
            <w:pPr>
              <w:jc w:val="both"/>
              <w:rPr>
                <w:color w:val="000000" w:themeColor="text1"/>
                <w:sz w:val="10"/>
                <w:szCs w:val="10"/>
              </w:rPr>
            </w:pPr>
            <w:r>
              <w:rPr>
                <w:color w:val="000000" w:themeColor="text1"/>
                <w:sz w:val="10"/>
                <w:szCs w:val="10"/>
              </w:rPr>
              <w:t>Current Snus Users 1.00, 0.87-1.13; Former Snus Users 1.12, 0.97-1.26; Never Users 1.06, 0.95-1.16. Association between snus use and bone height level controlling for age was not statistically significant (p&gt;0.05). There was also no statistically significant difference between light and heavy exposure users controlling for age [light exposure defined as less than fifteen years of use; heavy use defined as more than fifteen years of use].</w:t>
            </w:r>
          </w:p>
        </w:tc>
        <w:tc>
          <w:tcPr>
            <w:tcW w:w="1991" w:type="dxa"/>
            <w:vAlign w:val="center"/>
          </w:tcPr>
          <w:p w14:paraId="7E0B0CA2" w14:textId="5B5C04F1" w:rsidR="009A02FF" w:rsidRPr="00C41D84" w:rsidRDefault="009A02FF" w:rsidP="009A02FF">
            <w:pPr>
              <w:jc w:val="center"/>
              <w:rPr>
                <w:color w:val="000000" w:themeColor="text1"/>
                <w:sz w:val="10"/>
                <w:szCs w:val="10"/>
              </w:rPr>
            </w:pPr>
            <w:r>
              <w:rPr>
                <w:color w:val="000000" w:themeColor="text1"/>
                <w:sz w:val="10"/>
                <w:szCs w:val="10"/>
              </w:rPr>
              <w:t>N/A</w:t>
            </w:r>
          </w:p>
        </w:tc>
        <w:tc>
          <w:tcPr>
            <w:tcW w:w="2325" w:type="dxa"/>
            <w:vAlign w:val="center"/>
          </w:tcPr>
          <w:p w14:paraId="08F0A77A" w14:textId="74368024" w:rsidR="009A02FF" w:rsidRPr="005A7105" w:rsidRDefault="009A02FF" w:rsidP="009A02FF">
            <w:pPr>
              <w:jc w:val="center"/>
              <w:rPr>
                <w:sz w:val="10"/>
                <w:szCs w:val="10"/>
              </w:rPr>
            </w:pPr>
            <w:r w:rsidRPr="005A7105">
              <w:rPr>
                <w:sz w:val="10"/>
                <w:szCs w:val="10"/>
              </w:rPr>
              <w:t>1</w:t>
            </w:r>
          </w:p>
        </w:tc>
      </w:tr>
      <w:tr w:rsidR="009A02FF" w14:paraId="5960A785" w14:textId="77777777" w:rsidTr="00077047">
        <w:tc>
          <w:tcPr>
            <w:tcW w:w="2830" w:type="dxa"/>
            <w:vMerge w:val="restart"/>
            <w:vAlign w:val="center"/>
          </w:tcPr>
          <w:p w14:paraId="2C612FE4" w14:textId="6ABE5997" w:rsidR="009A02FF" w:rsidRDefault="009A02FF" w:rsidP="009A02FF">
            <w:pPr>
              <w:jc w:val="center"/>
              <w:rPr>
                <w:color w:val="FF0000"/>
                <w:sz w:val="10"/>
                <w:szCs w:val="10"/>
              </w:rPr>
            </w:pPr>
            <w:r>
              <w:rPr>
                <w:color w:val="FF0000"/>
                <w:sz w:val="10"/>
                <w:szCs w:val="10"/>
              </w:rPr>
              <w:t xml:space="preserve">Montén et al., 2006 [ref. </w:t>
            </w:r>
            <w:r w:rsidR="00955DB1">
              <w:rPr>
                <w:color w:val="FF0000"/>
                <w:sz w:val="10"/>
                <w:szCs w:val="10"/>
              </w:rPr>
              <w:t>93</w:t>
            </w:r>
            <w:r>
              <w:rPr>
                <w:color w:val="FF0000"/>
                <w:sz w:val="10"/>
                <w:szCs w:val="10"/>
              </w:rPr>
              <w:t>]</w:t>
            </w:r>
          </w:p>
        </w:tc>
        <w:tc>
          <w:tcPr>
            <w:tcW w:w="1843" w:type="dxa"/>
            <w:vAlign w:val="center"/>
          </w:tcPr>
          <w:p w14:paraId="277701F1" w14:textId="46D9B0BF" w:rsidR="009A02FF" w:rsidRDefault="009A02FF" w:rsidP="009A02FF">
            <w:pPr>
              <w:jc w:val="center"/>
              <w:rPr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End-point</w:t>
            </w:r>
          </w:p>
        </w:tc>
        <w:tc>
          <w:tcPr>
            <w:tcW w:w="1418" w:type="dxa"/>
            <w:vAlign w:val="center"/>
          </w:tcPr>
          <w:p w14:paraId="1B92324D" w14:textId="2FBC3DD7" w:rsidR="009A02FF" w:rsidRPr="0040458D" w:rsidRDefault="009A02FF" w:rsidP="00077047">
            <w:pPr>
              <w:jc w:val="center"/>
              <w:rPr>
                <w:b/>
                <w:color w:val="000000" w:themeColor="text1"/>
                <w:sz w:val="10"/>
                <w:szCs w:val="10"/>
              </w:rPr>
            </w:pPr>
            <w:r w:rsidRPr="0040458D">
              <w:rPr>
                <w:b/>
                <w:color w:val="000000" w:themeColor="text1"/>
                <w:sz w:val="10"/>
                <w:szCs w:val="10"/>
              </w:rPr>
              <w:t>Number of cases</w:t>
            </w:r>
            <w:r>
              <w:rPr>
                <w:b/>
                <w:color w:val="000000" w:themeColor="text1"/>
                <w:sz w:val="10"/>
                <w:szCs w:val="10"/>
              </w:rPr>
              <w:t>/controls</w:t>
            </w:r>
          </w:p>
        </w:tc>
        <w:tc>
          <w:tcPr>
            <w:tcW w:w="3543" w:type="dxa"/>
            <w:vAlign w:val="center"/>
          </w:tcPr>
          <w:p w14:paraId="52A06CD8" w14:textId="3794E7E2" w:rsidR="009A02FF" w:rsidRPr="00C41D84" w:rsidRDefault="009A02FF" w:rsidP="009A02FF">
            <w:pPr>
              <w:jc w:val="center"/>
              <w:rPr>
                <w:color w:val="000000" w:themeColor="text1"/>
                <w:sz w:val="10"/>
                <w:szCs w:val="10"/>
              </w:rPr>
            </w:pPr>
            <w:r>
              <w:rPr>
                <w:color w:val="000000" w:themeColor="text1"/>
                <w:sz w:val="10"/>
                <w:szCs w:val="10"/>
              </w:rPr>
              <w:t>Odds Ratio (adjustment factors unknown)</w:t>
            </w:r>
          </w:p>
        </w:tc>
        <w:tc>
          <w:tcPr>
            <w:tcW w:w="1991" w:type="dxa"/>
            <w:vAlign w:val="center"/>
          </w:tcPr>
          <w:p w14:paraId="6F7C6F23" w14:textId="727FF0CE" w:rsidR="009A02FF" w:rsidRPr="00C41D84" w:rsidRDefault="009A02FF" w:rsidP="009A02FF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40458D">
              <w:rPr>
                <w:b/>
                <w:color w:val="000000" w:themeColor="text1"/>
                <w:sz w:val="10"/>
                <w:szCs w:val="10"/>
              </w:rPr>
              <w:t>95% Confidence Interval</w:t>
            </w:r>
          </w:p>
        </w:tc>
        <w:tc>
          <w:tcPr>
            <w:tcW w:w="2325" w:type="dxa"/>
          </w:tcPr>
          <w:p w14:paraId="31460EBD" w14:textId="77777777" w:rsidR="009A02FF" w:rsidRPr="0006771D" w:rsidRDefault="009A02FF" w:rsidP="009A02FF">
            <w:pPr>
              <w:jc w:val="center"/>
              <w:rPr>
                <w:b/>
                <w:sz w:val="10"/>
                <w:szCs w:val="10"/>
              </w:rPr>
            </w:pPr>
            <w:r w:rsidRPr="0006771D">
              <w:rPr>
                <w:b/>
                <w:sz w:val="10"/>
                <w:szCs w:val="10"/>
              </w:rPr>
              <w:t>Scoring assessment of quality of the study</w:t>
            </w:r>
          </w:p>
          <w:p w14:paraId="13C0754C" w14:textId="67B044E5" w:rsidR="009A02FF" w:rsidRPr="0006771D" w:rsidRDefault="009A02FF" w:rsidP="009A02FF">
            <w:pPr>
              <w:jc w:val="center"/>
              <w:rPr>
                <w:b/>
                <w:sz w:val="10"/>
                <w:szCs w:val="10"/>
              </w:rPr>
            </w:pPr>
            <w:r w:rsidRPr="0006771D">
              <w:rPr>
                <w:b/>
                <w:sz w:val="10"/>
                <w:szCs w:val="10"/>
              </w:rPr>
              <w:t>(based on assessment using the Klimisch Score</w:t>
            </w:r>
            <w:r>
              <w:rPr>
                <w:b/>
                <w:sz w:val="10"/>
                <w:szCs w:val="10"/>
              </w:rPr>
              <w:t>)</w:t>
            </w:r>
          </w:p>
        </w:tc>
      </w:tr>
      <w:tr w:rsidR="009A02FF" w14:paraId="7F55BEF0" w14:textId="77777777" w:rsidTr="00077047">
        <w:tc>
          <w:tcPr>
            <w:tcW w:w="2830" w:type="dxa"/>
            <w:vMerge/>
            <w:vAlign w:val="center"/>
          </w:tcPr>
          <w:p w14:paraId="6C077B05" w14:textId="77777777" w:rsidR="009A02FF" w:rsidRDefault="009A02FF" w:rsidP="009A02FF">
            <w:pPr>
              <w:jc w:val="center"/>
              <w:rPr>
                <w:color w:val="FF0000"/>
                <w:sz w:val="10"/>
                <w:szCs w:val="10"/>
              </w:rPr>
            </w:pPr>
          </w:p>
        </w:tc>
        <w:tc>
          <w:tcPr>
            <w:tcW w:w="1843" w:type="dxa"/>
            <w:vAlign w:val="center"/>
          </w:tcPr>
          <w:p w14:paraId="7607699F" w14:textId="787ECD48" w:rsidR="009A02FF" w:rsidRDefault="009A02FF" w:rsidP="009A02FF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Gingival recession</w:t>
            </w:r>
          </w:p>
        </w:tc>
        <w:tc>
          <w:tcPr>
            <w:tcW w:w="1418" w:type="dxa"/>
            <w:vAlign w:val="center"/>
          </w:tcPr>
          <w:p w14:paraId="3D5EDCEF" w14:textId="77777777" w:rsidR="009A02FF" w:rsidRPr="007453D0" w:rsidRDefault="009A02FF" w:rsidP="0007704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7453D0">
              <w:rPr>
                <w:color w:val="000000" w:themeColor="text1"/>
                <w:sz w:val="10"/>
                <w:szCs w:val="10"/>
              </w:rPr>
              <w:t>Controls, n=70</w:t>
            </w:r>
          </w:p>
          <w:p w14:paraId="4E02B543" w14:textId="77777777" w:rsidR="009A02FF" w:rsidRPr="007453D0" w:rsidRDefault="009A02FF" w:rsidP="00077047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7453D0">
              <w:rPr>
                <w:color w:val="000000" w:themeColor="text1"/>
                <w:sz w:val="10"/>
                <w:szCs w:val="10"/>
              </w:rPr>
              <w:t>Snus Users, n=33</w:t>
            </w:r>
          </w:p>
          <w:p w14:paraId="156BEDE1" w14:textId="365B1504" w:rsidR="009A02FF" w:rsidRPr="0040458D" w:rsidRDefault="009A02FF" w:rsidP="00077047">
            <w:pPr>
              <w:jc w:val="center"/>
              <w:rPr>
                <w:b/>
                <w:color w:val="000000" w:themeColor="text1"/>
                <w:sz w:val="10"/>
                <w:szCs w:val="10"/>
              </w:rPr>
            </w:pPr>
            <w:r w:rsidRPr="007453D0">
              <w:rPr>
                <w:color w:val="000000" w:themeColor="text1"/>
                <w:sz w:val="10"/>
                <w:szCs w:val="10"/>
              </w:rPr>
              <w:t>All male; all non-smokers</w:t>
            </w:r>
          </w:p>
        </w:tc>
        <w:tc>
          <w:tcPr>
            <w:tcW w:w="3543" w:type="dxa"/>
            <w:vAlign w:val="center"/>
          </w:tcPr>
          <w:p w14:paraId="743F46AA" w14:textId="77777777" w:rsidR="009A02FF" w:rsidRDefault="009A02FF" w:rsidP="009A02FF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10D3F64A" w14:textId="2A3FFFA6" w:rsidR="009A02FF" w:rsidRDefault="009A02FF" w:rsidP="009A02FF">
            <w:pPr>
              <w:jc w:val="center"/>
              <w:rPr>
                <w:color w:val="000000" w:themeColor="text1"/>
                <w:sz w:val="10"/>
                <w:szCs w:val="10"/>
              </w:rPr>
            </w:pPr>
            <w:r>
              <w:rPr>
                <w:color w:val="000000" w:themeColor="text1"/>
                <w:sz w:val="10"/>
                <w:szCs w:val="10"/>
              </w:rPr>
              <w:t xml:space="preserve">≥1 tooth with gingival recession (all teeth); </w:t>
            </w:r>
            <w:r w:rsidRPr="00B96753">
              <w:rPr>
                <w:b/>
                <w:color w:val="FF0000"/>
                <w:sz w:val="10"/>
                <w:szCs w:val="10"/>
              </w:rPr>
              <w:t>3.721</w:t>
            </w:r>
          </w:p>
          <w:p w14:paraId="3B9C36DD" w14:textId="02DF915D" w:rsidR="009A02FF" w:rsidRDefault="009A02FF" w:rsidP="009A02FF">
            <w:pPr>
              <w:jc w:val="center"/>
              <w:rPr>
                <w:color w:val="000000" w:themeColor="text1"/>
                <w:sz w:val="10"/>
                <w:szCs w:val="10"/>
              </w:rPr>
            </w:pPr>
            <w:r>
              <w:rPr>
                <w:color w:val="000000" w:themeColor="text1"/>
                <w:sz w:val="10"/>
                <w:szCs w:val="10"/>
              </w:rPr>
              <w:t xml:space="preserve">≥1 tooth with gingival recession (maxillary anterior tooth region); </w:t>
            </w:r>
            <w:r w:rsidRPr="00B96753">
              <w:rPr>
                <w:b/>
                <w:color w:val="FF0000"/>
                <w:sz w:val="10"/>
                <w:szCs w:val="10"/>
              </w:rPr>
              <w:t>5.099</w:t>
            </w:r>
          </w:p>
          <w:p w14:paraId="6891809E" w14:textId="0432181E" w:rsidR="009A02FF" w:rsidRPr="00C41D84" w:rsidRDefault="009A02FF" w:rsidP="009A02FF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1991" w:type="dxa"/>
            <w:vAlign w:val="center"/>
          </w:tcPr>
          <w:p w14:paraId="68AE1371" w14:textId="77777777" w:rsidR="009A02FF" w:rsidRPr="00B96753" w:rsidRDefault="009A02FF" w:rsidP="009A02FF">
            <w:pPr>
              <w:jc w:val="center"/>
              <w:rPr>
                <w:b/>
                <w:color w:val="FF0000"/>
                <w:sz w:val="10"/>
                <w:szCs w:val="10"/>
              </w:rPr>
            </w:pPr>
            <w:r w:rsidRPr="00B96753">
              <w:rPr>
                <w:b/>
                <w:color w:val="FF0000"/>
                <w:sz w:val="10"/>
                <w:szCs w:val="10"/>
              </w:rPr>
              <w:t>1.401-9.886</w:t>
            </w:r>
          </w:p>
          <w:p w14:paraId="310009DC" w14:textId="4F3B1FCE" w:rsidR="009A02FF" w:rsidRPr="00C41D84" w:rsidRDefault="009A02FF" w:rsidP="009A02FF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B96753">
              <w:rPr>
                <w:b/>
                <w:color w:val="FF0000"/>
                <w:sz w:val="10"/>
                <w:szCs w:val="10"/>
              </w:rPr>
              <w:t>1.672-15.549</w:t>
            </w:r>
          </w:p>
        </w:tc>
        <w:tc>
          <w:tcPr>
            <w:tcW w:w="2325" w:type="dxa"/>
            <w:vAlign w:val="center"/>
          </w:tcPr>
          <w:p w14:paraId="69871C4E" w14:textId="3A86CCE9" w:rsidR="009A02FF" w:rsidRPr="00330E84" w:rsidRDefault="009A02FF" w:rsidP="009A02FF">
            <w:pPr>
              <w:jc w:val="center"/>
              <w:rPr>
                <w:sz w:val="10"/>
                <w:szCs w:val="10"/>
              </w:rPr>
            </w:pPr>
            <w:r w:rsidRPr="00330E84">
              <w:rPr>
                <w:sz w:val="10"/>
                <w:szCs w:val="10"/>
              </w:rPr>
              <w:t>1</w:t>
            </w:r>
          </w:p>
        </w:tc>
      </w:tr>
      <w:tr w:rsidR="009A02FF" w14:paraId="10209928" w14:textId="77777777" w:rsidTr="00077047">
        <w:tc>
          <w:tcPr>
            <w:tcW w:w="2830" w:type="dxa"/>
            <w:vMerge w:val="restart"/>
            <w:vAlign w:val="center"/>
          </w:tcPr>
          <w:p w14:paraId="21404D02" w14:textId="30B5BA80" w:rsidR="009A02FF" w:rsidRDefault="009A02FF" w:rsidP="009A02FF">
            <w:pPr>
              <w:jc w:val="center"/>
              <w:rPr>
                <w:color w:val="FF0000"/>
                <w:sz w:val="10"/>
                <w:szCs w:val="10"/>
              </w:rPr>
            </w:pPr>
            <w:r>
              <w:rPr>
                <w:color w:val="FF0000"/>
                <w:sz w:val="10"/>
                <w:szCs w:val="10"/>
              </w:rPr>
              <w:t>Hugoson et al., 2011 [ref. 9</w:t>
            </w:r>
            <w:r w:rsidR="00713013">
              <w:rPr>
                <w:color w:val="FF0000"/>
                <w:sz w:val="10"/>
                <w:szCs w:val="10"/>
              </w:rPr>
              <w:t>6</w:t>
            </w:r>
            <w:bookmarkStart w:id="0" w:name="_GoBack"/>
            <w:bookmarkEnd w:id="0"/>
            <w:r>
              <w:rPr>
                <w:color w:val="FF0000"/>
                <w:sz w:val="10"/>
                <w:szCs w:val="10"/>
              </w:rPr>
              <w:t>]</w:t>
            </w:r>
          </w:p>
        </w:tc>
        <w:tc>
          <w:tcPr>
            <w:tcW w:w="1843" w:type="dxa"/>
            <w:vAlign w:val="center"/>
          </w:tcPr>
          <w:p w14:paraId="3AD7153A" w14:textId="59F5536F" w:rsidR="009A02FF" w:rsidRPr="00ED2C36" w:rsidRDefault="00ED2C36" w:rsidP="009A02FF">
            <w:pPr>
              <w:jc w:val="center"/>
              <w:rPr>
                <w:b/>
                <w:sz w:val="10"/>
                <w:szCs w:val="10"/>
              </w:rPr>
            </w:pPr>
            <w:r w:rsidRPr="00ED2C36">
              <w:rPr>
                <w:b/>
                <w:sz w:val="10"/>
                <w:szCs w:val="10"/>
              </w:rPr>
              <w:t>End-point</w:t>
            </w:r>
          </w:p>
        </w:tc>
        <w:tc>
          <w:tcPr>
            <w:tcW w:w="1418" w:type="dxa"/>
            <w:vAlign w:val="center"/>
          </w:tcPr>
          <w:p w14:paraId="68562131" w14:textId="7A6E4C66" w:rsidR="009A02FF" w:rsidRPr="0040458D" w:rsidRDefault="009A02FF" w:rsidP="00077047">
            <w:pPr>
              <w:jc w:val="center"/>
              <w:rPr>
                <w:b/>
                <w:color w:val="000000" w:themeColor="text1"/>
                <w:sz w:val="10"/>
                <w:szCs w:val="10"/>
              </w:rPr>
            </w:pPr>
            <w:r w:rsidRPr="0040458D">
              <w:rPr>
                <w:b/>
                <w:color w:val="000000" w:themeColor="text1"/>
                <w:sz w:val="10"/>
                <w:szCs w:val="10"/>
              </w:rPr>
              <w:t>Number of cases</w:t>
            </w:r>
          </w:p>
        </w:tc>
        <w:tc>
          <w:tcPr>
            <w:tcW w:w="3543" w:type="dxa"/>
            <w:vAlign w:val="center"/>
          </w:tcPr>
          <w:p w14:paraId="4B444DCF" w14:textId="7475DBE3" w:rsidR="009A02FF" w:rsidRPr="00C41D84" w:rsidRDefault="009A02FF" w:rsidP="009A02FF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40458D">
              <w:rPr>
                <w:b/>
                <w:color w:val="000000" w:themeColor="text1"/>
                <w:sz w:val="10"/>
                <w:szCs w:val="10"/>
              </w:rPr>
              <w:t>Relative Risk</w:t>
            </w:r>
          </w:p>
        </w:tc>
        <w:tc>
          <w:tcPr>
            <w:tcW w:w="1991" w:type="dxa"/>
            <w:vAlign w:val="center"/>
          </w:tcPr>
          <w:p w14:paraId="1669E574" w14:textId="688196F6" w:rsidR="009A02FF" w:rsidRPr="00C41D84" w:rsidRDefault="009A02FF" w:rsidP="009A02FF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40458D">
              <w:rPr>
                <w:b/>
                <w:color w:val="000000" w:themeColor="text1"/>
                <w:sz w:val="10"/>
                <w:szCs w:val="10"/>
              </w:rPr>
              <w:t>95% Confidence Interval</w:t>
            </w:r>
          </w:p>
        </w:tc>
        <w:tc>
          <w:tcPr>
            <w:tcW w:w="2325" w:type="dxa"/>
          </w:tcPr>
          <w:p w14:paraId="4E89532D" w14:textId="77777777" w:rsidR="009A02FF" w:rsidRPr="0006771D" w:rsidRDefault="009A02FF" w:rsidP="009A02FF">
            <w:pPr>
              <w:jc w:val="center"/>
              <w:rPr>
                <w:b/>
                <w:sz w:val="10"/>
                <w:szCs w:val="10"/>
              </w:rPr>
            </w:pPr>
            <w:r w:rsidRPr="0006771D">
              <w:rPr>
                <w:b/>
                <w:sz w:val="10"/>
                <w:szCs w:val="10"/>
              </w:rPr>
              <w:t>Scoring assessment of quality of the study</w:t>
            </w:r>
          </w:p>
          <w:p w14:paraId="77945227" w14:textId="0548D033" w:rsidR="009A02FF" w:rsidRPr="0006771D" w:rsidRDefault="009A02FF" w:rsidP="009A02FF">
            <w:pPr>
              <w:jc w:val="center"/>
              <w:rPr>
                <w:b/>
                <w:sz w:val="10"/>
                <w:szCs w:val="10"/>
              </w:rPr>
            </w:pPr>
            <w:r w:rsidRPr="0006771D">
              <w:rPr>
                <w:b/>
                <w:sz w:val="10"/>
                <w:szCs w:val="10"/>
              </w:rPr>
              <w:t>(based on assessment using the Klimisch Score</w:t>
            </w:r>
            <w:r>
              <w:rPr>
                <w:b/>
                <w:sz w:val="10"/>
                <w:szCs w:val="10"/>
              </w:rPr>
              <w:t>)</w:t>
            </w:r>
          </w:p>
        </w:tc>
      </w:tr>
      <w:tr w:rsidR="009A02FF" w14:paraId="14B0BACF" w14:textId="77777777" w:rsidTr="00077047">
        <w:tc>
          <w:tcPr>
            <w:tcW w:w="2830" w:type="dxa"/>
            <w:vMerge/>
          </w:tcPr>
          <w:p w14:paraId="4DA05817" w14:textId="77777777" w:rsidR="009A02FF" w:rsidRDefault="009A02FF" w:rsidP="009A02FF">
            <w:pPr>
              <w:jc w:val="center"/>
              <w:rPr>
                <w:color w:val="FF0000"/>
                <w:sz w:val="10"/>
                <w:szCs w:val="10"/>
              </w:rPr>
            </w:pPr>
          </w:p>
        </w:tc>
        <w:tc>
          <w:tcPr>
            <w:tcW w:w="1843" w:type="dxa"/>
            <w:vAlign w:val="center"/>
          </w:tcPr>
          <w:p w14:paraId="1B604BEA" w14:textId="0292944F" w:rsidR="009A02FF" w:rsidRDefault="00FB33AF" w:rsidP="009A02FF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Perio</w:t>
            </w:r>
            <w:r w:rsidR="00ED2C36">
              <w:rPr>
                <w:sz w:val="10"/>
                <w:szCs w:val="10"/>
              </w:rPr>
              <w:t>dontal disease</w:t>
            </w:r>
          </w:p>
        </w:tc>
        <w:tc>
          <w:tcPr>
            <w:tcW w:w="1418" w:type="dxa"/>
            <w:vAlign w:val="center"/>
          </w:tcPr>
          <w:p w14:paraId="584D1684" w14:textId="35285978" w:rsidR="009A02FF" w:rsidRPr="0040458D" w:rsidRDefault="00FB33AF" w:rsidP="00077047">
            <w:pPr>
              <w:jc w:val="center"/>
              <w:rPr>
                <w:b/>
                <w:color w:val="000000" w:themeColor="text1"/>
                <w:sz w:val="10"/>
                <w:szCs w:val="10"/>
              </w:rPr>
            </w:pPr>
            <w:r w:rsidRPr="00FB1E75">
              <w:rPr>
                <w:color w:val="000000" w:themeColor="text1"/>
                <w:sz w:val="10"/>
                <w:szCs w:val="10"/>
              </w:rPr>
              <w:t xml:space="preserve">Cohort (n=1,591; </w:t>
            </w:r>
            <w:r>
              <w:rPr>
                <w:color w:val="000000" w:themeColor="text1"/>
                <w:sz w:val="10"/>
                <w:szCs w:val="10"/>
              </w:rPr>
              <w:t>539</w:t>
            </w:r>
            <w:r w:rsidRPr="00FB1E75">
              <w:rPr>
                <w:color w:val="000000" w:themeColor="text1"/>
                <w:sz w:val="10"/>
                <w:szCs w:val="10"/>
              </w:rPr>
              <w:t xml:space="preserve"> non-users of tobacco; </w:t>
            </w:r>
            <w:r>
              <w:rPr>
                <w:color w:val="000000" w:themeColor="text1"/>
                <w:sz w:val="10"/>
                <w:szCs w:val="10"/>
              </w:rPr>
              <w:t>509</w:t>
            </w:r>
            <w:r w:rsidRPr="00FB1E75">
              <w:rPr>
                <w:color w:val="000000" w:themeColor="text1"/>
                <w:sz w:val="10"/>
                <w:szCs w:val="10"/>
              </w:rPr>
              <w:t xml:space="preserve"> snus users; </w:t>
            </w:r>
            <w:r>
              <w:rPr>
                <w:color w:val="000000" w:themeColor="text1"/>
                <w:sz w:val="10"/>
                <w:szCs w:val="10"/>
              </w:rPr>
              <w:t>543</w:t>
            </w:r>
            <w:r w:rsidRPr="00FB1E75">
              <w:rPr>
                <w:color w:val="000000" w:themeColor="text1"/>
                <w:sz w:val="10"/>
                <w:szCs w:val="10"/>
              </w:rPr>
              <w:t xml:space="preserve"> conventional cigarette smokers)</w:t>
            </w:r>
            <w:r>
              <w:rPr>
                <w:color w:val="000000" w:themeColor="text1"/>
                <w:sz w:val="10"/>
                <w:szCs w:val="10"/>
              </w:rPr>
              <w:t xml:space="preserve"> derived from three cohorts conducted ten years apart.</w:t>
            </w:r>
          </w:p>
        </w:tc>
        <w:tc>
          <w:tcPr>
            <w:tcW w:w="3543" w:type="dxa"/>
          </w:tcPr>
          <w:p w14:paraId="20659CDF" w14:textId="2F24A34D" w:rsidR="009A02FF" w:rsidRPr="00C41D84" w:rsidRDefault="00ED2C36" w:rsidP="00ED2C36">
            <w:pPr>
              <w:jc w:val="both"/>
              <w:rPr>
                <w:color w:val="000000" w:themeColor="text1"/>
                <w:sz w:val="10"/>
                <w:szCs w:val="10"/>
              </w:rPr>
            </w:pPr>
            <w:r>
              <w:rPr>
                <w:color w:val="000000" w:themeColor="text1"/>
                <w:sz w:val="10"/>
                <w:szCs w:val="10"/>
              </w:rPr>
              <w:t xml:space="preserve">Participants were examined clinically and radiographically. Diagnostic criteria were number of teeth, plaque, gingival status, probing pocket depth ≥4mm, height of the alveolar bone level and classification by periodontal disease experience. </w:t>
            </w:r>
            <w:r w:rsidR="00FB33AF">
              <w:rPr>
                <w:color w:val="000000" w:themeColor="text1"/>
                <w:sz w:val="10"/>
                <w:szCs w:val="10"/>
              </w:rPr>
              <w:t>Authors of the original study concluded that “</w:t>
            </w:r>
            <w:r w:rsidR="00FB33AF">
              <w:rPr>
                <w:i/>
                <w:color w:val="000000" w:themeColor="text1"/>
                <w:sz w:val="10"/>
                <w:szCs w:val="10"/>
              </w:rPr>
              <w:t>using snus did not seem to be a risk factor for periodontitis’.</w:t>
            </w:r>
          </w:p>
        </w:tc>
        <w:tc>
          <w:tcPr>
            <w:tcW w:w="1991" w:type="dxa"/>
            <w:vAlign w:val="center"/>
          </w:tcPr>
          <w:p w14:paraId="753FE575" w14:textId="35F24F84" w:rsidR="009A02FF" w:rsidRPr="00ED2C36" w:rsidRDefault="00ED2C36" w:rsidP="00ED2C36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ED2C36">
              <w:rPr>
                <w:color w:val="000000" w:themeColor="text1"/>
                <w:sz w:val="10"/>
                <w:szCs w:val="10"/>
              </w:rPr>
              <w:t>N/A</w:t>
            </w:r>
          </w:p>
        </w:tc>
        <w:tc>
          <w:tcPr>
            <w:tcW w:w="2325" w:type="dxa"/>
            <w:vAlign w:val="center"/>
          </w:tcPr>
          <w:p w14:paraId="2F52C087" w14:textId="2BE15505" w:rsidR="009A02FF" w:rsidRPr="00ED2C36" w:rsidRDefault="00ED2C36" w:rsidP="00ED2C36">
            <w:pPr>
              <w:jc w:val="center"/>
              <w:rPr>
                <w:sz w:val="10"/>
                <w:szCs w:val="10"/>
              </w:rPr>
            </w:pPr>
            <w:r w:rsidRPr="00ED2C36">
              <w:rPr>
                <w:sz w:val="10"/>
                <w:szCs w:val="10"/>
              </w:rPr>
              <w:t>1</w:t>
            </w:r>
          </w:p>
        </w:tc>
      </w:tr>
    </w:tbl>
    <w:p w14:paraId="1EC7C882" w14:textId="2B33E293" w:rsidR="00387A5A" w:rsidRDefault="00D3305C" w:rsidP="0093042E">
      <w:pPr>
        <w:jc w:val="both"/>
        <w:rPr>
          <w:sz w:val="10"/>
          <w:szCs w:val="10"/>
        </w:rPr>
      </w:pPr>
      <w:r w:rsidRPr="00636537">
        <w:rPr>
          <w:b/>
          <w:sz w:val="10"/>
          <w:szCs w:val="10"/>
        </w:rPr>
        <w:t xml:space="preserve">Supplementary Table </w:t>
      </w:r>
      <w:r w:rsidR="005901AE">
        <w:rPr>
          <w:b/>
          <w:sz w:val="10"/>
          <w:szCs w:val="10"/>
        </w:rPr>
        <w:t>7</w:t>
      </w:r>
      <w:r w:rsidRPr="00636537">
        <w:rPr>
          <w:sz w:val="10"/>
          <w:szCs w:val="10"/>
        </w:rPr>
        <w:t>: Epidemiological</w:t>
      </w:r>
      <w:r w:rsidR="0093042E">
        <w:rPr>
          <w:sz w:val="10"/>
          <w:szCs w:val="10"/>
        </w:rPr>
        <w:t>/clinical</w:t>
      </w:r>
      <w:r w:rsidRPr="00636537">
        <w:rPr>
          <w:sz w:val="10"/>
          <w:szCs w:val="10"/>
        </w:rPr>
        <w:t xml:space="preserve"> studies investigating the association between snus use and</w:t>
      </w:r>
      <w:r w:rsidR="007453D0">
        <w:rPr>
          <w:sz w:val="10"/>
          <w:szCs w:val="10"/>
        </w:rPr>
        <w:t xml:space="preserve"> periodontal disease and/or gingival disease</w:t>
      </w:r>
      <w:r w:rsidRPr="00636537">
        <w:rPr>
          <w:sz w:val="10"/>
          <w:szCs w:val="10"/>
        </w:rPr>
        <w:t>.</w:t>
      </w:r>
      <w:r w:rsidR="00636537">
        <w:rPr>
          <w:sz w:val="10"/>
          <w:szCs w:val="10"/>
        </w:rPr>
        <w:t xml:space="preserve"> Those epidemiological findings which are statistically significant (either protective or causative) are highlighted in red. N/A; not applicable</w:t>
      </w:r>
      <w:r w:rsidR="00387A5A">
        <w:rPr>
          <w:sz w:val="10"/>
          <w:szCs w:val="10"/>
        </w:rPr>
        <w:t>.</w:t>
      </w:r>
      <w:r w:rsidR="0093042E" w:rsidRPr="0093042E">
        <w:rPr>
          <w:sz w:val="10"/>
          <w:szCs w:val="10"/>
        </w:rPr>
        <w:t xml:space="preserve"> </w:t>
      </w:r>
      <w:r w:rsidR="0093042E">
        <w:rPr>
          <w:sz w:val="10"/>
          <w:szCs w:val="10"/>
        </w:rPr>
        <w:t xml:space="preserve">Klimisch Score adapted from </w:t>
      </w:r>
      <w:r w:rsidR="0093042E">
        <w:rPr>
          <w:i/>
          <w:sz w:val="10"/>
          <w:szCs w:val="10"/>
        </w:rPr>
        <w:t xml:space="preserve">Regulatory Toxicology and Pharmacology </w:t>
      </w:r>
      <w:r w:rsidR="0093042E">
        <w:rPr>
          <w:sz w:val="10"/>
          <w:szCs w:val="10"/>
        </w:rPr>
        <w:t xml:space="preserve">(1997) </w:t>
      </w:r>
      <w:r w:rsidR="0093042E">
        <w:rPr>
          <w:b/>
          <w:sz w:val="10"/>
          <w:szCs w:val="10"/>
        </w:rPr>
        <w:t>25</w:t>
      </w:r>
      <w:r w:rsidR="0093042E">
        <w:rPr>
          <w:sz w:val="10"/>
          <w:szCs w:val="10"/>
        </w:rPr>
        <w:t>, 1-5</w:t>
      </w:r>
      <w:r w:rsidR="001B3B09">
        <w:rPr>
          <w:sz w:val="10"/>
          <w:szCs w:val="10"/>
        </w:rPr>
        <w:t xml:space="preserve"> [118]</w:t>
      </w:r>
      <w:r w:rsidR="0093042E">
        <w:rPr>
          <w:sz w:val="10"/>
          <w:szCs w:val="10"/>
        </w:rPr>
        <w:t>.</w:t>
      </w:r>
    </w:p>
    <w:p w14:paraId="1FAED7DD" w14:textId="5404FB14" w:rsidR="00387A5A" w:rsidRPr="00387A5A" w:rsidRDefault="00387A5A">
      <w:pPr>
        <w:rPr>
          <w:color w:val="000000" w:themeColor="text1"/>
          <w:sz w:val="10"/>
          <w:szCs w:val="10"/>
        </w:rPr>
      </w:pPr>
    </w:p>
    <w:sectPr w:rsidR="00387A5A" w:rsidRPr="00387A5A" w:rsidSect="00D3305C">
      <w:pgSz w:w="16840" w:h="1190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05C"/>
    <w:rsid w:val="00002643"/>
    <w:rsid w:val="0006771D"/>
    <w:rsid w:val="00077047"/>
    <w:rsid w:val="000A35F4"/>
    <w:rsid w:val="001B3B09"/>
    <w:rsid w:val="0020597E"/>
    <w:rsid w:val="00227CA3"/>
    <w:rsid w:val="00247EC5"/>
    <w:rsid w:val="00260587"/>
    <w:rsid w:val="002B1B33"/>
    <w:rsid w:val="002B35C8"/>
    <w:rsid w:val="00330E84"/>
    <w:rsid w:val="00387A5A"/>
    <w:rsid w:val="0040458D"/>
    <w:rsid w:val="004A06A8"/>
    <w:rsid w:val="0050521E"/>
    <w:rsid w:val="00542391"/>
    <w:rsid w:val="005605E2"/>
    <w:rsid w:val="005901AE"/>
    <w:rsid w:val="005A7105"/>
    <w:rsid w:val="005F1E69"/>
    <w:rsid w:val="00636537"/>
    <w:rsid w:val="006468FB"/>
    <w:rsid w:val="0069029B"/>
    <w:rsid w:val="006F4CDD"/>
    <w:rsid w:val="00713013"/>
    <w:rsid w:val="007453D0"/>
    <w:rsid w:val="007D6AC7"/>
    <w:rsid w:val="0082325D"/>
    <w:rsid w:val="00834C28"/>
    <w:rsid w:val="008C2D02"/>
    <w:rsid w:val="0093042E"/>
    <w:rsid w:val="00955DB1"/>
    <w:rsid w:val="00972794"/>
    <w:rsid w:val="009A02FF"/>
    <w:rsid w:val="00A0031C"/>
    <w:rsid w:val="00A24307"/>
    <w:rsid w:val="00B07B38"/>
    <w:rsid w:val="00B956F2"/>
    <w:rsid w:val="00B96753"/>
    <w:rsid w:val="00BC7E88"/>
    <w:rsid w:val="00BE5757"/>
    <w:rsid w:val="00C41D84"/>
    <w:rsid w:val="00CA181E"/>
    <w:rsid w:val="00CB7694"/>
    <w:rsid w:val="00D32E27"/>
    <w:rsid w:val="00D3305C"/>
    <w:rsid w:val="00E434C4"/>
    <w:rsid w:val="00E454E8"/>
    <w:rsid w:val="00E47CF3"/>
    <w:rsid w:val="00ED2C36"/>
    <w:rsid w:val="00EE5199"/>
    <w:rsid w:val="00F73641"/>
    <w:rsid w:val="00FB3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CB0CD9"/>
  <w14:defaultImageDpi w14:val="32767"/>
  <w15:chartTrackingRefBased/>
  <w15:docId w15:val="{F07F1FD1-3EA6-D049-9202-D9DC0309B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330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955</Words>
  <Characters>5445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Thompson</dc:creator>
  <cp:keywords/>
  <dc:description/>
  <cp:lastModifiedBy>Clarke, Libby</cp:lastModifiedBy>
  <cp:revision>7</cp:revision>
  <dcterms:created xsi:type="dcterms:W3CDTF">2019-07-18T12:00:00Z</dcterms:created>
  <dcterms:modified xsi:type="dcterms:W3CDTF">2019-07-19T20:46:00Z</dcterms:modified>
</cp:coreProperties>
</file>