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Look w:val="04A0" w:firstRow="1" w:lastRow="0" w:firstColumn="1" w:lastColumn="0" w:noHBand="0" w:noVBand="1"/>
      </w:tblPr>
      <w:tblGrid>
        <w:gridCol w:w="2830"/>
        <w:gridCol w:w="1701"/>
        <w:gridCol w:w="1985"/>
        <w:gridCol w:w="3118"/>
        <w:gridCol w:w="1991"/>
        <w:gridCol w:w="2325"/>
      </w:tblGrid>
      <w:tr w:rsidR="00EE5199" w14:paraId="14854929" w14:textId="77777777" w:rsidTr="00EE5199">
        <w:trPr>
          <w:trHeight w:val="132"/>
        </w:trPr>
        <w:tc>
          <w:tcPr>
            <w:tcW w:w="2830" w:type="dxa"/>
          </w:tcPr>
          <w:p w14:paraId="456D1D08" w14:textId="04AFBF43" w:rsidR="00EE5199" w:rsidRPr="00D3305C" w:rsidRDefault="00EE5199" w:rsidP="00D3305C">
            <w:pPr>
              <w:jc w:val="center"/>
              <w:rPr>
                <w:sz w:val="10"/>
                <w:szCs w:val="10"/>
              </w:rPr>
            </w:pPr>
            <w:r w:rsidRPr="00D3305C">
              <w:rPr>
                <w:sz w:val="10"/>
                <w:szCs w:val="10"/>
              </w:rPr>
              <w:t>Study</w:t>
            </w:r>
          </w:p>
        </w:tc>
        <w:tc>
          <w:tcPr>
            <w:tcW w:w="11120" w:type="dxa"/>
            <w:gridSpan w:val="5"/>
          </w:tcPr>
          <w:p w14:paraId="7A2264E3" w14:textId="54757578" w:rsidR="00EE5199" w:rsidRPr="00D3305C" w:rsidRDefault="00EE5199" w:rsidP="00BC7E88">
            <w:pPr>
              <w:jc w:val="center"/>
              <w:rPr>
                <w:sz w:val="10"/>
                <w:szCs w:val="10"/>
              </w:rPr>
            </w:pPr>
            <w:r w:rsidRPr="00D3305C">
              <w:rPr>
                <w:sz w:val="10"/>
                <w:szCs w:val="10"/>
              </w:rPr>
              <w:t>Epidemiological</w:t>
            </w:r>
            <w:r w:rsidR="009C7CCE">
              <w:rPr>
                <w:sz w:val="10"/>
                <w:szCs w:val="10"/>
              </w:rPr>
              <w:t>/Clinical</w:t>
            </w:r>
            <w:r w:rsidRPr="00D3305C">
              <w:rPr>
                <w:sz w:val="10"/>
                <w:szCs w:val="10"/>
              </w:rPr>
              <w:t xml:space="preserve"> Findings</w:t>
            </w:r>
          </w:p>
        </w:tc>
      </w:tr>
      <w:tr w:rsidR="00EE5199" w14:paraId="28078238" w14:textId="77777777" w:rsidTr="00FB1E75">
        <w:tc>
          <w:tcPr>
            <w:tcW w:w="2830" w:type="dxa"/>
            <w:vMerge w:val="restart"/>
            <w:vAlign w:val="center"/>
          </w:tcPr>
          <w:p w14:paraId="4C8DD2B7" w14:textId="481667D7" w:rsidR="00EE5199" w:rsidRPr="00D3305C" w:rsidRDefault="00E434C4" w:rsidP="00DE47ED">
            <w:pPr>
              <w:jc w:val="center"/>
              <w:rPr>
                <w:color w:val="FF0000"/>
                <w:sz w:val="10"/>
                <w:szCs w:val="10"/>
              </w:rPr>
            </w:pPr>
            <w:r>
              <w:rPr>
                <w:color w:val="FF0000"/>
                <w:sz w:val="10"/>
                <w:szCs w:val="10"/>
              </w:rPr>
              <w:t>Hirsch</w:t>
            </w:r>
            <w:r w:rsidR="00EE5199">
              <w:rPr>
                <w:color w:val="FF0000"/>
                <w:sz w:val="10"/>
                <w:szCs w:val="10"/>
              </w:rPr>
              <w:t xml:space="preserve"> et al., </w:t>
            </w:r>
            <w:r>
              <w:rPr>
                <w:color w:val="FF0000"/>
                <w:sz w:val="10"/>
                <w:szCs w:val="10"/>
              </w:rPr>
              <w:t>1991</w:t>
            </w:r>
            <w:r w:rsidR="00EE5199">
              <w:rPr>
                <w:color w:val="FF0000"/>
                <w:sz w:val="10"/>
                <w:szCs w:val="10"/>
              </w:rPr>
              <w:t xml:space="preserve"> [ref. </w:t>
            </w:r>
            <w:r>
              <w:rPr>
                <w:color w:val="FF0000"/>
                <w:sz w:val="10"/>
                <w:szCs w:val="10"/>
              </w:rPr>
              <w:t>9</w:t>
            </w:r>
            <w:r w:rsidR="00841DF0">
              <w:rPr>
                <w:color w:val="FF0000"/>
                <w:sz w:val="10"/>
                <w:szCs w:val="10"/>
              </w:rPr>
              <w:t>7</w:t>
            </w:r>
            <w:r w:rsidR="00EE5199">
              <w:rPr>
                <w:color w:val="FF0000"/>
                <w:sz w:val="10"/>
                <w:szCs w:val="10"/>
              </w:rPr>
              <w:t>]</w:t>
            </w:r>
          </w:p>
        </w:tc>
        <w:tc>
          <w:tcPr>
            <w:tcW w:w="1701" w:type="dxa"/>
            <w:vAlign w:val="center"/>
          </w:tcPr>
          <w:p w14:paraId="77D987A0" w14:textId="4B625377" w:rsidR="00EE5199" w:rsidRPr="009C7CCE" w:rsidRDefault="009C7CCE" w:rsidP="00F73641">
            <w:pPr>
              <w:jc w:val="center"/>
              <w:rPr>
                <w:b/>
                <w:sz w:val="10"/>
                <w:szCs w:val="10"/>
              </w:rPr>
            </w:pPr>
            <w:r w:rsidRPr="009C7CCE">
              <w:rPr>
                <w:b/>
                <w:sz w:val="10"/>
                <w:szCs w:val="10"/>
              </w:rPr>
              <w:t>End-point</w:t>
            </w:r>
          </w:p>
        </w:tc>
        <w:tc>
          <w:tcPr>
            <w:tcW w:w="1985" w:type="dxa"/>
            <w:vAlign w:val="center"/>
          </w:tcPr>
          <w:p w14:paraId="6F34FA76" w14:textId="2B67B3F6" w:rsidR="00EE5199" w:rsidRDefault="00EE5199" w:rsidP="00A24307">
            <w:pPr>
              <w:jc w:val="center"/>
              <w:rPr>
                <w:sz w:val="10"/>
                <w:szCs w:val="10"/>
              </w:rPr>
            </w:pPr>
            <w:r w:rsidRPr="0040458D">
              <w:rPr>
                <w:b/>
                <w:color w:val="000000" w:themeColor="text1"/>
                <w:sz w:val="10"/>
                <w:szCs w:val="10"/>
              </w:rPr>
              <w:t xml:space="preserve">Number of </w:t>
            </w:r>
            <w:r w:rsidR="009C7CCE">
              <w:rPr>
                <w:b/>
                <w:color w:val="000000" w:themeColor="text1"/>
                <w:sz w:val="10"/>
                <w:szCs w:val="10"/>
              </w:rPr>
              <w:t>subjects</w:t>
            </w:r>
          </w:p>
        </w:tc>
        <w:tc>
          <w:tcPr>
            <w:tcW w:w="3118" w:type="dxa"/>
            <w:vAlign w:val="center"/>
          </w:tcPr>
          <w:p w14:paraId="5E796C17" w14:textId="6F4ABDE0" w:rsidR="00EE5199" w:rsidRPr="00972794" w:rsidRDefault="00144E99" w:rsidP="00A24307">
            <w:pPr>
              <w:jc w:val="center"/>
              <w:rPr>
                <w:color w:val="000000" w:themeColor="text1"/>
                <w:sz w:val="10"/>
                <w:szCs w:val="10"/>
              </w:rPr>
            </w:pPr>
            <w:r>
              <w:rPr>
                <w:b/>
                <w:color w:val="000000" w:themeColor="text1"/>
                <w:sz w:val="10"/>
                <w:szCs w:val="10"/>
              </w:rPr>
              <w:t>Clinical Findings</w:t>
            </w:r>
            <w:r w:rsidR="00EE5199" w:rsidRPr="0040458D">
              <w:rPr>
                <w:b/>
                <w:color w:val="000000" w:themeColor="text1"/>
                <w:sz w:val="10"/>
                <w:szCs w:val="10"/>
              </w:rPr>
              <w:t xml:space="preserve"> </w:t>
            </w:r>
          </w:p>
        </w:tc>
        <w:tc>
          <w:tcPr>
            <w:tcW w:w="1991" w:type="dxa"/>
            <w:vAlign w:val="center"/>
          </w:tcPr>
          <w:p w14:paraId="7334857F" w14:textId="55E5AA90" w:rsidR="00EE5199" w:rsidRPr="00972794" w:rsidRDefault="00EE5199" w:rsidP="00A24307">
            <w:pPr>
              <w:jc w:val="center"/>
              <w:rPr>
                <w:color w:val="000000" w:themeColor="text1"/>
                <w:sz w:val="10"/>
                <w:szCs w:val="10"/>
              </w:rPr>
            </w:pPr>
            <w:r w:rsidRPr="0040458D">
              <w:rPr>
                <w:b/>
                <w:color w:val="000000" w:themeColor="text1"/>
                <w:sz w:val="10"/>
                <w:szCs w:val="10"/>
              </w:rPr>
              <w:t>95% Confidence Interval</w:t>
            </w:r>
          </w:p>
        </w:tc>
        <w:tc>
          <w:tcPr>
            <w:tcW w:w="2325" w:type="dxa"/>
            <w:vAlign w:val="center"/>
          </w:tcPr>
          <w:p w14:paraId="18DFD52F" w14:textId="77777777" w:rsidR="00EE5199" w:rsidRPr="0006771D" w:rsidRDefault="00EE5199" w:rsidP="00A24307">
            <w:pPr>
              <w:jc w:val="center"/>
              <w:rPr>
                <w:b/>
                <w:sz w:val="10"/>
                <w:szCs w:val="10"/>
              </w:rPr>
            </w:pPr>
            <w:r w:rsidRPr="0006771D">
              <w:rPr>
                <w:b/>
                <w:sz w:val="10"/>
                <w:szCs w:val="10"/>
              </w:rPr>
              <w:t>Scoring assessment of quality of the study</w:t>
            </w:r>
          </w:p>
          <w:p w14:paraId="40F23C7E" w14:textId="5E023BDF" w:rsidR="00EE5199" w:rsidRDefault="00EE5199" w:rsidP="00A24307">
            <w:pPr>
              <w:jc w:val="center"/>
              <w:rPr>
                <w:sz w:val="10"/>
                <w:szCs w:val="10"/>
              </w:rPr>
            </w:pPr>
            <w:r w:rsidRPr="0006771D">
              <w:rPr>
                <w:b/>
                <w:sz w:val="10"/>
                <w:szCs w:val="10"/>
              </w:rPr>
              <w:t>(based on assessment using the Klimisch Score</w:t>
            </w:r>
            <w:r>
              <w:rPr>
                <w:b/>
                <w:sz w:val="10"/>
                <w:szCs w:val="10"/>
              </w:rPr>
              <w:t>)</w:t>
            </w:r>
          </w:p>
        </w:tc>
      </w:tr>
      <w:tr w:rsidR="00EE5199" w14:paraId="4C84DD90" w14:textId="77777777" w:rsidTr="000F53F1">
        <w:tc>
          <w:tcPr>
            <w:tcW w:w="2830" w:type="dxa"/>
            <w:vMerge/>
            <w:vAlign w:val="center"/>
          </w:tcPr>
          <w:p w14:paraId="431B6D05" w14:textId="77777777" w:rsidR="00EE5199" w:rsidRPr="00D3305C" w:rsidRDefault="00EE5199" w:rsidP="00DE47ED">
            <w:pPr>
              <w:jc w:val="center"/>
              <w:rPr>
                <w:color w:val="FF0000"/>
                <w:sz w:val="10"/>
                <w:szCs w:val="10"/>
              </w:rPr>
            </w:pPr>
          </w:p>
        </w:tc>
        <w:tc>
          <w:tcPr>
            <w:tcW w:w="1701" w:type="dxa"/>
            <w:vAlign w:val="center"/>
          </w:tcPr>
          <w:p w14:paraId="0E322805" w14:textId="0E6C20A0" w:rsidR="00EE5199" w:rsidRDefault="009C7CCE" w:rsidP="00F73641">
            <w:pPr>
              <w:jc w:val="center"/>
              <w:rPr>
                <w:sz w:val="10"/>
                <w:szCs w:val="10"/>
              </w:rPr>
            </w:pPr>
            <w:r>
              <w:rPr>
                <w:sz w:val="10"/>
                <w:szCs w:val="10"/>
              </w:rPr>
              <w:t>Dental Caries</w:t>
            </w:r>
          </w:p>
        </w:tc>
        <w:tc>
          <w:tcPr>
            <w:tcW w:w="1985" w:type="dxa"/>
          </w:tcPr>
          <w:p w14:paraId="3535FB11" w14:textId="48B821ED" w:rsidR="00EE5199" w:rsidRDefault="009C7CCE" w:rsidP="00144E99">
            <w:pPr>
              <w:jc w:val="both"/>
              <w:rPr>
                <w:sz w:val="10"/>
                <w:szCs w:val="10"/>
              </w:rPr>
            </w:pPr>
            <w:r>
              <w:rPr>
                <w:sz w:val="10"/>
                <w:szCs w:val="10"/>
              </w:rPr>
              <w:t xml:space="preserve">Cohort (n=2,145; boys, n=1,122, girls, n=1,023; aged 14 to 19). </w:t>
            </w:r>
            <w:r w:rsidR="00144E99">
              <w:rPr>
                <w:sz w:val="10"/>
                <w:szCs w:val="10"/>
              </w:rPr>
              <w:t>74% (n=1,574) self-reported as tobacco non-users, 17% (n=374) self-reported as conventional cigarette smokers, 9% (n=197) self-reported as snus users.</w:t>
            </w:r>
          </w:p>
        </w:tc>
        <w:tc>
          <w:tcPr>
            <w:tcW w:w="3118" w:type="dxa"/>
          </w:tcPr>
          <w:p w14:paraId="72ED9E4E" w14:textId="1B188EED" w:rsidR="00EE5199" w:rsidRPr="0050521E" w:rsidRDefault="00144E99" w:rsidP="000F53F1">
            <w:pPr>
              <w:jc w:val="both"/>
              <w:rPr>
                <w:color w:val="000000" w:themeColor="text1"/>
                <w:sz w:val="10"/>
                <w:szCs w:val="10"/>
              </w:rPr>
            </w:pPr>
            <w:r>
              <w:rPr>
                <w:color w:val="000000" w:themeColor="text1"/>
                <w:sz w:val="10"/>
                <w:szCs w:val="10"/>
              </w:rPr>
              <w:t>Three of the four clinical findings assessed (decayed missing and filled teeth, decayed filled proximal surface and initially delayed proximal surfaces) values were significantly higher in all groups for tobacco users [as an overall group] and for conventional cigarette smokers and snus users compared to those who used no form of tobacco. For decayed proximal surfaces</w:t>
            </w:r>
            <w:r w:rsidR="000F53F1">
              <w:rPr>
                <w:color w:val="000000" w:themeColor="text1"/>
                <w:sz w:val="10"/>
                <w:szCs w:val="10"/>
              </w:rPr>
              <w:t xml:space="preserve"> [the fourth end-point assessed]</w:t>
            </w:r>
            <w:r>
              <w:rPr>
                <w:color w:val="000000" w:themeColor="text1"/>
                <w:sz w:val="10"/>
                <w:szCs w:val="10"/>
              </w:rPr>
              <w:t>, values for significantly higher for tobacco users [as an overall group] only when compared to those who used no form of tobacco.</w:t>
            </w:r>
          </w:p>
        </w:tc>
        <w:tc>
          <w:tcPr>
            <w:tcW w:w="1991" w:type="dxa"/>
            <w:vAlign w:val="center"/>
          </w:tcPr>
          <w:p w14:paraId="20DEFC17" w14:textId="6CE77FB2" w:rsidR="00EE5199" w:rsidRPr="0050521E" w:rsidRDefault="000F53F1" w:rsidP="000F53F1">
            <w:pPr>
              <w:jc w:val="center"/>
              <w:rPr>
                <w:color w:val="000000" w:themeColor="text1"/>
                <w:sz w:val="10"/>
                <w:szCs w:val="10"/>
              </w:rPr>
            </w:pPr>
            <w:r>
              <w:rPr>
                <w:color w:val="000000" w:themeColor="text1"/>
                <w:sz w:val="10"/>
                <w:szCs w:val="10"/>
              </w:rPr>
              <w:t>N/A</w:t>
            </w:r>
          </w:p>
        </w:tc>
        <w:tc>
          <w:tcPr>
            <w:tcW w:w="2325" w:type="dxa"/>
            <w:vAlign w:val="center"/>
          </w:tcPr>
          <w:p w14:paraId="2579CB9C" w14:textId="2BC56DE7" w:rsidR="00EE5199" w:rsidRDefault="000F53F1" w:rsidP="000F53F1">
            <w:pPr>
              <w:jc w:val="both"/>
              <w:rPr>
                <w:sz w:val="10"/>
                <w:szCs w:val="10"/>
              </w:rPr>
            </w:pPr>
            <w:r>
              <w:rPr>
                <w:sz w:val="10"/>
                <w:szCs w:val="10"/>
              </w:rPr>
              <w:t>2 [statistical assessment missing with regard to snus use for all groups other than for seventeen year -olds]</w:t>
            </w:r>
          </w:p>
        </w:tc>
      </w:tr>
      <w:tr w:rsidR="004C34C3" w14:paraId="0F7E0E2C" w14:textId="77777777" w:rsidTr="00FB1E75">
        <w:tc>
          <w:tcPr>
            <w:tcW w:w="2830" w:type="dxa"/>
            <w:vMerge w:val="restart"/>
            <w:vAlign w:val="center"/>
          </w:tcPr>
          <w:p w14:paraId="4A8AF814" w14:textId="0293A47E" w:rsidR="004C34C3" w:rsidRPr="00387A5A" w:rsidRDefault="004C34C3" w:rsidP="004C34C3">
            <w:pPr>
              <w:jc w:val="center"/>
              <w:rPr>
                <w:color w:val="000000" w:themeColor="text1"/>
                <w:sz w:val="10"/>
                <w:szCs w:val="10"/>
                <w:vertAlign w:val="superscript"/>
              </w:rPr>
            </w:pPr>
            <w:r>
              <w:rPr>
                <w:color w:val="FF0000"/>
                <w:sz w:val="10"/>
                <w:szCs w:val="10"/>
              </w:rPr>
              <w:t xml:space="preserve">Rolandsson et al., 2005 [ref. </w:t>
            </w:r>
            <w:r w:rsidR="0040401F">
              <w:rPr>
                <w:color w:val="FF0000"/>
                <w:sz w:val="10"/>
                <w:szCs w:val="10"/>
              </w:rPr>
              <w:t>91</w:t>
            </w:r>
            <w:r>
              <w:rPr>
                <w:color w:val="FF0000"/>
                <w:sz w:val="10"/>
                <w:szCs w:val="10"/>
              </w:rPr>
              <w:t>]</w:t>
            </w:r>
          </w:p>
        </w:tc>
        <w:tc>
          <w:tcPr>
            <w:tcW w:w="1701" w:type="dxa"/>
            <w:vAlign w:val="center"/>
          </w:tcPr>
          <w:p w14:paraId="505BFCCB" w14:textId="5BE5169E" w:rsidR="004C34C3" w:rsidRDefault="004C34C3" w:rsidP="004C34C3">
            <w:pPr>
              <w:jc w:val="center"/>
              <w:rPr>
                <w:sz w:val="10"/>
                <w:szCs w:val="10"/>
              </w:rPr>
            </w:pPr>
            <w:r>
              <w:rPr>
                <w:b/>
                <w:sz w:val="10"/>
                <w:szCs w:val="10"/>
              </w:rPr>
              <w:t>End-point</w:t>
            </w:r>
          </w:p>
        </w:tc>
        <w:tc>
          <w:tcPr>
            <w:tcW w:w="1985" w:type="dxa"/>
            <w:vAlign w:val="center"/>
          </w:tcPr>
          <w:p w14:paraId="73FDD64E" w14:textId="7EA18F0D" w:rsidR="004C34C3" w:rsidRPr="00972794" w:rsidRDefault="004C34C3" w:rsidP="004C34C3">
            <w:pPr>
              <w:jc w:val="center"/>
              <w:rPr>
                <w:b/>
                <w:sz w:val="10"/>
                <w:szCs w:val="10"/>
              </w:rPr>
            </w:pPr>
            <w:r w:rsidRPr="0040458D">
              <w:rPr>
                <w:b/>
                <w:color w:val="000000" w:themeColor="text1"/>
                <w:sz w:val="10"/>
                <w:szCs w:val="10"/>
              </w:rPr>
              <w:t xml:space="preserve">Number of </w:t>
            </w:r>
            <w:r>
              <w:rPr>
                <w:b/>
                <w:color w:val="000000" w:themeColor="text1"/>
                <w:sz w:val="10"/>
                <w:szCs w:val="10"/>
              </w:rPr>
              <w:t>subjects</w:t>
            </w:r>
          </w:p>
        </w:tc>
        <w:tc>
          <w:tcPr>
            <w:tcW w:w="3118" w:type="dxa"/>
            <w:vAlign w:val="center"/>
          </w:tcPr>
          <w:p w14:paraId="6C135104" w14:textId="16F9D5E5" w:rsidR="004C34C3" w:rsidRPr="00972794" w:rsidRDefault="004C34C3" w:rsidP="004C34C3">
            <w:pPr>
              <w:jc w:val="center"/>
              <w:rPr>
                <w:b/>
                <w:sz w:val="10"/>
                <w:szCs w:val="10"/>
              </w:rPr>
            </w:pPr>
            <w:r>
              <w:rPr>
                <w:b/>
                <w:color w:val="000000" w:themeColor="text1"/>
                <w:sz w:val="10"/>
                <w:szCs w:val="10"/>
              </w:rPr>
              <w:t>Clinical Findings</w:t>
            </w:r>
          </w:p>
        </w:tc>
        <w:tc>
          <w:tcPr>
            <w:tcW w:w="1991" w:type="dxa"/>
            <w:vAlign w:val="center"/>
          </w:tcPr>
          <w:p w14:paraId="3C17E8D6" w14:textId="098F6286" w:rsidR="004C34C3" w:rsidRPr="00972794" w:rsidRDefault="004C34C3" w:rsidP="004C34C3">
            <w:pPr>
              <w:jc w:val="center"/>
              <w:rPr>
                <w:b/>
                <w:sz w:val="10"/>
                <w:szCs w:val="10"/>
              </w:rPr>
            </w:pPr>
            <w:r w:rsidRPr="0040458D">
              <w:rPr>
                <w:b/>
                <w:color w:val="000000" w:themeColor="text1"/>
                <w:sz w:val="10"/>
                <w:szCs w:val="10"/>
              </w:rPr>
              <w:t>95% Confidence Interval</w:t>
            </w:r>
          </w:p>
        </w:tc>
        <w:tc>
          <w:tcPr>
            <w:tcW w:w="2325" w:type="dxa"/>
          </w:tcPr>
          <w:p w14:paraId="5CC36839" w14:textId="77777777" w:rsidR="004C34C3" w:rsidRPr="0006771D" w:rsidRDefault="004C34C3" w:rsidP="004C34C3">
            <w:pPr>
              <w:jc w:val="center"/>
              <w:rPr>
                <w:b/>
                <w:sz w:val="10"/>
                <w:szCs w:val="10"/>
              </w:rPr>
            </w:pPr>
            <w:r w:rsidRPr="0006771D">
              <w:rPr>
                <w:b/>
                <w:sz w:val="10"/>
                <w:szCs w:val="10"/>
              </w:rPr>
              <w:t>Scoring assessment of quality of the study</w:t>
            </w:r>
          </w:p>
          <w:p w14:paraId="7C4C203F" w14:textId="4F823FBA" w:rsidR="004C34C3" w:rsidRPr="0006771D" w:rsidRDefault="004C34C3" w:rsidP="004C34C3">
            <w:pPr>
              <w:jc w:val="center"/>
              <w:rPr>
                <w:b/>
                <w:sz w:val="10"/>
                <w:szCs w:val="10"/>
              </w:rPr>
            </w:pPr>
            <w:r w:rsidRPr="0006771D">
              <w:rPr>
                <w:b/>
                <w:sz w:val="10"/>
                <w:szCs w:val="10"/>
              </w:rPr>
              <w:t>(based on assessment using the Klimisch Score</w:t>
            </w:r>
            <w:r>
              <w:rPr>
                <w:b/>
                <w:sz w:val="10"/>
                <w:szCs w:val="10"/>
              </w:rPr>
              <w:t>)</w:t>
            </w:r>
          </w:p>
        </w:tc>
      </w:tr>
      <w:tr w:rsidR="004C34C3" w14:paraId="4F2649F1" w14:textId="77777777" w:rsidTr="005022A2">
        <w:tc>
          <w:tcPr>
            <w:tcW w:w="2830" w:type="dxa"/>
            <w:vMerge/>
            <w:vAlign w:val="center"/>
          </w:tcPr>
          <w:p w14:paraId="62E69D56" w14:textId="77777777" w:rsidR="004C34C3" w:rsidRDefault="004C34C3" w:rsidP="004C34C3">
            <w:pPr>
              <w:jc w:val="center"/>
              <w:rPr>
                <w:color w:val="FF0000"/>
                <w:sz w:val="10"/>
                <w:szCs w:val="10"/>
              </w:rPr>
            </w:pPr>
          </w:p>
        </w:tc>
        <w:tc>
          <w:tcPr>
            <w:tcW w:w="1701" w:type="dxa"/>
            <w:vAlign w:val="center"/>
          </w:tcPr>
          <w:p w14:paraId="442EE8EC" w14:textId="52D3A76C" w:rsidR="004C34C3" w:rsidRDefault="004C34C3" w:rsidP="004C34C3">
            <w:pPr>
              <w:jc w:val="both"/>
              <w:rPr>
                <w:sz w:val="10"/>
                <w:szCs w:val="10"/>
              </w:rPr>
            </w:pPr>
            <w:r>
              <w:rPr>
                <w:sz w:val="10"/>
                <w:szCs w:val="10"/>
              </w:rPr>
              <w:t>Clinical assessment of snus associated lesions and general dental health including gingival recession</w:t>
            </w:r>
          </w:p>
        </w:tc>
        <w:tc>
          <w:tcPr>
            <w:tcW w:w="1985" w:type="dxa"/>
            <w:vAlign w:val="center"/>
          </w:tcPr>
          <w:p w14:paraId="56AA892A" w14:textId="1CCAC6CF" w:rsidR="004C34C3" w:rsidRPr="0040458D" w:rsidRDefault="004C34C3" w:rsidP="004C34C3">
            <w:pPr>
              <w:jc w:val="center"/>
              <w:rPr>
                <w:b/>
                <w:color w:val="000000" w:themeColor="text1"/>
                <w:sz w:val="10"/>
                <w:szCs w:val="10"/>
              </w:rPr>
            </w:pPr>
            <w:r w:rsidRPr="007D6AC7">
              <w:rPr>
                <w:color w:val="000000" w:themeColor="text1"/>
                <w:sz w:val="10"/>
                <w:szCs w:val="10"/>
              </w:rPr>
              <w:t>All subjects (n=80); Adolescent males aged 16 to 25 years. 40 snus users, 40 non-users.</w:t>
            </w:r>
          </w:p>
        </w:tc>
        <w:tc>
          <w:tcPr>
            <w:tcW w:w="3118" w:type="dxa"/>
          </w:tcPr>
          <w:p w14:paraId="675CEB85" w14:textId="2A39AE3F" w:rsidR="004C34C3" w:rsidRPr="00C41D84" w:rsidRDefault="004C34C3" w:rsidP="004C34C3">
            <w:pPr>
              <w:jc w:val="both"/>
              <w:rPr>
                <w:color w:val="000000" w:themeColor="text1"/>
                <w:sz w:val="10"/>
                <w:szCs w:val="10"/>
              </w:rPr>
            </w:pPr>
            <w:r w:rsidRPr="007D6AC7">
              <w:rPr>
                <w:rFonts w:cs="Times New Roman"/>
                <w:sz w:val="10"/>
                <w:szCs w:val="10"/>
                <w:lang w:val="en-US"/>
              </w:rPr>
              <w:t>Of</w:t>
            </w:r>
            <w:r>
              <w:rPr>
                <w:rFonts w:cs="Times New Roman"/>
                <w:sz w:val="10"/>
                <w:szCs w:val="10"/>
                <w:lang w:val="en-US"/>
              </w:rPr>
              <w:t xml:space="preserve"> the</w:t>
            </w:r>
            <w:r w:rsidRPr="007D6AC7">
              <w:rPr>
                <w:rFonts w:cs="Times New Roman"/>
                <w:sz w:val="10"/>
                <w:szCs w:val="10"/>
                <w:lang w:val="en-US"/>
              </w:rPr>
              <w:t xml:space="preserve"> </w:t>
            </w:r>
            <w:r>
              <w:rPr>
                <w:rFonts w:cs="Times New Roman"/>
                <w:sz w:val="10"/>
                <w:szCs w:val="10"/>
                <w:lang w:val="en-US"/>
              </w:rPr>
              <w:t>forty</w:t>
            </w:r>
            <w:r w:rsidRPr="007D6AC7">
              <w:rPr>
                <w:rFonts w:cs="Times New Roman"/>
                <w:sz w:val="10"/>
                <w:szCs w:val="10"/>
                <w:lang w:val="en-US"/>
              </w:rPr>
              <w:t xml:space="preserve"> snu</w:t>
            </w:r>
            <w:r>
              <w:rPr>
                <w:rFonts w:cs="Times New Roman"/>
                <w:sz w:val="10"/>
                <w:szCs w:val="10"/>
                <w:lang w:val="en-US"/>
              </w:rPr>
              <w:t>s</w:t>
            </w:r>
            <w:r w:rsidRPr="007D6AC7">
              <w:rPr>
                <w:rFonts w:cs="Times New Roman"/>
                <w:sz w:val="10"/>
                <w:szCs w:val="10"/>
                <w:lang w:val="en-US"/>
              </w:rPr>
              <w:t xml:space="preserve"> users, 35 showed snu</w:t>
            </w:r>
            <w:r>
              <w:rPr>
                <w:rFonts w:cs="Times New Roman"/>
                <w:sz w:val="10"/>
                <w:szCs w:val="10"/>
                <w:lang w:val="en-US"/>
              </w:rPr>
              <w:t>s</w:t>
            </w:r>
            <w:r w:rsidRPr="007D6AC7">
              <w:rPr>
                <w:rFonts w:cs="Times New Roman"/>
                <w:sz w:val="10"/>
                <w:szCs w:val="10"/>
                <w:lang w:val="en-US"/>
              </w:rPr>
              <w:t xml:space="preserve"> i</w:t>
            </w:r>
            <w:r>
              <w:rPr>
                <w:rFonts w:cs="Times New Roman"/>
                <w:sz w:val="10"/>
                <w:szCs w:val="10"/>
                <w:lang w:val="en-US"/>
              </w:rPr>
              <w:t>nduc</w:t>
            </w:r>
            <w:r w:rsidRPr="007D6AC7">
              <w:rPr>
                <w:rFonts w:cs="Times New Roman"/>
                <w:sz w:val="10"/>
                <w:szCs w:val="10"/>
                <w:lang w:val="en-US"/>
              </w:rPr>
              <w:t>ed lesions. The clinical diagnosis of snu</w:t>
            </w:r>
            <w:r>
              <w:rPr>
                <w:rFonts w:cs="Times New Roman"/>
                <w:sz w:val="10"/>
                <w:szCs w:val="10"/>
                <w:lang w:val="en-US"/>
              </w:rPr>
              <w:t>s</w:t>
            </w:r>
            <w:r w:rsidRPr="007D6AC7">
              <w:rPr>
                <w:rFonts w:cs="Times New Roman"/>
                <w:sz w:val="10"/>
                <w:szCs w:val="10"/>
                <w:lang w:val="en-US"/>
              </w:rPr>
              <w:t xml:space="preserve"> users’</w:t>
            </w:r>
            <w:r>
              <w:rPr>
                <w:rFonts w:cs="Times New Roman"/>
                <w:sz w:val="10"/>
                <w:szCs w:val="10"/>
                <w:lang w:val="en-US"/>
              </w:rPr>
              <w:t xml:space="preserve"> </w:t>
            </w:r>
            <w:r w:rsidRPr="007D6AC7">
              <w:rPr>
                <w:rFonts w:cs="Times New Roman"/>
                <w:sz w:val="10"/>
                <w:szCs w:val="10"/>
                <w:lang w:val="en-US"/>
              </w:rPr>
              <w:t>mucosa showed snu</w:t>
            </w:r>
            <w:r>
              <w:rPr>
                <w:rFonts w:cs="Times New Roman"/>
                <w:sz w:val="10"/>
                <w:szCs w:val="10"/>
                <w:lang w:val="en-US"/>
              </w:rPr>
              <w:t xml:space="preserve">s </w:t>
            </w:r>
            <w:r w:rsidRPr="007D6AC7">
              <w:rPr>
                <w:rFonts w:cs="Times New Roman"/>
                <w:sz w:val="10"/>
                <w:szCs w:val="10"/>
                <w:lang w:val="en-US"/>
              </w:rPr>
              <w:t>lesions of different severity clinically classified as degree 1, 2 and 3. When</w:t>
            </w:r>
            <w:r>
              <w:rPr>
                <w:rFonts w:cs="Times New Roman"/>
                <w:sz w:val="10"/>
                <w:szCs w:val="10"/>
                <w:lang w:val="en-US"/>
              </w:rPr>
              <w:t xml:space="preserve"> analysing</w:t>
            </w:r>
            <w:r w:rsidRPr="007D6AC7">
              <w:rPr>
                <w:rFonts w:cs="Times New Roman"/>
                <w:sz w:val="10"/>
                <w:szCs w:val="10"/>
                <w:lang w:val="en-US"/>
              </w:rPr>
              <w:t xml:space="preserve"> snu</w:t>
            </w:r>
            <w:r>
              <w:rPr>
                <w:rFonts w:cs="Times New Roman"/>
                <w:sz w:val="10"/>
                <w:szCs w:val="10"/>
                <w:lang w:val="en-US"/>
              </w:rPr>
              <w:t>s</w:t>
            </w:r>
            <w:r w:rsidRPr="007D6AC7">
              <w:rPr>
                <w:rFonts w:cs="Times New Roman"/>
                <w:sz w:val="10"/>
                <w:szCs w:val="10"/>
                <w:lang w:val="en-US"/>
              </w:rPr>
              <w:t xml:space="preserve"> lesions of degree</w:t>
            </w:r>
            <w:r>
              <w:rPr>
                <w:rFonts w:cs="Times New Roman"/>
                <w:sz w:val="10"/>
                <w:szCs w:val="10"/>
                <w:lang w:val="en-US"/>
              </w:rPr>
              <w:t>s</w:t>
            </w:r>
            <w:r w:rsidRPr="007D6AC7">
              <w:rPr>
                <w:rFonts w:cs="Times New Roman"/>
                <w:sz w:val="10"/>
                <w:szCs w:val="10"/>
                <w:lang w:val="en-US"/>
              </w:rPr>
              <w:t xml:space="preserve"> 2 and 3, hours of daily snu</w:t>
            </w:r>
            <w:r>
              <w:rPr>
                <w:rFonts w:cs="Times New Roman"/>
                <w:sz w:val="10"/>
                <w:szCs w:val="10"/>
                <w:lang w:val="en-US"/>
              </w:rPr>
              <w:t>s</w:t>
            </w:r>
            <w:r w:rsidRPr="007D6AC7">
              <w:rPr>
                <w:rFonts w:cs="Times New Roman"/>
                <w:sz w:val="10"/>
                <w:szCs w:val="10"/>
                <w:lang w:val="en-US"/>
              </w:rPr>
              <w:t xml:space="preserve"> use and package form (portion-bag snu</w:t>
            </w:r>
            <w:r>
              <w:rPr>
                <w:rFonts w:cs="Times New Roman"/>
                <w:sz w:val="10"/>
                <w:szCs w:val="10"/>
                <w:lang w:val="en-US"/>
              </w:rPr>
              <w:t xml:space="preserve">s </w:t>
            </w:r>
            <w:r w:rsidRPr="007D6AC7">
              <w:rPr>
                <w:rFonts w:cs="Times New Roman"/>
                <w:sz w:val="10"/>
                <w:szCs w:val="10"/>
                <w:lang w:val="en-US"/>
              </w:rPr>
              <w:t>versus loose snu</w:t>
            </w:r>
            <w:r>
              <w:rPr>
                <w:rFonts w:cs="Times New Roman"/>
                <w:sz w:val="10"/>
                <w:szCs w:val="10"/>
                <w:lang w:val="en-US"/>
              </w:rPr>
              <w:t>s</w:t>
            </w:r>
            <w:r w:rsidRPr="007D6AC7">
              <w:rPr>
                <w:rFonts w:cs="Times New Roman"/>
                <w:sz w:val="10"/>
                <w:szCs w:val="10"/>
                <w:lang w:val="en-US"/>
              </w:rPr>
              <w:t>) was statistically significant. There were no statistical differences between snu</w:t>
            </w:r>
            <w:r>
              <w:rPr>
                <w:rFonts w:cs="Times New Roman"/>
                <w:sz w:val="10"/>
                <w:szCs w:val="10"/>
                <w:lang w:val="en-US"/>
              </w:rPr>
              <w:t xml:space="preserve">s </w:t>
            </w:r>
            <w:r w:rsidRPr="007D6AC7">
              <w:rPr>
                <w:rFonts w:cs="Times New Roman"/>
                <w:sz w:val="10"/>
                <w:szCs w:val="10"/>
                <w:lang w:val="en-US"/>
              </w:rPr>
              <w:t>users and non-users regarding restored tooth surfaces, presence of plaque, gingival inflammation and</w:t>
            </w:r>
            <w:r>
              <w:rPr>
                <w:rFonts w:cs="Times New Roman"/>
                <w:sz w:val="10"/>
                <w:szCs w:val="10"/>
                <w:lang w:val="en-US"/>
              </w:rPr>
              <w:t xml:space="preserve"> </w:t>
            </w:r>
            <w:r w:rsidRPr="007D6AC7">
              <w:rPr>
                <w:rFonts w:cs="Times New Roman"/>
                <w:sz w:val="10"/>
                <w:szCs w:val="10"/>
                <w:lang w:val="en-US"/>
              </w:rPr>
              <w:t>probing pocket depth. Seventeen percent of the cases showed loss of periodontal attachment as gingival</w:t>
            </w:r>
            <w:r>
              <w:rPr>
                <w:rFonts w:cs="Times New Roman"/>
                <w:sz w:val="10"/>
                <w:szCs w:val="10"/>
                <w:lang w:val="en-US"/>
              </w:rPr>
              <w:t xml:space="preserve"> </w:t>
            </w:r>
            <w:r w:rsidRPr="007D6AC7">
              <w:rPr>
                <w:rFonts w:cs="Times New Roman"/>
                <w:sz w:val="10"/>
                <w:szCs w:val="10"/>
                <w:lang w:val="en-US"/>
              </w:rPr>
              <w:t>recessions.</w:t>
            </w:r>
          </w:p>
        </w:tc>
        <w:tc>
          <w:tcPr>
            <w:tcW w:w="1991" w:type="dxa"/>
            <w:vAlign w:val="center"/>
          </w:tcPr>
          <w:p w14:paraId="72C4304B" w14:textId="01DE5F76" w:rsidR="004C34C3" w:rsidRPr="00C41D84" w:rsidRDefault="004C34C3" w:rsidP="004C34C3">
            <w:pPr>
              <w:jc w:val="center"/>
              <w:rPr>
                <w:color w:val="000000" w:themeColor="text1"/>
                <w:sz w:val="10"/>
                <w:szCs w:val="10"/>
              </w:rPr>
            </w:pPr>
            <w:r w:rsidRPr="007D6AC7">
              <w:rPr>
                <w:color w:val="000000" w:themeColor="text1"/>
                <w:sz w:val="10"/>
                <w:szCs w:val="10"/>
              </w:rPr>
              <w:t>N/A</w:t>
            </w:r>
          </w:p>
        </w:tc>
        <w:tc>
          <w:tcPr>
            <w:tcW w:w="2325" w:type="dxa"/>
            <w:vAlign w:val="center"/>
          </w:tcPr>
          <w:p w14:paraId="6B7DAB6C" w14:textId="4B00EAAA" w:rsidR="004C34C3" w:rsidRPr="0006771D" w:rsidRDefault="004C34C3" w:rsidP="004C34C3">
            <w:pPr>
              <w:jc w:val="center"/>
              <w:rPr>
                <w:b/>
                <w:sz w:val="10"/>
                <w:szCs w:val="10"/>
              </w:rPr>
            </w:pPr>
            <w:r w:rsidRPr="007D6AC7">
              <w:rPr>
                <w:sz w:val="10"/>
                <w:szCs w:val="10"/>
              </w:rPr>
              <w:t>1</w:t>
            </w:r>
          </w:p>
        </w:tc>
      </w:tr>
      <w:tr w:rsidR="004C34C3" w14:paraId="67AB9AB4" w14:textId="77777777" w:rsidTr="00FB1E75">
        <w:tc>
          <w:tcPr>
            <w:tcW w:w="2830" w:type="dxa"/>
            <w:vMerge w:val="restart"/>
            <w:vAlign w:val="center"/>
          </w:tcPr>
          <w:p w14:paraId="7E44C038" w14:textId="086545A7" w:rsidR="004C34C3" w:rsidRDefault="004C34C3" w:rsidP="004C34C3">
            <w:pPr>
              <w:jc w:val="center"/>
              <w:rPr>
                <w:color w:val="FF0000"/>
                <w:sz w:val="10"/>
                <w:szCs w:val="10"/>
              </w:rPr>
            </w:pPr>
            <w:r>
              <w:rPr>
                <w:color w:val="FF0000"/>
                <w:sz w:val="10"/>
                <w:szCs w:val="10"/>
              </w:rPr>
              <w:t>Hugoson et al., 2012 [ref. 9</w:t>
            </w:r>
            <w:r w:rsidR="0040401F">
              <w:rPr>
                <w:color w:val="FF0000"/>
                <w:sz w:val="10"/>
                <w:szCs w:val="10"/>
              </w:rPr>
              <w:t>8</w:t>
            </w:r>
            <w:r>
              <w:rPr>
                <w:color w:val="FF0000"/>
                <w:sz w:val="10"/>
                <w:szCs w:val="10"/>
              </w:rPr>
              <w:t>]</w:t>
            </w:r>
          </w:p>
        </w:tc>
        <w:tc>
          <w:tcPr>
            <w:tcW w:w="1701" w:type="dxa"/>
            <w:vAlign w:val="center"/>
          </w:tcPr>
          <w:p w14:paraId="2E8F28E5" w14:textId="5951F01D" w:rsidR="004C34C3" w:rsidRPr="00FB1E75" w:rsidRDefault="004C34C3" w:rsidP="004C34C3">
            <w:pPr>
              <w:jc w:val="center"/>
              <w:rPr>
                <w:b/>
                <w:sz w:val="10"/>
                <w:szCs w:val="10"/>
              </w:rPr>
            </w:pPr>
            <w:r w:rsidRPr="00FB1E75">
              <w:rPr>
                <w:b/>
                <w:sz w:val="10"/>
                <w:szCs w:val="10"/>
              </w:rPr>
              <w:t>End-point</w:t>
            </w:r>
          </w:p>
        </w:tc>
        <w:tc>
          <w:tcPr>
            <w:tcW w:w="1985" w:type="dxa"/>
            <w:vAlign w:val="center"/>
          </w:tcPr>
          <w:p w14:paraId="4520991B" w14:textId="727A3051" w:rsidR="004C34C3" w:rsidRPr="0040458D" w:rsidRDefault="004C34C3" w:rsidP="004C34C3">
            <w:pPr>
              <w:jc w:val="center"/>
              <w:rPr>
                <w:b/>
                <w:color w:val="000000" w:themeColor="text1"/>
                <w:sz w:val="10"/>
                <w:szCs w:val="10"/>
              </w:rPr>
            </w:pPr>
            <w:r w:rsidRPr="0040458D">
              <w:rPr>
                <w:b/>
                <w:color w:val="000000" w:themeColor="text1"/>
                <w:sz w:val="10"/>
                <w:szCs w:val="10"/>
              </w:rPr>
              <w:t xml:space="preserve">Number of </w:t>
            </w:r>
            <w:r>
              <w:rPr>
                <w:b/>
                <w:color w:val="000000" w:themeColor="text1"/>
                <w:sz w:val="10"/>
                <w:szCs w:val="10"/>
              </w:rPr>
              <w:t>subjects</w:t>
            </w:r>
          </w:p>
        </w:tc>
        <w:tc>
          <w:tcPr>
            <w:tcW w:w="3118" w:type="dxa"/>
            <w:vAlign w:val="center"/>
          </w:tcPr>
          <w:p w14:paraId="0E9E7854" w14:textId="797A6315" w:rsidR="004C34C3" w:rsidRPr="00C41D84" w:rsidRDefault="004C34C3" w:rsidP="004C34C3">
            <w:pPr>
              <w:jc w:val="center"/>
              <w:rPr>
                <w:color w:val="000000" w:themeColor="text1"/>
                <w:sz w:val="10"/>
                <w:szCs w:val="10"/>
              </w:rPr>
            </w:pPr>
            <w:r>
              <w:rPr>
                <w:b/>
                <w:color w:val="000000" w:themeColor="text1"/>
                <w:sz w:val="10"/>
                <w:szCs w:val="10"/>
              </w:rPr>
              <w:t>Clinical Findings</w:t>
            </w:r>
          </w:p>
        </w:tc>
        <w:tc>
          <w:tcPr>
            <w:tcW w:w="1991" w:type="dxa"/>
            <w:vAlign w:val="center"/>
          </w:tcPr>
          <w:p w14:paraId="707AE7FC" w14:textId="29020FC7" w:rsidR="004C34C3" w:rsidRPr="00C41D84" w:rsidRDefault="004C34C3" w:rsidP="004C34C3">
            <w:pPr>
              <w:jc w:val="center"/>
              <w:rPr>
                <w:color w:val="000000" w:themeColor="text1"/>
                <w:sz w:val="10"/>
                <w:szCs w:val="10"/>
              </w:rPr>
            </w:pPr>
            <w:r w:rsidRPr="0040458D">
              <w:rPr>
                <w:b/>
                <w:color w:val="000000" w:themeColor="text1"/>
                <w:sz w:val="10"/>
                <w:szCs w:val="10"/>
              </w:rPr>
              <w:t>95% Confidence Interval</w:t>
            </w:r>
          </w:p>
        </w:tc>
        <w:tc>
          <w:tcPr>
            <w:tcW w:w="2325" w:type="dxa"/>
          </w:tcPr>
          <w:p w14:paraId="4F241697" w14:textId="77777777" w:rsidR="004C34C3" w:rsidRPr="0006771D" w:rsidRDefault="004C34C3" w:rsidP="004C34C3">
            <w:pPr>
              <w:jc w:val="center"/>
              <w:rPr>
                <w:b/>
                <w:sz w:val="10"/>
                <w:szCs w:val="10"/>
              </w:rPr>
            </w:pPr>
            <w:r w:rsidRPr="0006771D">
              <w:rPr>
                <w:b/>
                <w:sz w:val="10"/>
                <w:szCs w:val="10"/>
              </w:rPr>
              <w:t>Scoring assessment of quality of the study</w:t>
            </w:r>
          </w:p>
          <w:p w14:paraId="3622949A" w14:textId="36837BC4" w:rsidR="004C34C3" w:rsidRPr="0006771D" w:rsidRDefault="004C34C3" w:rsidP="004C34C3">
            <w:pPr>
              <w:jc w:val="center"/>
              <w:rPr>
                <w:b/>
                <w:sz w:val="10"/>
                <w:szCs w:val="10"/>
              </w:rPr>
            </w:pPr>
            <w:r w:rsidRPr="0006771D">
              <w:rPr>
                <w:b/>
                <w:sz w:val="10"/>
                <w:szCs w:val="10"/>
              </w:rPr>
              <w:t>(based on assessment using the Klimisch Score</w:t>
            </w:r>
            <w:r>
              <w:rPr>
                <w:b/>
                <w:sz w:val="10"/>
                <w:szCs w:val="10"/>
              </w:rPr>
              <w:t>)</w:t>
            </w:r>
          </w:p>
        </w:tc>
      </w:tr>
      <w:tr w:rsidR="004C34C3" w14:paraId="0BCD2779" w14:textId="77777777" w:rsidTr="00FB1E75">
        <w:tc>
          <w:tcPr>
            <w:tcW w:w="2830" w:type="dxa"/>
            <w:vMerge/>
            <w:vAlign w:val="center"/>
          </w:tcPr>
          <w:p w14:paraId="3D5AE586" w14:textId="77777777" w:rsidR="004C34C3" w:rsidRDefault="004C34C3" w:rsidP="004C34C3">
            <w:pPr>
              <w:jc w:val="center"/>
              <w:rPr>
                <w:color w:val="FF0000"/>
                <w:sz w:val="10"/>
                <w:szCs w:val="10"/>
              </w:rPr>
            </w:pPr>
          </w:p>
        </w:tc>
        <w:tc>
          <w:tcPr>
            <w:tcW w:w="1701" w:type="dxa"/>
            <w:vAlign w:val="center"/>
          </w:tcPr>
          <w:p w14:paraId="6324225D" w14:textId="268F299B" w:rsidR="004C34C3" w:rsidRDefault="004C34C3" w:rsidP="004C34C3">
            <w:pPr>
              <w:jc w:val="center"/>
              <w:rPr>
                <w:sz w:val="10"/>
                <w:szCs w:val="10"/>
              </w:rPr>
            </w:pPr>
            <w:r>
              <w:rPr>
                <w:sz w:val="10"/>
                <w:szCs w:val="10"/>
              </w:rPr>
              <w:t>Dental Caries</w:t>
            </w:r>
          </w:p>
        </w:tc>
        <w:tc>
          <w:tcPr>
            <w:tcW w:w="1985" w:type="dxa"/>
          </w:tcPr>
          <w:p w14:paraId="7C473E12" w14:textId="3D748FBB" w:rsidR="004C34C3" w:rsidRPr="00FB1E75" w:rsidRDefault="004C34C3" w:rsidP="004C34C3">
            <w:pPr>
              <w:jc w:val="both"/>
              <w:rPr>
                <w:color w:val="000000" w:themeColor="text1"/>
                <w:sz w:val="10"/>
                <w:szCs w:val="10"/>
              </w:rPr>
            </w:pPr>
            <w:r w:rsidRPr="00FB1E75">
              <w:rPr>
                <w:color w:val="000000" w:themeColor="text1"/>
                <w:sz w:val="10"/>
                <w:szCs w:val="10"/>
              </w:rPr>
              <w:t>Cohort (n=1,591; 1,142 non-users of tobacco; 104 snus users; 345 conventional cigarette smokers)</w:t>
            </w:r>
            <w:r>
              <w:rPr>
                <w:color w:val="000000" w:themeColor="text1"/>
                <w:sz w:val="10"/>
                <w:szCs w:val="10"/>
              </w:rPr>
              <w:t xml:space="preserve"> derived from three cohorts conducted ten years apart.</w:t>
            </w:r>
          </w:p>
        </w:tc>
        <w:tc>
          <w:tcPr>
            <w:tcW w:w="3118" w:type="dxa"/>
          </w:tcPr>
          <w:p w14:paraId="54253525" w14:textId="4055761F" w:rsidR="004C34C3" w:rsidRPr="00C41D84" w:rsidRDefault="004C34C3" w:rsidP="004C34C3">
            <w:pPr>
              <w:jc w:val="both"/>
              <w:rPr>
                <w:color w:val="000000" w:themeColor="text1"/>
                <w:sz w:val="10"/>
                <w:szCs w:val="10"/>
              </w:rPr>
            </w:pPr>
            <w:r>
              <w:rPr>
                <w:color w:val="000000" w:themeColor="text1"/>
                <w:sz w:val="10"/>
                <w:szCs w:val="10"/>
              </w:rPr>
              <w:t>Authors of the original study concluded that “</w:t>
            </w:r>
            <w:r w:rsidRPr="00FB1E75">
              <w:rPr>
                <w:i/>
                <w:color w:val="000000" w:themeColor="text1"/>
                <w:sz w:val="10"/>
                <w:szCs w:val="10"/>
              </w:rPr>
              <w:t>results of this cross-sectional study of three cohorts in 1983, 1993 and 2003 showed that daily smoking or snus does not increase the risk of dental caries in the studies carried out in 1993 and 2003</w:t>
            </w:r>
            <w:r>
              <w:rPr>
                <w:color w:val="000000" w:themeColor="text1"/>
                <w:sz w:val="10"/>
                <w:szCs w:val="10"/>
              </w:rPr>
              <w:t>”.</w:t>
            </w:r>
          </w:p>
        </w:tc>
        <w:tc>
          <w:tcPr>
            <w:tcW w:w="1991" w:type="dxa"/>
            <w:vAlign w:val="center"/>
          </w:tcPr>
          <w:p w14:paraId="3274A8FB" w14:textId="2BADC235" w:rsidR="004C34C3" w:rsidRPr="00FB1E75" w:rsidRDefault="004C34C3" w:rsidP="004C34C3">
            <w:pPr>
              <w:jc w:val="center"/>
              <w:rPr>
                <w:color w:val="000000" w:themeColor="text1"/>
                <w:sz w:val="10"/>
                <w:szCs w:val="10"/>
              </w:rPr>
            </w:pPr>
            <w:r w:rsidRPr="00FB1E75">
              <w:rPr>
                <w:color w:val="000000" w:themeColor="text1"/>
                <w:sz w:val="10"/>
                <w:szCs w:val="10"/>
              </w:rPr>
              <w:t>N/A</w:t>
            </w:r>
          </w:p>
        </w:tc>
        <w:tc>
          <w:tcPr>
            <w:tcW w:w="2325" w:type="dxa"/>
            <w:vAlign w:val="center"/>
          </w:tcPr>
          <w:p w14:paraId="4083652C" w14:textId="763FC145" w:rsidR="004C34C3" w:rsidRPr="00FB1E75" w:rsidRDefault="004C34C3" w:rsidP="004C34C3">
            <w:pPr>
              <w:jc w:val="center"/>
              <w:rPr>
                <w:sz w:val="10"/>
                <w:szCs w:val="10"/>
              </w:rPr>
            </w:pPr>
            <w:r w:rsidRPr="00FB1E75">
              <w:rPr>
                <w:sz w:val="10"/>
                <w:szCs w:val="10"/>
              </w:rPr>
              <w:t>1</w:t>
            </w:r>
          </w:p>
        </w:tc>
      </w:tr>
      <w:tr w:rsidR="004C34C3" w14:paraId="4CE1D059" w14:textId="77777777" w:rsidTr="00FB1E75">
        <w:tc>
          <w:tcPr>
            <w:tcW w:w="2830" w:type="dxa"/>
            <w:vMerge w:val="restart"/>
            <w:vAlign w:val="center"/>
          </w:tcPr>
          <w:p w14:paraId="01CF06F3" w14:textId="66336EFE" w:rsidR="004C34C3" w:rsidRPr="002D4B39" w:rsidRDefault="004C34C3" w:rsidP="004C34C3">
            <w:pPr>
              <w:jc w:val="center"/>
              <w:rPr>
                <w:color w:val="000000" w:themeColor="text1"/>
                <w:sz w:val="10"/>
                <w:szCs w:val="10"/>
                <w:vertAlign w:val="superscript"/>
              </w:rPr>
            </w:pPr>
            <w:r>
              <w:rPr>
                <w:color w:val="FF0000"/>
                <w:sz w:val="10"/>
                <w:szCs w:val="10"/>
              </w:rPr>
              <w:t>Hellqvist et al., 2015 [ref.9</w:t>
            </w:r>
            <w:r w:rsidR="0040401F">
              <w:rPr>
                <w:color w:val="FF0000"/>
                <w:sz w:val="10"/>
                <w:szCs w:val="10"/>
              </w:rPr>
              <w:t>9</w:t>
            </w:r>
            <w:bookmarkStart w:id="0" w:name="_GoBack"/>
            <w:bookmarkEnd w:id="0"/>
            <w:r>
              <w:rPr>
                <w:color w:val="FF0000"/>
                <w:sz w:val="10"/>
                <w:szCs w:val="10"/>
              </w:rPr>
              <w:t>]</w:t>
            </w:r>
            <w:r>
              <w:rPr>
                <w:color w:val="000000" w:themeColor="text1"/>
                <w:sz w:val="10"/>
                <w:szCs w:val="10"/>
                <w:vertAlign w:val="superscript"/>
              </w:rPr>
              <w:t>1</w:t>
            </w:r>
          </w:p>
        </w:tc>
        <w:tc>
          <w:tcPr>
            <w:tcW w:w="1701" w:type="dxa"/>
            <w:vAlign w:val="center"/>
          </w:tcPr>
          <w:p w14:paraId="7E4A5A96" w14:textId="3877ED61" w:rsidR="004C34C3" w:rsidRPr="00E434C4" w:rsidRDefault="004C34C3" w:rsidP="004C34C3">
            <w:pPr>
              <w:jc w:val="center"/>
              <w:rPr>
                <w:b/>
                <w:sz w:val="10"/>
                <w:szCs w:val="10"/>
              </w:rPr>
            </w:pPr>
            <w:r>
              <w:rPr>
                <w:b/>
                <w:sz w:val="10"/>
                <w:szCs w:val="10"/>
              </w:rPr>
              <w:t>End-point</w:t>
            </w:r>
          </w:p>
        </w:tc>
        <w:tc>
          <w:tcPr>
            <w:tcW w:w="1985" w:type="dxa"/>
            <w:vAlign w:val="center"/>
          </w:tcPr>
          <w:p w14:paraId="0582232F" w14:textId="777B35F6" w:rsidR="004C34C3" w:rsidRPr="0040458D" w:rsidRDefault="004C34C3" w:rsidP="004C34C3">
            <w:pPr>
              <w:jc w:val="center"/>
              <w:rPr>
                <w:b/>
                <w:color w:val="000000" w:themeColor="text1"/>
                <w:sz w:val="10"/>
                <w:szCs w:val="10"/>
              </w:rPr>
            </w:pPr>
            <w:r w:rsidRPr="0040458D">
              <w:rPr>
                <w:b/>
                <w:color w:val="000000" w:themeColor="text1"/>
                <w:sz w:val="10"/>
                <w:szCs w:val="10"/>
              </w:rPr>
              <w:t xml:space="preserve">Number of </w:t>
            </w:r>
            <w:r>
              <w:rPr>
                <w:b/>
                <w:color w:val="000000" w:themeColor="text1"/>
                <w:sz w:val="10"/>
                <w:szCs w:val="10"/>
              </w:rPr>
              <w:t>subjects</w:t>
            </w:r>
          </w:p>
        </w:tc>
        <w:tc>
          <w:tcPr>
            <w:tcW w:w="3118" w:type="dxa"/>
            <w:vAlign w:val="center"/>
          </w:tcPr>
          <w:p w14:paraId="6C8C81D6" w14:textId="052776DC" w:rsidR="004C34C3" w:rsidRPr="009243C1" w:rsidRDefault="004C34C3" w:rsidP="004C34C3">
            <w:pPr>
              <w:jc w:val="center"/>
              <w:rPr>
                <w:b/>
                <w:color w:val="000000" w:themeColor="text1"/>
                <w:sz w:val="10"/>
                <w:szCs w:val="10"/>
              </w:rPr>
            </w:pPr>
            <w:r w:rsidRPr="009243C1">
              <w:rPr>
                <w:b/>
                <w:color w:val="000000" w:themeColor="text1"/>
                <w:sz w:val="10"/>
                <w:szCs w:val="10"/>
              </w:rPr>
              <w:t>Clinical Findings</w:t>
            </w:r>
          </w:p>
        </w:tc>
        <w:tc>
          <w:tcPr>
            <w:tcW w:w="1991" w:type="dxa"/>
            <w:vAlign w:val="center"/>
          </w:tcPr>
          <w:p w14:paraId="655DDEAF" w14:textId="17A668ED" w:rsidR="004C34C3" w:rsidRPr="00C41D84" w:rsidRDefault="004C34C3" w:rsidP="004C34C3">
            <w:pPr>
              <w:jc w:val="center"/>
              <w:rPr>
                <w:color w:val="000000" w:themeColor="text1"/>
                <w:sz w:val="10"/>
                <w:szCs w:val="10"/>
              </w:rPr>
            </w:pPr>
            <w:r w:rsidRPr="0040458D">
              <w:rPr>
                <w:b/>
                <w:color w:val="000000" w:themeColor="text1"/>
                <w:sz w:val="10"/>
                <w:szCs w:val="10"/>
              </w:rPr>
              <w:t>95% Confidence Interval</w:t>
            </w:r>
          </w:p>
        </w:tc>
        <w:tc>
          <w:tcPr>
            <w:tcW w:w="2325" w:type="dxa"/>
          </w:tcPr>
          <w:p w14:paraId="66140005" w14:textId="77777777" w:rsidR="004C34C3" w:rsidRPr="0006771D" w:rsidRDefault="004C34C3" w:rsidP="004C34C3">
            <w:pPr>
              <w:jc w:val="center"/>
              <w:rPr>
                <w:b/>
                <w:sz w:val="10"/>
                <w:szCs w:val="10"/>
              </w:rPr>
            </w:pPr>
            <w:r w:rsidRPr="0006771D">
              <w:rPr>
                <w:b/>
                <w:sz w:val="10"/>
                <w:szCs w:val="10"/>
              </w:rPr>
              <w:t>Scoring assessment of quality of the study</w:t>
            </w:r>
          </w:p>
          <w:p w14:paraId="5D34C7CC" w14:textId="2851BB4D" w:rsidR="004C34C3" w:rsidRPr="0006771D" w:rsidRDefault="004C34C3" w:rsidP="004C34C3">
            <w:pPr>
              <w:jc w:val="center"/>
              <w:rPr>
                <w:b/>
                <w:sz w:val="10"/>
                <w:szCs w:val="10"/>
              </w:rPr>
            </w:pPr>
            <w:r w:rsidRPr="0006771D">
              <w:rPr>
                <w:b/>
                <w:sz w:val="10"/>
                <w:szCs w:val="10"/>
              </w:rPr>
              <w:t>(based on assessment using the Klimisch Score</w:t>
            </w:r>
            <w:r>
              <w:rPr>
                <w:b/>
                <w:sz w:val="10"/>
                <w:szCs w:val="10"/>
              </w:rPr>
              <w:t>)</w:t>
            </w:r>
          </w:p>
        </w:tc>
      </w:tr>
      <w:tr w:rsidR="004C34C3" w14:paraId="1A2B2946" w14:textId="77777777" w:rsidTr="00FB1E75">
        <w:tc>
          <w:tcPr>
            <w:tcW w:w="2830" w:type="dxa"/>
            <w:vMerge/>
          </w:tcPr>
          <w:p w14:paraId="0E02CE1C" w14:textId="77777777" w:rsidR="004C34C3" w:rsidRDefault="004C34C3" w:rsidP="004C34C3">
            <w:pPr>
              <w:jc w:val="center"/>
              <w:rPr>
                <w:color w:val="FF0000"/>
                <w:sz w:val="10"/>
                <w:szCs w:val="10"/>
              </w:rPr>
            </w:pPr>
          </w:p>
        </w:tc>
        <w:tc>
          <w:tcPr>
            <w:tcW w:w="1701" w:type="dxa"/>
            <w:vAlign w:val="center"/>
          </w:tcPr>
          <w:p w14:paraId="1CA9D19B" w14:textId="5B4954EB" w:rsidR="004C34C3" w:rsidRDefault="004C34C3" w:rsidP="004C34C3">
            <w:pPr>
              <w:jc w:val="center"/>
              <w:rPr>
                <w:sz w:val="10"/>
                <w:szCs w:val="10"/>
              </w:rPr>
            </w:pPr>
            <w:r>
              <w:rPr>
                <w:sz w:val="10"/>
                <w:szCs w:val="10"/>
              </w:rPr>
              <w:t>Dental Caries</w:t>
            </w:r>
          </w:p>
        </w:tc>
        <w:tc>
          <w:tcPr>
            <w:tcW w:w="1985" w:type="dxa"/>
          </w:tcPr>
          <w:p w14:paraId="39DADB16" w14:textId="2CF45F39" w:rsidR="004C34C3" w:rsidRPr="00FB1E75" w:rsidRDefault="004C34C3" w:rsidP="004C34C3">
            <w:pPr>
              <w:jc w:val="both"/>
              <w:rPr>
                <w:color w:val="000000" w:themeColor="text1"/>
                <w:sz w:val="10"/>
                <w:szCs w:val="10"/>
              </w:rPr>
            </w:pPr>
            <w:r w:rsidRPr="00FB1E75">
              <w:rPr>
                <w:color w:val="000000" w:themeColor="text1"/>
                <w:sz w:val="10"/>
                <w:szCs w:val="10"/>
              </w:rPr>
              <w:t>Snus Users (n=102; aged 26 to 62; habitual users &gt;10 years). Control group (n=101; aged 29 to 61)</w:t>
            </w:r>
          </w:p>
        </w:tc>
        <w:tc>
          <w:tcPr>
            <w:tcW w:w="3118" w:type="dxa"/>
            <w:vAlign w:val="center"/>
          </w:tcPr>
          <w:p w14:paraId="0F38CD38" w14:textId="739F9F3D" w:rsidR="004C34C3" w:rsidRDefault="004C34C3" w:rsidP="004C34C3">
            <w:pPr>
              <w:jc w:val="center"/>
              <w:rPr>
                <w:color w:val="000000" w:themeColor="text1"/>
                <w:sz w:val="10"/>
                <w:szCs w:val="10"/>
              </w:rPr>
            </w:pPr>
            <w:r>
              <w:rPr>
                <w:color w:val="000000" w:themeColor="text1"/>
                <w:sz w:val="10"/>
                <w:szCs w:val="10"/>
              </w:rPr>
              <w:t>Initial Caries (snus users, 3.50±3.83; non-users, 3.00±3.94; p=0.264)</w:t>
            </w:r>
          </w:p>
          <w:p w14:paraId="6851640C" w14:textId="77777777" w:rsidR="004C34C3" w:rsidRDefault="004C34C3" w:rsidP="004C34C3">
            <w:pPr>
              <w:jc w:val="center"/>
              <w:rPr>
                <w:color w:val="000000" w:themeColor="text1"/>
                <w:sz w:val="10"/>
                <w:szCs w:val="10"/>
              </w:rPr>
            </w:pPr>
          </w:p>
          <w:p w14:paraId="1C13A22D" w14:textId="7B26A41F" w:rsidR="004C34C3" w:rsidRPr="00C41D84" w:rsidRDefault="004C34C3" w:rsidP="004C34C3">
            <w:pPr>
              <w:jc w:val="center"/>
              <w:rPr>
                <w:color w:val="000000" w:themeColor="text1"/>
                <w:sz w:val="10"/>
                <w:szCs w:val="10"/>
              </w:rPr>
            </w:pPr>
            <w:r>
              <w:rPr>
                <w:color w:val="000000" w:themeColor="text1"/>
                <w:sz w:val="10"/>
                <w:szCs w:val="10"/>
              </w:rPr>
              <w:t>Manifest caries (snus users, 0.24±0.70; non-users, 0.33±0.78; p=0.406)</w:t>
            </w:r>
          </w:p>
        </w:tc>
        <w:tc>
          <w:tcPr>
            <w:tcW w:w="1991" w:type="dxa"/>
            <w:vAlign w:val="center"/>
          </w:tcPr>
          <w:p w14:paraId="38416141" w14:textId="0669BDE1" w:rsidR="004C34C3" w:rsidRPr="00C41D84" w:rsidRDefault="004C34C3" w:rsidP="004C34C3">
            <w:pPr>
              <w:jc w:val="center"/>
              <w:rPr>
                <w:color w:val="000000" w:themeColor="text1"/>
                <w:sz w:val="10"/>
                <w:szCs w:val="10"/>
              </w:rPr>
            </w:pPr>
            <w:r>
              <w:rPr>
                <w:color w:val="000000" w:themeColor="text1"/>
                <w:sz w:val="10"/>
                <w:szCs w:val="10"/>
              </w:rPr>
              <w:t>N/A</w:t>
            </w:r>
          </w:p>
        </w:tc>
        <w:tc>
          <w:tcPr>
            <w:tcW w:w="2325" w:type="dxa"/>
            <w:vAlign w:val="center"/>
          </w:tcPr>
          <w:p w14:paraId="3F3CCA56" w14:textId="3D51D3D9" w:rsidR="004C34C3" w:rsidRPr="00B744B3" w:rsidRDefault="004C34C3" w:rsidP="004C34C3">
            <w:pPr>
              <w:jc w:val="center"/>
              <w:rPr>
                <w:sz w:val="10"/>
                <w:szCs w:val="10"/>
              </w:rPr>
            </w:pPr>
            <w:r w:rsidRPr="00B744B3">
              <w:rPr>
                <w:sz w:val="10"/>
                <w:szCs w:val="10"/>
              </w:rPr>
              <w:t>1</w:t>
            </w:r>
          </w:p>
        </w:tc>
      </w:tr>
    </w:tbl>
    <w:p w14:paraId="0D728195" w14:textId="3F020BE9" w:rsidR="00482931" w:rsidRPr="00F02213" w:rsidRDefault="00D3305C" w:rsidP="00482931">
      <w:pPr>
        <w:jc w:val="both"/>
        <w:rPr>
          <w:sz w:val="10"/>
          <w:szCs w:val="10"/>
        </w:rPr>
      </w:pPr>
      <w:r w:rsidRPr="00636537">
        <w:rPr>
          <w:b/>
          <w:sz w:val="10"/>
          <w:szCs w:val="10"/>
        </w:rPr>
        <w:t xml:space="preserve">Supplementary Table </w:t>
      </w:r>
      <w:r w:rsidR="00A86C34">
        <w:rPr>
          <w:b/>
          <w:sz w:val="10"/>
          <w:szCs w:val="10"/>
        </w:rPr>
        <w:t>8</w:t>
      </w:r>
      <w:r w:rsidRPr="00636537">
        <w:rPr>
          <w:sz w:val="10"/>
          <w:szCs w:val="10"/>
        </w:rPr>
        <w:t>: Epidemiological</w:t>
      </w:r>
      <w:r w:rsidR="00482931">
        <w:rPr>
          <w:sz w:val="10"/>
          <w:szCs w:val="10"/>
        </w:rPr>
        <w:t>/clinical</w:t>
      </w:r>
      <w:r w:rsidRPr="00636537">
        <w:rPr>
          <w:sz w:val="10"/>
          <w:szCs w:val="10"/>
        </w:rPr>
        <w:t xml:space="preserve"> studies investigating the association between snus use and </w:t>
      </w:r>
      <w:r w:rsidR="00E434C4">
        <w:rPr>
          <w:sz w:val="10"/>
          <w:szCs w:val="10"/>
        </w:rPr>
        <w:t>tooth loss and dental caries</w:t>
      </w:r>
      <w:r w:rsidRPr="00636537">
        <w:rPr>
          <w:sz w:val="10"/>
          <w:szCs w:val="10"/>
        </w:rPr>
        <w:t>.</w:t>
      </w:r>
      <w:r w:rsidR="00636537">
        <w:rPr>
          <w:sz w:val="10"/>
          <w:szCs w:val="10"/>
        </w:rPr>
        <w:t xml:space="preserve"> Those epidemiological findings which are statistically significant (either protective or causative) are highlighted in red. N/A; not applicable</w:t>
      </w:r>
      <w:r w:rsidR="00387A5A">
        <w:rPr>
          <w:sz w:val="10"/>
          <w:szCs w:val="10"/>
        </w:rPr>
        <w:t>.</w:t>
      </w:r>
      <w:r w:rsidR="00482931" w:rsidRPr="00482931">
        <w:rPr>
          <w:sz w:val="10"/>
          <w:szCs w:val="10"/>
        </w:rPr>
        <w:t xml:space="preserve"> </w:t>
      </w:r>
      <w:r w:rsidR="00482931">
        <w:rPr>
          <w:sz w:val="10"/>
          <w:szCs w:val="10"/>
        </w:rPr>
        <w:t xml:space="preserve">Klimisch Score adapted from </w:t>
      </w:r>
      <w:r w:rsidR="00482931">
        <w:rPr>
          <w:i/>
          <w:sz w:val="10"/>
          <w:szCs w:val="10"/>
        </w:rPr>
        <w:t xml:space="preserve">Regulatory Toxicology and Pharmacology </w:t>
      </w:r>
      <w:r w:rsidR="00482931">
        <w:rPr>
          <w:sz w:val="10"/>
          <w:szCs w:val="10"/>
        </w:rPr>
        <w:t xml:space="preserve">(1997) </w:t>
      </w:r>
      <w:r w:rsidR="00482931">
        <w:rPr>
          <w:b/>
          <w:sz w:val="10"/>
          <w:szCs w:val="10"/>
        </w:rPr>
        <w:t>25</w:t>
      </w:r>
      <w:r w:rsidR="00482931">
        <w:rPr>
          <w:sz w:val="10"/>
          <w:szCs w:val="10"/>
        </w:rPr>
        <w:t>, 1-5</w:t>
      </w:r>
      <w:r w:rsidR="00E21193">
        <w:rPr>
          <w:sz w:val="10"/>
          <w:szCs w:val="10"/>
        </w:rPr>
        <w:t xml:space="preserve"> [118]</w:t>
      </w:r>
      <w:r w:rsidR="00482931">
        <w:rPr>
          <w:sz w:val="10"/>
          <w:szCs w:val="10"/>
        </w:rPr>
        <w:t>.</w:t>
      </w:r>
    </w:p>
    <w:p w14:paraId="6BA0FBA7" w14:textId="19E32277" w:rsidR="002D4B39" w:rsidRDefault="002D4B39">
      <w:pPr>
        <w:rPr>
          <w:sz w:val="10"/>
          <w:szCs w:val="10"/>
        </w:rPr>
      </w:pPr>
    </w:p>
    <w:p w14:paraId="39ADFF2E" w14:textId="0B7A29B0" w:rsidR="002D4B39" w:rsidRPr="002D4B39" w:rsidRDefault="002D4B39" w:rsidP="002D4B39">
      <w:pPr>
        <w:jc w:val="both"/>
        <w:rPr>
          <w:color w:val="000000" w:themeColor="text1"/>
          <w:sz w:val="10"/>
          <w:szCs w:val="10"/>
        </w:rPr>
      </w:pPr>
      <w:r>
        <w:rPr>
          <w:color w:val="FF0000"/>
          <w:sz w:val="10"/>
          <w:szCs w:val="10"/>
          <w:vertAlign w:val="superscript"/>
        </w:rPr>
        <w:t>1</w:t>
      </w:r>
      <w:r>
        <w:rPr>
          <w:color w:val="000000" w:themeColor="text1"/>
          <w:sz w:val="10"/>
          <w:szCs w:val="10"/>
        </w:rPr>
        <w:t xml:space="preserve">This study does not provide epidemiological results in terms of quantification of effect of snus use on the risk of dental caries. Study provides quantitative measurement of several clinical end-points including </w:t>
      </w:r>
      <w:r w:rsidR="005D3F49">
        <w:rPr>
          <w:color w:val="000000" w:themeColor="text1"/>
          <w:sz w:val="10"/>
          <w:szCs w:val="10"/>
        </w:rPr>
        <w:t>enamel (initial) caries and dentine (manifest) caries.</w:t>
      </w:r>
      <w:r w:rsidR="009243C1">
        <w:rPr>
          <w:color w:val="000000" w:themeColor="text1"/>
          <w:sz w:val="10"/>
          <w:szCs w:val="10"/>
        </w:rPr>
        <w:t xml:space="preserve"> Dental caries quantified as the number of teeth based on a clinical visual assessment where “</w:t>
      </w:r>
      <w:r w:rsidR="009243C1" w:rsidRPr="009243C1">
        <w:rPr>
          <w:i/>
          <w:color w:val="000000" w:themeColor="text1"/>
          <w:sz w:val="10"/>
          <w:szCs w:val="10"/>
        </w:rPr>
        <w:t>loss of mineral in the enamel [is observed], giving a chalky appearance but without any clinical cavitations</w:t>
      </w:r>
      <w:r w:rsidR="009243C1">
        <w:rPr>
          <w:color w:val="000000" w:themeColor="text1"/>
          <w:sz w:val="10"/>
          <w:szCs w:val="10"/>
        </w:rPr>
        <w:t>” (initial caries) or “</w:t>
      </w:r>
      <w:r w:rsidR="009243C1" w:rsidRPr="009243C1">
        <w:rPr>
          <w:i/>
          <w:color w:val="000000" w:themeColor="text1"/>
          <w:sz w:val="10"/>
          <w:szCs w:val="10"/>
        </w:rPr>
        <w:t>new carious lesions on surfaces not previously restored and of such an extent that they could be verified as cavities by probing and, when probing fissures using light pressure, the probe became stuck</w:t>
      </w:r>
      <w:r w:rsidR="009243C1">
        <w:rPr>
          <w:color w:val="000000" w:themeColor="text1"/>
          <w:sz w:val="10"/>
          <w:szCs w:val="10"/>
        </w:rPr>
        <w:t>” (manifest caries) (p50 of the original article).</w:t>
      </w:r>
    </w:p>
    <w:p w14:paraId="1EC7C882" w14:textId="7163E0AA" w:rsidR="00387A5A" w:rsidRDefault="00387A5A">
      <w:pPr>
        <w:rPr>
          <w:sz w:val="10"/>
          <w:szCs w:val="10"/>
        </w:rPr>
      </w:pPr>
    </w:p>
    <w:p w14:paraId="1FAED7DD" w14:textId="5404FB14" w:rsidR="00387A5A" w:rsidRPr="00387A5A" w:rsidRDefault="00387A5A">
      <w:pPr>
        <w:rPr>
          <w:color w:val="000000" w:themeColor="text1"/>
          <w:sz w:val="10"/>
          <w:szCs w:val="10"/>
        </w:rPr>
      </w:pPr>
    </w:p>
    <w:sectPr w:rsidR="00387A5A" w:rsidRPr="00387A5A" w:rsidSect="00D3305C">
      <w:pgSz w:w="16840" w:h="1190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05C"/>
    <w:rsid w:val="0006771D"/>
    <w:rsid w:val="000A35F4"/>
    <w:rsid w:val="000F53F1"/>
    <w:rsid w:val="00144E99"/>
    <w:rsid w:val="002B1B33"/>
    <w:rsid w:val="002B35C8"/>
    <w:rsid w:val="002C6ECE"/>
    <w:rsid w:val="002D4B39"/>
    <w:rsid w:val="00347BDE"/>
    <w:rsid w:val="00387A5A"/>
    <w:rsid w:val="0040401F"/>
    <w:rsid w:val="0040458D"/>
    <w:rsid w:val="00482931"/>
    <w:rsid w:val="004C34C3"/>
    <w:rsid w:val="0050521E"/>
    <w:rsid w:val="005605E2"/>
    <w:rsid w:val="005D3F49"/>
    <w:rsid w:val="005F1E69"/>
    <w:rsid w:val="00636537"/>
    <w:rsid w:val="006468FB"/>
    <w:rsid w:val="00834C28"/>
    <w:rsid w:val="00841DF0"/>
    <w:rsid w:val="008C2D02"/>
    <w:rsid w:val="009243C1"/>
    <w:rsid w:val="00972794"/>
    <w:rsid w:val="009C7CCE"/>
    <w:rsid w:val="00A0031C"/>
    <w:rsid w:val="00A24307"/>
    <w:rsid w:val="00A86C34"/>
    <w:rsid w:val="00B07B38"/>
    <w:rsid w:val="00B744B3"/>
    <w:rsid w:val="00B956F2"/>
    <w:rsid w:val="00BC7E88"/>
    <w:rsid w:val="00BE5757"/>
    <w:rsid w:val="00BF39FE"/>
    <w:rsid w:val="00C41D84"/>
    <w:rsid w:val="00D3305C"/>
    <w:rsid w:val="00DE47ED"/>
    <w:rsid w:val="00E21193"/>
    <w:rsid w:val="00E434C4"/>
    <w:rsid w:val="00E454E8"/>
    <w:rsid w:val="00EE5199"/>
    <w:rsid w:val="00F73641"/>
    <w:rsid w:val="00FB1E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B0CD9"/>
  <w14:defaultImageDpi w14:val="32767"/>
  <w15:chartTrackingRefBased/>
  <w15:docId w15:val="{F07F1FD1-3EA6-D049-9202-D9DC0309B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330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642</Words>
  <Characters>3664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Keith Thompson</dc:creator>
  <cp:keywords/>
  <dc:description/>
  <cp:lastModifiedBy>Clarke, Libby</cp:lastModifiedBy>
  <cp:revision>6</cp:revision>
  <dcterms:created xsi:type="dcterms:W3CDTF">2019-07-18T12:03:00Z</dcterms:created>
  <dcterms:modified xsi:type="dcterms:W3CDTF">2019-07-19T20:45:00Z</dcterms:modified>
</cp:coreProperties>
</file>