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BD894" w14:textId="77777777" w:rsidR="009949C4" w:rsidRPr="009949C4" w:rsidRDefault="009949C4" w:rsidP="009949C4">
      <w:pPr>
        <w:spacing w:before="0" w:after="0" w:line="276" w:lineRule="auto"/>
        <w:ind w:left="0"/>
        <w:jc w:val="center"/>
        <w:rPr>
          <w:b/>
          <w:bCs/>
          <w:lang w:val="en-CA"/>
        </w:rPr>
      </w:pPr>
      <w:r w:rsidRPr="009949C4">
        <w:rPr>
          <w:b/>
          <w:bCs/>
          <w:lang w:val="en-CA"/>
        </w:rPr>
        <w:t>Facilitators of and obstacles to practitioners’ adoption of harm reduction in cannabis use: a scoping review</w:t>
      </w:r>
    </w:p>
    <w:p w14:paraId="53BCE1EA" w14:textId="5F4DF20D" w:rsidR="00F07B2D" w:rsidRDefault="00F07B2D" w:rsidP="006A7BE4">
      <w:pPr>
        <w:spacing w:before="0" w:after="0" w:line="276" w:lineRule="auto"/>
        <w:ind w:left="0"/>
        <w:jc w:val="center"/>
        <w:rPr>
          <w:b/>
          <w:bCs/>
          <w:lang w:val="en-CA"/>
        </w:rPr>
      </w:pPr>
    </w:p>
    <w:p w14:paraId="10339E2F" w14:textId="77777777" w:rsidR="00F07B2D" w:rsidRDefault="00F07B2D" w:rsidP="006A7BE4">
      <w:pPr>
        <w:spacing w:before="0" w:after="0" w:line="276" w:lineRule="auto"/>
        <w:ind w:left="0"/>
        <w:jc w:val="center"/>
        <w:rPr>
          <w:b/>
          <w:bCs/>
          <w:lang w:val="en-CA"/>
        </w:rPr>
      </w:pPr>
    </w:p>
    <w:p w14:paraId="27483230" w14:textId="557AFC84" w:rsidR="00F07B2D" w:rsidRPr="00C32010" w:rsidRDefault="00F07B2D" w:rsidP="006A7BE4">
      <w:pPr>
        <w:spacing w:before="0" w:after="0" w:line="276" w:lineRule="auto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Roula Haddad, Christian Dagenais, Jean-Sébastien Fallu, </w:t>
      </w:r>
      <w:r w:rsidRPr="00C32010">
        <w:rPr>
          <w:color w:val="000000" w:themeColor="text1"/>
        </w:rPr>
        <w:t xml:space="preserve">Christophe </w:t>
      </w:r>
      <w:r w:rsidR="00B4438F" w:rsidRPr="0086656C">
        <w:rPr>
          <w:color w:val="000000" w:themeColor="text1"/>
        </w:rPr>
        <w:t>Huỳnh</w:t>
      </w:r>
      <w:r w:rsidRPr="00C32010">
        <w:rPr>
          <w:color w:val="000000" w:themeColor="text1"/>
        </w:rPr>
        <w:t xml:space="preserve">, Laurence D’Arcy, </w:t>
      </w:r>
      <w:r>
        <w:rPr>
          <w:color w:val="000000" w:themeColor="text1"/>
        </w:rPr>
        <w:t>Aurélie Hot</w:t>
      </w:r>
    </w:p>
    <w:p w14:paraId="17BA2F5C" w14:textId="77777777" w:rsidR="00F07B2D" w:rsidRPr="00301DDB" w:rsidRDefault="00F07B2D" w:rsidP="006A7BE4">
      <w:pPr>
        <w:spacing w:before="0" w:after="0" w:line="276" w:lineRule="auto"/>
        <w:ind w:left="0"/>
        <w:jc w:val="both"/>
      </w:pPr>
      <w:r>
        <w:t xml:space="preserve"> </w:t>
      </w:r>
    </w:p>
    <w:p w14:paraId="5CB7A0AE" w14:textId="77777777" w:rsidR="00F07B2D" w:rsidRPr="006A7BE4" w:rsidRDefault="00F07B2D" w:rsidP="006A7BE4">
      <w:pPr>
        <w:spacing w:before="0" w:after="0" w:line="276" w:lineRule="auto"/>
        <w:ind w:left="0"/>
        <w:jc w:val="both"/>
        <w:rPr>
          <w:lang w:val="en-US"/>
        </w:rPr>
      </w:pPr>
      <w:r w:rsidRPr="00301DDB">
        <w:rPr>
          <w:lang w:val="en-US"/>
        </w:rPr>
        <w:t xml:space="preserve">Correspondence to Roula Haddad; </w:t>
      </w:r>
      <w:hyperlink r:id="rId5" w:history="1">
        <w:r w:rsidRPr="00301DDB">
          <w:rPr>
            <w:rStyle w:val="Hyperlink"/>
            <w:lang w:val="en-US"/>
          </w:rPr>
          <w:t>roula.haddad@umontreal.ca</w:t>
        </w:r>
      </w:hyperlink>
      <w:r w:rsidRPr="00301DDB">
        <w:rPr>
          <w:lang w:val="en-US"/>
        </w:rPr>
        <w:t xml:space="preserve"> </w:t>
      </w:r>
    </w:p>
    <w:p w14:paraId="0B9C1F43" w14:textId="77777777" w:rsidR="00F07B2D" w:rsidRPr="006A7BE4" w:rsidRDefault="00F07B2D" w:rsidP="001260DB">
      <w:pPr>
        <w:spacing w:before="0" w:after="0" w:line="240" w:lineRule="auto"/>
        <w:ind w:left="0"/>
        <w:rPr>
          <w:lang w:val="en-US"/>
        </w:rPr>
      </w:pPr>
    </w:p>
    <w:p w14:paraId="7F67FDF7" w14:textId="04D38AD8" w:rsidR="00F07B2D" w:rsidRPr="001260DB" w:rsidRDefault="009949C4" w:rsidP="001260DB">
      <w:pPr>
        <w:spacing w:before="0" w:after="0" w:line="240" w:lineRule="auto"/>
        <w:ind w:left="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Additional file</w:t>
      </w:r>
      <w:r w:rsidRPr="007F1893">
        <w:rPr>
          <w:b/>
          <w:bCs/>
          <w:lang w:val="en-US"/>
        </w:rPr>
        <w:t xml:space="preserve"> </w:t>
      </w:r>
      <w:r w:rsidR="005774B9">
        <w:rPr>
          <w:b/>
          <w:bCs/>
          <w:lang w:val="en-US"/>
        </w:rPr>
        <w:t>4</w:t>
      </w:r>
      <w:r w:rsidR="00F07B2D" w:rsidRPr="001260DB">
        <w:rPr>
          <w:b/>
          <w:bCs/>
          <w:lang w:val="en-US"/>
        </w:rPr>
        <w:t xml:space="preserve">: </w:t>
      </w:r>
      <w:r w:rsidR="00F07B2D" w:rsidRPr="001260DB">
        <w:rPr>
          <w:b/>
          <w:bCs/>
          <w:kern w:val="0"/>
          <w:lang w:val="en-US"/>
          <w14:ligatures w14:val="none"/>
        </w:rPr>
        <w:t>Clientele, workplace</w:t>
      </w:r>
      <w:r w:rsidR="00F07B2D" w:rsidRPr="001260DB">
        <w:rPr>
          <w:b/>
          <w:bCs/>
          <w:lang w:val="en-US"/>
        </w:rPr>
        <w:t>,</w:t>
      </w:r>
      <w:r w:rsidR="00F07B2D" w:rsidRPr="001260DB">
        <w:rPr>
          <w:b/>
          <w:bCs/>
          <w:kern w:val="0"/>
          <w:lang w:val="en-US"/>
          <w14:ligatures w14:val="none"/>
        </w:rPr>
        <w:t xml:space="preserve"> and population identified in the selected studies </w:t>
      </w:r>
    </w:p>
    <w:p w14:paraId="5386E883" w14:textId="77777777" w:rsidR="00F07B2D" w:rsidRPr="001260DB" w:rsidRDefault="00F07B2D" w:rsidP="001260DB">
      <w:pPr>
        <w:spacing w:before="0" w:after="0" w:line="240" w:lineRule="auto"/>
        <w:ind w:left="0"/>
        <w:jc w:val="both"/>
        <w:rPr>
          <w:b/>
          <w:bCs/>
          <w:u w:val="single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6025"/>
      </w:tblGrid>
      <w:tr w:rsidR="00F07B2D" w:rsidRPr="001260DB" w14:paraId="1B51184F" w14:textId="77777777" w:rsidTr="006A7BE4">
        <w:tc>
          <w:tcPr>
            <w:tcW w:w="3325" w:type="dxa"/>
            <w:shd w:val="clear" w:color="auto" w:fill="E8E8E8" w:themeFill="background2"/>
            <w:vAlign w:val="center"/>
          </w:tcPr>
          <w:p w14:paraId="7992C620" w14:textId="77777777" w:rsidR="00F07B2D" w:rsidRPr="001260DB" w:rsidRDefault="00F07B2D" w:rsidP="00C0090D">
            <w:pPr>
              <w:spacing w:before="0" w:after="0"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60DB">
              <w:rPr>
                <w:b/>
                <w:bCs/>
                <w:sz w:val="24"/>
                <w:szCs w:val="24"/>
                <w:lang w:val="en-US"/>
              </w:rPr>
              <w:t>Populations identified in the selected studies</w:t>
            </w:r>
          </w:p>
        </w:tc>
        <w:tc>
          <w:tcPr>
            <w:tcW w:w="6025" w:type="dxa"/>
            <w:shd w:val="clear" w:color="auto" w:fill="E8E8E8" w:themeFill="background2"/>
            <w:vAlign w:val="center"/>
          </w:tcPr>
          <w:p w14:paraId="0EC79FFB" w14:textId="77777777" w:rsidR="00F07B2D" w:rsidRPr="001260DB" w:rsidRDefault="00F07B2D" w:rsidP="00C0090D">
            <w:pPr>
              <w:spacing w:before="0" w:after="0"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60DB">
              <w:rPr>
                <w:b/>
                <w:bCs/>
                <w:sz w:val="24"/>
                <w:szCs w:val="24"/>
                <w:lang w:val="en-US"/>
              </w:rPr>
              <w:t>References</w:t>
            </w:r>
          </w:p>
        </w:tc>
      </w:tr>
      <w:tr w:rsidR="00F07B2D" w:rsidRPr="006A7BE4" w14:paraId="22E51279" w14:textId="77777777" w:rsidTr="001260DB">
        <w:tc>
          <w:tcPr>
            <w:tcW w:w="3325" w:type="dxa"/>
            <w:shd w:val="clear" w:color="auto" w:fill="D9F2D0" w:themeFill="accent6" w:themeFillTint="33"/>
          </w:tcPr>
          <w:p w14:paraId="111E440D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Mental health professionals (e.g., therapists, psychotherapists, psychologists, clinicians, addiction specialists) </w:t>
            </w:r>
          </w:p>
        </w:tc>
        <w:tc>
          <w:tcPr>
            <w:tcW w:w="6025" w:type="dxa"/>
            <w:shd w:val="clear" w:color="auto" w:fill="D9F2D0" w:themeFill="accent6" w:themeFillTint="33"/>
          </w:tcPr>
          <w:p w14:paraId="512566C9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(Davis &amp; Lauritsen, 2016; Davis &amp; Rosenberg, 2013; Davis et al., 2017; Duke et al., 2020; Eversman, 2014; Halladay et al., 2018; Lauritsen, 2017; Leiker, 2021; Mancini et al., 2008; Ogborne &amp; Birchmore-Timney, 1998; Oluwoye &amp; Fraser, 2021; Richards et al., 2021; Rosenberg &amp; Melville, 2005; Tatar et al., 2021; Vayda, 2016; Waterhouse, 2020)</w:t>
            </w:r>
          </w:p>
        </w:tc>
      </w:tr>
      <w:tr w:rsidR="00F07B2D" w:rsidRPr="001260DB" w14:paraId="688ACD53" w14:textId="77777777" w:rsidTr="006A7BE4">
        <w:tc>
          <w:tcPr>
            <w:tcW w:w="3325" w:type="dxa"/>
            <w:shd w:val="clear" w:color="auto" w:fill="FFFFFF" w:themeFill="background1"/>
          </w:tcPr>
          <w:p w14:paraId="4902838C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Counselors </w:t>
            </w:r>
          </w:p>
        </w:tc>
        <w:tc>
          <w:tcPr>
            <w:tcW w:w="6025" w:type="dxa"/>
            <w:shd w:val="clear" w:color="auto" w:fill="FFFFFF" w:themeFill="background1"/>
          </w:tcPr>
          <w:p w14:paraId="007D78AA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t xml:space="preserve"> (Benoit et al., 2014; Clark &amp; Wyllie, 2014; Ellison, 2017; Kapur, 2016; King, 2020; Kyser, 2010; Ogborne &amp; Birchmore-Timney, 1998; Richards et al., 2021; Sauvageau, 2018; Schippers &amp; Nelissen, 2006)</w:t>
            </w:r>
          </w:p>
        </w:tc>
      </w:tr>
      <w:tr w:rsidR="00F07B2D" w:rsidRPr="001260DB" w14:paraId="115797E3" w14:textId="77777777" w:rsidTr="001260DB">
        <w:tc>
          <w:tcPr>
            <w:tcW w:w="3325" w:type="dxa"/>
            <w:shd w:val="clear" w:color="auto" w:fill="D9F2D0" w:themeFill="accent6" w:themeFillTint="33"/>
          </w:tcPr>
          <w:p w14:paraId="2FF3D281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Managers</w:t>
            </w:r>
          </w:p>
        </w:tc>
        <w:tc>
          <w:tcPr>
            <w:tcW w:w="6025" w:type="dxa"/>
            <w:shd w:val="clear" w:color="auto" w:fill="D9F2D0" w:themeFill="accent6" w:themeFillTint="33"/>
          </w:tcPr>
          <w:p w14:paraId="37DF6CA4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(Clark &amp; Wyllie, 2014; Kapur, 2016; Long, 2016; Ogborne &amp; Birchmore-Timney, 1998; Oluwoye &amp; Fraser, 2021; Rosenberg &amp; Melville, 2005; Sauvageau, 2018; Tatar et al., 2021)</w:t>
            </w:r>
          </w:p>
        </w:tc>
      </w:tr>
      <w:tr w:rsidR="00F07B2D" w:rsidRPr="001260DB" w14:paraId="4CAED33E" w14:textId="77777777" w:rsidTr="006A7BE4">
        <w:tc>
          <w:tcPr>
            <w:tcW w:w="3325" w:type="dxa"/>
            <w:shd w:val="clear" w:color="auto" w:fill="FFFFFF" w:themeFill="background1"/>
          </w:tcPr>
          <w:p w14:paraId="686A9DCE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Social workers </w:t>
            </w:r>
          </w:p>
        </w:tc>
        <w:tc>
          <w:tcPr>
            <w:tcW w:w="6025" w:type="dxa"/>
            <w:shd w:val="clear" w:color="auto" w:fill="FFFFFF" w:themeFill="background1"/>
          </w:tcPr>
          <w:p w14:paraId="5D34C678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t xml:space="preserve"> (Halladay et al., 2018; Housenbold Seiger, 2005; Long, 2016; Richards et al., 2021; Suissa &amp; Bélanger, 2001; Vayda, 2016; Waterhouse, 2020; Xin et al., 2022)</w:t>
            </w:r>
          </w:p>
        </w:tc>
      </w:tr>
      <w:tr w:rsidR="00F07B2D" w:rsidRPr="001260DB" w14:paraId="5EA8DF8D" w14:textId="77777777" w:rsidTr="001260DB">
        <w:tc>
          <w:tcPr>
            <w:tcW w:w="3325" w:type="dxa"/>
            <w:shd w:val="clear" w:color="auto" w:fill="D9F2D0" w:themeFill="accent6" w:themeFillTint="33"/>
          </w:tcPr>
          <w:p w14:paraId="69EACFB5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Front-line healthcare workers (e.g., nurses) </w:t>
            </w:r>
          </w:p>
        </w:tc>
        <w:tc>
          <w:tcPr>
            <w:tcW w:w="6025" w:type="dxa"/>
            <w:shd w:val="clear" w:color="auto" w:fill="D9F2D0" w:themeFill="accent6" w:themeFillTint="33"/>
          </w:tcPr>
          <w:p w14:paraId="702F38F4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t xml:space="preserve"> (Barbosa-Leiker et al., 2022; Halladay et al., 2018; Long, 2016; O’Leary et al., 2018; Oluwoye &amp; Fraser, 2021; Tatar et al., 2021)</w:t>
            </w:r>
          </w:p>
        </w:tc>
      </w:tr>
      <w:tr w:rsidR="00F07B2D" w:rsidRPr="001260DB" w14:paraId="04BA1892" w14:textId="77777777" w:rsidTr="006A7BE4">
        <w:tc>
          <w:tcPr>
            <w:tcW w:w="3325" w:type="dxa"/>
            <w:shd w:val="clear" w:color="auto" w:fill="FFFFFF" w:themeFill="background1"/>
          </w:tcPr>
          <w:p w14:paraId="0F950841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University students (i.e., practitioners in training) </w:t>
            </w:r>
          </w:p>
        </w:tc>
        <w:tc>
          <w:tcPr>
            <w:tcW w:w="6025" w:type="dxa"/>
            <w:shd w:val="clear" w:color="auto" w:fill="FFFFFF" w:themeFill="background1"/>
          </w:tcPr>
          <w:p w14:paraId="636A6BE5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(Abbott-Chapman et al., 2007; Davis &amp; Lauritsen, 2016; Moore &amp; Mattaini, 2014)</w:t>
            </w:r>
          </w:p>
        </w:tc>
      </w:tr>
      <w:tr w:rsidR="00F07B2D" w:rsidRPr="001260DB" w14:paraId="6A12752A" w14:textId="77777777" w:rsidTr="001260DB">
        <w:tc>
          <w:tcPr>
            <w:tcW w:w="3325" w:type="dxa"/>
            <w:shd w:val="clear" w:color="auto" w:fill="D9F2D0" w:themeFill="accent6" w:themeFillTint="33"/>
          </w:tcPr>
          <w:p w14:paraId="724D4D7C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Psycho-educators or educators  </w:t>
            </w:r>
          </w:p>
        </w:tc>
        <w:tc>
          <w:tcPr>
            <w:tcW w:w="6025" w:type="dxa"/>
            <w:shd w:val="clear" w:color="auto" w:fill="D9F2D0" w:themeFill="accent6" w:themeFillTint="33"/>
          </w:tcPr>
          <w:p w14:paraId="1AA293F2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(Richards et al., 2021)</w:t>
            </w:r>
          </w:p>
        </w:tc>
      </w:tr>
      <w:tr w:rsidR="00F07B2D" w:rsidRPr="001260DB" w14:paraId="29527132" w14:textId="77777777" w:rsidTr="006A7BE4">
        <w:tc>
          <w:tcPr>
            <w:tcW w:w="3325" w:type="dxa"/>
            <w:shd w:val="clear" w:color="auto" w:fill="FFFFFF" w:themeFill="background1"/>
          </w:tcPr>
          <w:p w14:paraId="6125CCAF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Police officers  </w:t>
            </w:r>
          </w:p>
        </w:tc>
        <w:tc>
          <w:tcPr>
            <w:tcW w:w="6025" w:type="dxa"/>
            <w:shd w:val="clear" w:color="auto" w:fill="FFFFFF" w:themeFill="background1"/>
          </w:tcPr>
          <w:p w14:paraId="022A3C28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(Richards et al., 2021)</w:t>
            </w:r>
          </w:p>
        </w:tc>
      </w:tr>
      <w:tr w:rsidR="00F07B2D" w:rsidRPr="001260DB" w14:paraId="5A5A2743" w14:textId="77777777" w:rsidTr="001260DB">
        <w:tc>
          <w:tcPr>
            <w:tcW w:w="3325" w:type="dxa"/>
            <w:shd w:val="clear" w:color="auto" w:fill="D9F2D0" w:themeFill="accent6" w:themeFillTint="33"/>
          </w:tcPr>
          <w:p w14:paraId="5ACD5A84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Health professionals (e.g., doctors, psychiatrists) </w:t>
            </w:r>
          </w:p>
        </w:tc>
        <w:tc>
          <w:tcPr>
            <w:tcW w:w="6025" w:type="dxa"/>
            <w:shd w:val="clear" w:color="auto" w:fill="D9F2D0" w:themeFill="accent6" w:themeFillTint="33"/>
          </w:tcPr>
          <w:p w14:paraId="13165226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(Tatar et al., 2021)</w:t>
            </w:r>
          </w:p>
        </w:tc>
      </w:tr>
      <w:tr w:rsidR="00F07B2D" w:rsidRPr="001260DB" w14:paraId="0652E250" w14:textId="77777777" w:rsidTr="006A7BE4">
        <w:tc>
          <w:tcPr>
            <w:tcW w:w="3325" w:type="dxa"/>
            <w:shd w:val="clear" w:color="auto" w:fill="FFFFFF" w:themeFill="background1"/>
          </w:tcPr>
          <w:p w14:paraId="4FA11CAA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School staff (e.g., principals, teachers) </w:t>
            </w:r>
          </w:p>
        </w:tc>
        <w:tc>
          <w:tcPr>
            <w:tcW w:w="6025" w:type="dxa"/>
            <w:shd w:val="clear" w:color="auto" w:fill="FFFFFF" w:themeFill="background1"/>
          </w:tcPr>
          <w:p w14:paraId="72D5921A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(Soura, 2016)</w:t>
            </w:r>
          </w:p>
        </w:tc>
      </w:tr>
      <w:tr w:rsidR="00F07B2D" w:rsidRPr="001260DB" w14:paraId="320E3FA4" w14:textId="77777777" w:rsidTr="001260DB">
        <w:tc>
          <w:tcPr>
            <w:tcW w:w="3325" w:type="dxa"/>
            <w:shd w:val="clear" w:color="auto" w:fill="D9F2D0" w:themeFill="accent6" w:themeFillTint="33"/>
          </w:tcPr>
          <w:p w14:paraId="34C0DC13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Higher education administrators (e.g., deans, directors)</w:t>
            </w:r>
          </w:p>
        </w:tc>
        <w:tc>
          <w:tcPr>
            <w:tcW w:w="6025" w:type="dxa"/>
            <w:shd w:val="clear" w:color="auto" w:fill="D9F2D0" w:themeFill="accent6" w:themeFillTint="33"/>
          </w:tcPr>
          <w:p w14:paraId="65C7838A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(Broussard, 2019)</w:t>
            </w:r>
          </w:p>
        </w:tc>
      </w:tr>
      <w:tr w:rsidR="00F07B2D" w:rsidRPr="001260DB" w14:paraId="29D9F6DF" w14:textId="77777777" w:rsidTr="003D1AC6">
        <w:tc>
          <w:tcPr>
            <w:tcW w:w="3325" w:type="dxa"/>
            <w:shd w:val="clear" w:color="auto" w:fill="A5C9EB" w:themeFill="text2" w:themeFillTint="40"/>
          </w:tcPr>
          <w:p w14:paraId="67AC4FBE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1260DB">
              <w:rPr>
                <w:b/>
                <w:bCs/>
                <w:sz w:val="24"/>
                <w:szCs w:val="24"/>
                <w:lang w:val="en-US"/>
              </w:rPr>
              <w:t>Populations’ clientele</w:t>
            </w:r>
          </w:p>
        </w:tc>
        <w:tc>
          <w:tcPr>
            <w:tcW w:w="6025" w:type="dxa"/>
            <w:shd w:val="clear" w:color="auto" w:fill="A5C9EB" w:themeFill="text2" w:themeFillTint="40"/>
          </w:tcPr>
          <w:p w14:paraId="587C0BB5" w14:textId="77777777" w:rsidR="00F07B2D" w:rsidRPr="001260DB" w:rsidRDefault="00F07B2D" w:rsidP="00C0090D">
            <w:pPr>
              <w:spacing w:before="0" w:after="0" w:line="276" w:lineRule="auto"/>
              <w:ind w:left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60DB">
              <w:rPr>
                <w:b/>
                <w:bCs/>
                <w:sz w:val="24"/>
                <w:szCs w:val="24"/>
                <w:lang w:val="en-US"/>
              </w:rPr>
              <w:t>References</w:t>
            </w:r>
          </w:p>
        </w:tc>
      </w:tr>
      <w:tr w:rsidR="00F07B2D" w:rsidRPr="001260DB" w14:paraId="2B12A1E8" w14:textId="77777777" w:rsidTr="003D1AC6">
        <w:tc>
          <w:tcPr>
            <w:tcW w:w="3325" w:type="dxa"/>
            <w:shd w:val="clear" w:color="auto" w:fill="DAE9F7" w:themeFill="text2" w:themeFillTint="1A"/>
          </w:tcPr>
          <w:p w14:paraId="29E093DE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lastRenderedPageBreak/>
              <w:t xml:space="preserve">Adults </w:t>
            </w:r>
          </w:p>
        </w:tc>
        <w:tc>
          <w:tcPr>
            <w:tcW w:w="6025" w:type="dxa"/>
            <w:shd w:val="clear" w:color="auto" w:fill="DAE9F7" w:themeFill="text2" w:themeFillTint="1A"/>
          </w:tcPr>
          <w:p w14:paraId="279570BC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(Davis &amp; Lauritsen, 2016; Davis et al., 2017; Kapur, 2016; Leiker, 2021; Ogborne &amp; Birchmore-Timney, 1998; Rosenberg &amp; Melville, 2005; Schippers &amp; Nelissen, 2006; Vayda, 2016; Waterhouse, 2020; Xin et al., 2022)</w:t>
            </w:r>
          </w:p>
        </w:tc>
      </w:tr>
      <w:tr w:rsidR="00F07B2D" w:rsidRPr="001260DB" w14:paraId="14328B8A" w14:textId="77777777" w:rsidTr="006A7BE4">
        <w:tc>
          <w:tcPr>
            <w:tcW w:w="3325" w:type="dxa"/>
            <w:shd w:val="clear" w:color="auto" w:fill="FFFFFF" w:themeFill="background1"/>
          </w:tcPr>
          <w:p w14:paraId="04DA114F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Young adults </w:t>
            </w:r>
          </w:p>
        </w:tc>
        <w:tc>
          <w:tcPr>
            <w:tcW w:w="6025" w:type="dxa"/>
            <w:shd w:val="clear" w:color="auto" w:fill="FFFFFF" w:themeFill="background1"/>
          </w:tcPr>
          <w:p w14:paraId="3CD6B6E0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(Broussard, 2019; Davis &amp; Lauritsen, 2016; Davis et al., 2017; Ellison, 2017; Halladay et al., 2018; Kapur, 2016; Leiker, 2021; Waterhouse, 2020; Xin et al., 2022)</w:t>
            </w:r>
          </w:p>
        </w:tc>
      </w:tr>
      <w:tr w:rsidR="00F07B2D" w:rsidRPr="001260DB" w14:paraId="48EF97F6" w14:textId="77777777" w:rsidTr="003D1AC6">
        <w:tc>
          <w:tcPr>
            <w:tcW w:w="3325" w:type="dxa"/>
            <w:shd w:val="clear" w:color="auto" w:fill="DAE9F7" w:themeFill="text2" w:themeFillTint="1A"/>
          </w:tcPr>
          <w:p w14:paraId="721FF0A4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Adolescents </w:t>
            </w:r>
          </w:p>
        </w:tc>
        <w:tc>
          <w:tcPr>
            <w:tcW w:w="6025" w:type="dxa"/>
            <w:shd w:val="clear" w:color="auto" w:fill="DAE9F7" w:themeFill="text2" w:themeFillTint="1A"/>
          </w:tcPr>
          <w:p w14:paraId="4E5FB6AB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t xml:space="preserve"> (Davis &amp; Lauritsen, 2016; Davis et al., 2017; Kapur, 2016; Leiker, 2021; Soura, 2016; Xin et al., 2022)</w:t>
            </w:r>
          </w:p>
        </w:tc>
      </w:tr>
      <w:tr w:rsidR="00F07B2D" w:rsidRPr="001260DB" w14:paraId="39556368" w14:textId="77777777" w:rsidTr="006A7BE4">
        <w:tc>
          <w:tcPr>
            <w:tcW w:w="3325" w:type="dxa"/>
            <w:shd w:val="clear" w:color="auto" w:fill="FFFFFF" w:themeFill="background1"/>
          </w:tcPr>
          <w:p w14:paraId="2AA58A0A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Individuals with a mental health disorder </w:t>
            </w:r>
          </w:p>
        </w:tc>
        <w:tc>
          <w:tcPr>
            <w:tcW w:w="6025" w:type="dxa"/>
            <w:shd w:val="clear" w:color="auto" w:fill="FFFFFF" w:themeFill="background1"/>
          </w:tcPr>
          <w:p w14:paraId="2BAD7B06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t xml:space="preserve"> (Clark &amp; Wyllie, 2014; Leiker, 2021; Oluwoye &amp; Fraser, 2021; Sauvageau, 2018)</w:t>
            </w:r>
          </w:p>
        </w:tc>
      </w:tr>
      <w:tr w:rsidR="00F07B2D" w:rsidRPr="001260DB" w14:paraId="717EBF44" w14:textId="77777777" w:rsidTr="003D1AC6">
        <w:tc>
          <w:tcPr>
            <w:tcW w:w="3325" w:type="dxa"/>
            <w:shd w:val="clear" w:color="auto" w:fill="DAE9F7" w:themeFill="text2" w:themeFillTint="1A"/>
          </w:tcPr>
          <w:p w14:paraId="1BD35889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Pregnant women</w:t>
            </w:r>
          </w:p>
        </w:tc>
        <w:tc>
          <w:tcPr>
            <w:tcW w:w="6025" w:type="dxa"/>
            <w:shd w:val="clear" w:color="auto" w:fill="DAE9F7" w:themeFill="text2" w:themeFillTint="1A"/>
          </w:tcPr>
          <w:p w14:paraId="15F84BC0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t xml:space="preserve"> (Barbosa-Leiker et al., 2022; Benoit et al., 2014; Long, 2016)</w:t>
            </w:r>
          </w:p>
        </w:tc>
      </w:tr>
      <w:tr w:rsidR="00F07B2D" w:rsidRPr="001260DB" w14:paraId="536797CB" w14:textId="77777777" w:rsidTr="006A7BE4">
        <w:tc>
          <w:tcPr>
            <w:tcW w:w="3325" w:type="dxa"/>
            <w:shd w:val="clear" w:color="auto" w:fill="FFFFFF" w:themeFill="background1"/>
          </w:tcPr>
          <w:p w14:paraId="267C8E96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Young people involved in the criminal justice system</w:t>
            </w:r>
          </w:p>
        </w:tc>
        <w:tc>
          <w:tcPr>
            <w:tcW w:w="6025" w:type="dxa"/>
            <w:shd w:val="clear" w:color="auto" w:fill="FFFFFF" w:themeFill="background1"/>
          </w:tcPr>
          <w:p w14:paraId="1376E623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t xml:space="preserve"> (Duke et al., 2020; Richards et al., 2021)</w:t>
            </w:r>
          </w:p>
        </w:tc>
      </w:tr>
      <w:tr w:rsidR="00F07B2D" w:rsidRPr="001260DB" w14:paraId="56A2B46D" w14:textId="77777777" w:rsidTr="003D1AC6">
        <w:tc>
          <w:tcPr>
            <w:tcW w:w="3325" w:type="dxa"/>
            <w:shd w:val="clear" w:color="auto" w:fill="DAE9F7" w:themeFill="text2" w:themeFillTint="1A"/>
          </w:tcPr>
          <w:p w14:paraId="483720BC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Homeless population</w:t>
            </w:r>
          </w:p>
        </w:tc>
        <w:tc>
          <w:tcPr>
            <w:tcW w:w="6025" w:type="dxa"/>
            <w:shd w:val="clear" w:color="auto" w:fill="DAE9F7" w:themeFill="text2" w:themeFillTint="1A"/>
          </w:tcPr>
          <w:p w14:paraId="05EFABE9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(King, 2020; Mancini et al., 2008)</w:t>
            </w:r>
          </w:p>
        </w:tc>
      </w:tr>
      <w:tr w:rsidR="00F07B2D" w:rsidRPr="001260DB" w14:paraId="0113CDB0" w14:textId="77777777" w:rsidTr="006A7BE4">
        <w:tc>
          <w:tcPr>
            <w:tcW w:w="3325" w:type="dxa"/>
            <w:shd w:val="clear" w:color="auto" w:fill="FFFFFF" w:themeFill="background1"/>
          </w:tcPr>
          <w:p w14:paraId="3AF0AEF0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Individuals from communities of color</w:t>
            </w:r>
          </w:p>
        </w:tc>
        <w:tc>
          <w:tcPr>
            <w:tcW w:w="6025" w:type="dxa"/>
            <w:shd w:val="clear" w:color="auto" w:fill="FFFFFF" w:themeFill="background1"/>
          </w:tcPr>
          <w:p w14:paraId="3E73F1E6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(Eversman, 2014)</w:t>
            </w:r>
          </w:p>
        </w:tc>
      </w:tr>
      <w:tr w:rsidR="00F07B2D" w:rsidRPr="001260DB" w14:paraId="0B14A9E6" w14:textId="77777777" w:rsidTr="003D1AC6">
        <w:tc>
          <w:tcPr>
            <w:tcW w:w="3325" w:type="dxa"/>
            <w:shd w:val="clear" w:color="auto" w:fill="DAE9F7" w:themeFill="text2" w:themeFillTint="1A"/>
          </w:tcPr>
          <w:p w14:paraId="6FC69733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Young adults with a first psychotic episode</w:t>
            </w:r>
          </w:p>
        </w:tc>
        <w:tc>
          <w:tcPr>
            <w:tcW w:w="6025" w:type="dxa"/>
            <w:shd w:val="clear" w:color="auto" w:fill="DAE9F7" w:themeFill="text2" w:themeFillTint="1A"/>
          </w:tcPr>
          <w:p w14:paraId="30A37D8F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(Tatar et al., 2021)</w:t>
            </w:r>
          </w:p>
        </w:tc>
      </w:tr>
      <w:tr w:rsidR="00F07B2D" w:rsidRPr="001260DB" w14:paraId="36C3ACE4" w14:textId="77777777" w:rsidTr="006A7BE4">
        <w:tc>
          <w:tcPr>
            <w:tcW w:w="3325" w:type="dxa"/>
            <w:shd w:val="clear" w:color="auto" w:fill="FFFFFF" w:themeFill="background1"/>
          </w:tcPr>
          <w:p w14:paraId="32C692F4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Poly-substance users </w:t>
            </w:r>
          </w:p>
        </w:tc>
        <w:tc>
          <w:tcPr>
            <w:tcW w:w="6025" w:type="dxa"/>
            <w:shd w:val="clear" w:color="auto" w:fill="FFFFFF" w:themeFill="background1"/>
          </w:tcPr>
          <w:p w14:paraId="07006F8A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(Leiker, 2021)</w:t>
            </w:r>
          </w:p>
        </w:tc>
      </w:tr>
      <w:tr w:rsidR="00F07B2D" w:rsidRPr="001260DB" w14:paraId="25F95DC4" w14:textId="77777777" w:rsidTr="003D1AC6">
        <w:tc>
          <w:tcPr>
            <w:tcW w:w="3325" w:type="dxa"/>
            <w:shd w:val="clear" w:color="auto" w:fill="DAE9F7" w:themeFill="text2" w:themeFillTint="1A"/>
          </w:tcPr>
          <w:p w14:paraId="0BCC83AB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HIV-positive people</w:t>
            </w:r>
          </w:p>
        </w:tc>
        <w:tc>
          <w:tcPr>
            <w:tcW w:w="6025" w:type="dxa"/>
            <w:shd w:val="clear" w:color="auto" w:fill="DAE9F7" w:themeFill="text2" w:themeFillTint="1A"/>
          </w:tcPr>
          <w:p w14:paraId="3FE3EC9F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(O’Leary et al., 2018)</w:t>
            </w:r>
          </w:p>
        </w:tc>
      </w:tr>
      <w:tr w:rsidR="00F07B2D" w:rsidRPr="001260DB" w14:paraId="27611B93" w14:textId="77777777" w:rsidTr="006A7BE4">
        <w:tc>
          <w:tcPr>
            <w:tcW w:w="3325" w:type="dxa"/>
            <w:shd w:val="clear" w:color="auto" w:fill="FFFFFF" w:themeFill="background1"/>
          </w:tcPr>
          <w:p w14:paraId="6A8EDF0C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New parents</w:t>
            </w:r>
          </w:p>
        </w:tc>
        <w:tc>
          <w:tcPr>
            <w:tcW w:w="6025" w:type="dxa"/>
            <w:shd w:val="clear" w:color="auto" w:fill="FFFFFF" w:themeFill="background1"/>
          </w:tcPr>
          <w:p w14:paraId="060FCE11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(Benoit et al., 2014)</w:t>
            </w:r>
          </w:p>
        </w:tc>
      </w:tr>
      <w:tr w:rsidR="00F07B2D" w:rsidRPr="001260DB" w14:paraId="252EDFE2" w14:textId="77777777" w:rsidTr="003D1AC6">
        <w:tc>
          <w:tcPr>
            <w:tcW w:w="3325" w:type="dxa"/>
            <w:shd w:val="clear" w:color="auto" w:fill="DAE9F7" w:themeFill="text2" w:themeFillTint="1A"/>
          </w:tcPr>
          <w:p w14:paraId="536B8F1F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In prison or on probation population</w:t>
            </w:r>
          </w:p>
        </w:tc>
        <w:tc>
          <w:tcPr>
            <w:tcW w:w="6025" w:type="dxa"/>
            <w:shd w:val="clear" w:color="auto" w:fill="DAE9F7" w:themeFill="text2" w:themeFillTint="1A"/>
          </w:tcPr>
          <w:p w14:paraId="605E855B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(Leiker, 2021)</w:t>
            </w:r>
          </w:p>
        </w:tc>
      </w:tr>
      <w:tr w:rsidR="00F07B2D" w:rsidRPr="001260DB" w14:paraId="351021C2" w14:textId="77777777" w:rsidTr="001260DB">
        <w:tc>
          <w:tcPr>
            <w:tcW w:w="3325" w:type="dxa"/>
            <w:shd w:val="clear" w:color="auto" w:fill="B3E5A1" w:themeFill="accent6" w:themeFillTint="66"/>
          </w:tcPr>
          <w:p w14:paraId="124FA331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1260DB">
              <w:rPr>
                <w:b/>
                <w:bCs/>
                <w:sz w:val="24"/>
                <w:szCs w:val="24"/>
                <w:lang w:val="en-US"/>
              </w:rPr>
              <w:t>Populations’ workplace</w:t>
            </w:r>
          </w:p>
        </w:tc>
        <w:tc>
          <w:tcPr>
            <w:tcW w:w="6025" w:type="dxa"/>
            <w:shd w:val="clear" w:color="auto" w:fill="B3E5A1" w:themeFill="accent6" w:themeFillTint="66"/>
          </w:tcPr>
          <w:p w14:paraId="14344A39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1260DB">
              <w:rPr>
                <w:b/>
                <w:bCs/>
                <w:sz w:val="24"/>
                <w:szCs w:val="24"/>
                <w:lang w:val="en-US"/>
              </w:rPr>
              <w:t>References</w:t>
            </w:r>
          </w:p>
        </w:tc>
      </w:tr>
      <w:tr w:rsidR="00F07B2D" w:rsidRPr="006A7BE4" w14:paraId="78A228C6" w14:textId="77777777" w:rsidTr="001260DB">
        <w:tc>
          <w:tcPr>
            <w:tcW w:w="3325" w:type="dxa"/>
            <w:shd w:val="clear" w:color="auto" w:fill="D9F2D0" w:themeFill="accent6" w:themeFillTint="33"/>
          </w:tcPr>
          <w:p w14:paraId="46EBDA08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Outpatient agencies for SUDs and/or mental health disorders  </w:t>
            </w:r>
          </w:p>
        </w:tc>
        <w:tc>
          <w:tcPr>
            <w:tcW w:w="6025" w:type="dxa"/>
            <w:shd w:val="clear" w:color="auto" w:fill="D9F2D0" w:themeFill="accent6" w:themeFillTint="33"/>
          </w:tcPr>
          <w:p w14:paraId="6118347A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(Davis &amp; Rosenberg, 2013; Davis et al., 2017; Housenbold Seiger, 2005; Lauritsen, 2017; Leiker, 2021; Ogborne &amp; Birchmore-Timney, 1998; Rosenberg &amp; Davis, 2014; Schippers &amp; Nelissen, 2006; Vayda, 2016; Xin et al., 2022)</w:t>
            </w:r>
          </w:p>
        </w:tc>
      </w:tr>
      <w:tr w:rsidR="00F07B2D" w:rsidRPr="001260DB" w14:paraId="39AB2015" w14:textId="77777777" w:rsidTr="006A7BE4">
        <w:tc>
          <w:tcPr>
            <w:tcW w:w="3325" w:type="dxa"/>
            <w:shd w:val="clear" w:color="auto" w:fill="FFFFFF" w:themeFill="background1"/>
          </w:tcPr>
          <w:p w14:paraId="000328D2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Inpatient or residential addiction rehabilitation services </w:t>
            </w:r>
          </w:p>
        </w:tc>
        <w:tc>
          <w:tcPr>
            <w:tcW w:w="6025" w:type="dxa"/>
            <w:shd w:val="clear" w:color="auto" w:fill="FFFFFF" w:themeFill="background1"/>
          </w:tcPr>
          <w:p w14:paraId="1441C18E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(Davis &amp; Rosenberg, 2013; Davis et al., 2017; Lauritsen, 2017; O’Leary et al., 2018; Ogborne &amp; Birchmore-Timney, 1998; Rosenberg &amp; Davis, 2014; Sauvageau, 2018; Vayda, 2016; Xin et al., 2022)</w:t>
            </w:r>
          </w:p>
        </w:tc>
      </w:tr>
      <w:tr w:rsidR="00F07B2D" w:rsidRPr="001260DB" w14:paraId="2CB85CE1" w14:textId="77777777" w:rsidTr="001260DB">
        <w:tc>
          <w:tcPr>
            <w:tcW w:w="3325" w:type="dxa"/>
            <w:shd w:val="clear" w:color="auto" w:fill="D9F2D0" w:themeFill="accent6" w:themeFillTint="33"/>
          </w:tcPr>
          <w:p w14:paraId="74FA8F7D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Community-based organizations  </w:t>
            </w:r>
          </w:p>
        </w:tc>
        <w:tc>
          <w:tcPr>
            <w:tcW w:w="6025" w:type="dxa"/>
            <w:shd w:val="clear" w:color="auto" w:fill="D9F2D0" w:themeFill="accent6" w:themeFillTint="33"/>
          </w:tcPr>
          <w:p w14:paraId="4B5F93DD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t xml:space="preserve"> (Benoit et al., 2014; Clark &amp; Wyllie, 2014; Kapur, 2016; Kyser, 2010; Oluwoye &amp; Fraser, 2021; Suissa &amp; Bélanger, 2001; Vayda, 2016; Waterhouse, 2020)</w:t>
            </w:r>
          </w:p>
        </w:tc>
      </w:tr>
      <w:tr w:rsidR="00F07B2D" w:rsidRPr="001260DB" w14:paraId="4486B124" w14:textId="77777777" w:rsidTr="006A7BE4">
        <w:tc>
          <w:tcPr>
            <w:tcW w:w="3325" w:type="dxa"/>
            <w:shd w:val="clear" w:color="auto" w:fill="FFFFFF" w:themeFill="background1"/>
          </w:tcPr>
          <w:p w14:paraId="37CFE42D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Private practice </w:t>
            </w:r>
          </w:p>
        </w:tc>
        <w:tc>
          <w:tcPr>
            <w:tcW w:w="6025" w:type="dxa"/>
            <w:shd w:val="clear" w:color="auto" w:fill="FFFFFF" w:themeFill="background1"/>
          </w:tcPr>
          <w:p w14:paraId="3D717448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t xml:space="preserve"> (Davis &amp; Rosenberg, 2013; Davis et al., 2017; Kyser, 2010; Lauritsen, 2017; Leiker, 2021; Rosenberg &amp; Davis, 2014; Vayda, 2016; Xin et al., 2022)</w:t>
            </w:r>
          </w:p>
        </w:tc>
      </w:tr>
      <w:tr w:rsidR="00F07B2D" w:rsidRPr="001260DB" w14:paraId="564FCDBC" w14:textId="77777777" w:rsidTr="001260DB">
        <w:tc>
          <w:tcPr>
            <w:tcW w:w="3325" w:type="dxa"/>
            <w:shd w:val="clear" w:color="auto" w:fill="D9F2D0" w:themeFill="accent6" w:themeFillTint="33"/>
          </w:tcPr>
          <w:p w14:paraId="7E469AC0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Universities</w:t>
            </w:r>
          </w:p>
        </w:tc>
        <w:tc>
          <w:tcPr>
            <w:tcW w:w="6025" w:type="dxa"/>
            <w:shd w:val="clear" w:color="auto" w:fill="D9F2D0" w:themeFill="accent6" w:themeFillTint="33"/>
          </w:tcPr>
          <w:p w14:paraId="75ABAE6F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t xml:space="preserve"> (Broussard, 2019; Ellison, 2017; Halladay et al., 2018; Lauritsen, 2017; Vayda, 2016; Xin et al., 2022)</w:t>
            </w:r>
          </w:p>
        </w:tc>
      </w:tr>
      <w:tr w:rsidR="00F07B2D" w:rsidRPr="001260DB" w14:paraId="45843AEE" w14:textId="77777777" w:rsidTr="006A7BE4">
        <w:tc>
          <w:tcPr>
            <w:tcW w:w="3325" w:type="dxa"/>
            <w:shd w:val="clear" w:color="auto" w:fill="FFFFFF" w:themeFill="background1"/>
          </w:tcPr>
          <w:p w14:paraId="4E949769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lastRenderedPageBreak/>
              <w:t xml:space="preserve">Detoxification residences </w:t>
            </w:r>
          </w:p>
        </w:tc>
        <w:tc>
          <w:tcPr>
            <w:tcW w:w="6025" w:type="dxa"/>
            <w:shd w:val="clear" w:color="auto" w:fill="FFFFFF" w:themeFill="background1"/>
          </w:tcPr>
          <w:p w14:paraId="3581897C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(Davis et al., 2017; Leiker, 2021; Ogborne &amp; Birchmore-Timney, 1998; Rosenberg &amp; Davis, 2014; Rosenberg &amp; Melville, 2005; Xin et al., 2022)</w:t>
            </w:r>
          </w:p>
        </w:tc>
      </w:tr>
      <w:tr w:rsidR="00F07B2D" w:rsidRPr="001260DB" w14:paraId="186A0A2C" w14:textId="77777777" w:rsidTr="001260DB">
        <w:tc>
          <w:tcPr>
            <w:tcW w:w="3325" w:type="dxa"/>
            <w:shd w:val="clear" w:color="auto" w:fill="D9F2D0" w:themeFill="accent6" w:themeFillTint="33"/>
          </w:tcPr>
          <w:p w14:paraId="7CD590FA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Halfway houses </w:t>
            </w:r>
          </w:p>
        </w:tc>
        <w:tc>
          <w:tcPr>
            <w:tcW w:w="6025" w:type="dxa"/>
            <w:shd w:val="clear" w:color="auto" w:fill="D9F2D0" w:themeFill="accent6" w:themeFillTint="33"/>
          </w:tcPr>
          <w:p w14:paraId="2827C2D4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(Davis &amp; Rosenberg, 2013; Lauritsen, 2017; Rosenberg &amp; Davis, 2014; Xin et al., 2022)</w:t>
            </w:r>
          </w:p>
        </w:tc>
      </w:tr>
      <w:tr w:rsidR="00F07B2D" w:rsidRPr="001260DB" w14:paraId="6DBE6822" w14:textId="77777777" w:rsidTr="006A7BE4">
        <w:tc>
          <w:tcPr>
            <w:tcW w:w="3325" w:type="dxa"/>
            <w:shd w:val="clear" w:color="auto" w:fill="FFFFFF" w:themeFill="background1"/>
          </w:tcPr>
          <w:p w14:paraId="3714F494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Hospitals</w:t>
            </w:r>
          </w:p>
        </w:tc>
        <w:tc>
          <w:tcPr>
            <w:tcW w:w="6025" w:type="dxa"/>
            <w:shd w:val="clear" w:color="auto" w:fill="FFFFFF" w:themeFill="background1"/>
          </w:tcPr>
          <w:p w14:paraId="39F7AD41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t xml:space="preserve"> (Barbosa-Leiker et al., 2022; Davis et al., 2017; O’Leary et al., 2018; Vayda, 2016)</w:t>
            </w:r>
          </w:p>
        </w:tc>
      </w:tr>
      <w:tr w:rsidR="00F07B2D" w:rsidRPr="001260DB" w14:paraId="7448273A" w14:textId="77777777" w:rsidTr="001260DB">
        <w:tc>
          <w:tcPr>
            <w:tcW w:w="3325" w:type="dxa"/>
            <w:shd w:val="clear" w:color="auto" w:fill="D9F2D0" w:themeFill="accent6" w:themeFillTint="33"/>
          </w:tcPr>
          <w:p w14:paraId="3CADD22B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Prison settings</w:t>
            </w:r>
          </w:p>
        </w:tc>
        <w:tc>
          <w:tcPr>
            <w:tcW w:w="6025" w:type="dxa"/>
            <w:shd w:val="clear" w:color="auto" w:fill="D9F2D0" w:themeFill="accent6" w:themeFillTint="33"/>
          </w:tcPr>
          <w:p w14:paraId="73649229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w:t xml:space="preserve"> (Davis et al., 2017; Kyser, 2010; Richards et al., 2021; Suissa &amp; Bélanger, 2001)</w:t>
            </w:r>
          </w:p>
        </w:tc>
      </w:tr>
      <w:tr w:rsidR="00F07B2D" w:rsidRPr="001260DB" w14:paraId="23B2A9AC" w14:textId="77777777" w:rsidTr="006A7BE4">
        <w:tc>
          <w:tcPr>
            <w:tcW w:w="3325" w:type="dxa"/>
            <w:shd w:val="clear" w:color="auto" w:fill="FFFFFF" w:themeFill="background1"/>
          </w:tcPr>
          <w:p w14:paraId="0F15D156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Schools</w:t>
            </w:r>
          </w:p>
        </w:tc>
        <w:tc>
          <w:tcPr>
            <w:tcW w:w="6025" w:type="dxa"/>
            <w:shd w:val="clear" w:color="auto" w:fill="FFFFFF" w:themeFill="background1"/>
          </w:tcPr>
          <w:p w14:paraId="530C8E0F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(Kyser, 2010; Soura, 2016; Suissa &amp; Bélanger, 2001)</w:t>
            </w:r>
          </w:p>
        </w:tc>
      </w:tr>
      <w:tr w:rsidR="00F07B2D" w:rsidRPr="001260DB" w14:paraId="1C3EF8D7" w14:textId="77777777" w:rsidTr="001260DB">
        <w:tc>
          <w:tcPr>
            <w:tcW w:w="3325" w:type="dxa"/>
            <w:shd w:val="clear" w:color="auto" w:fill="D9F2D0" w:themeFill="accent6" w:themeFillTint="33"/>
          </w:tcPr>
          <w:p w14:paraId="1823E542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Inpatient agencies (public and/or private) for SUDs and/or mental health disorders</w:t>
            </w:r>
          </w:p>
        </w:tc>
        <w:tc>
          <w:tcPr>
            <w:tcW w:w="6025" w:type="dxa"/>
            <w:shd w:val="clear" w:color="auto" w:fill="D9F2D0" w:themeFill="accent6" w:themeFillTint="33"/>
          </w:tcPr>
          <w:p w14:paraId="341ECA2D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(Eversman, 2014; Leiker, 2021; Suissa &amp; Bélanger, 2001)</w:t>
            </w:r>
          </w:p>
        </w:tc>
      </w:tr>
      <w:tr w:rsidR="00F07B2D" w:rsidRPr="001260DB" w14:paraId="510FFAE3" w14:textId="77777777" w:rsidTr="006A7BE4">
        <w:tc>
          <w:tcPr>
            <w:tcW w:w="3325" w:type="dxa"/>
            <w:shd w:val="clear" w:color="auto" w:fill="FFFFFF" w:themeFill="background1"/>
          </w:tcPr>
          <w:p w14:paraId="36DD1770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Homeless services</w:t>
            </w:r>
          </w:p>
        </w:tc>
        <w:tc>
          <w:tcPr>
            <w:tcW w:w="6025" w:type="dxa"/>
            <w:shd w:val="clear" w:color="auto" w:fill="FFFFFF" w:themeFill="background1"/>
          </w:tcPr>
          <w:p w14:paraId="5AD8FA87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(King, 2020; Mancini et al., 2008)</w:t>
            </w:r>
          </w:p>
        </w:tc>
      </w:tr>
      <w:tr w:rsidR="00F07B2D" w:rsidRPr="006A7BE4" w14:paraId="2CBAF428" w14:textId="77777777" w:rsidTr="001260DB">
        <w:tc>
          <w:tcPr>
            <w:tcW w:w="3325" w:type="dxa"/>
            <w:shd w:val="clear" w:color="auto" w:fill="D9F2D0" w:themeFill="accent6" w:themeFillTint="33"/>
          </w:tcPr>
          <w:p w14:paraId="6D18BB3E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Assessment, referral, and counseling services</w:t>
            </w:r>
          </w:p>
        </w:tc>
        <w:tc>
          <w:tcPr>
            <w:tcW w:w="6025" w:type="dxa"/>
            <w:shd w:val="clear" w:color="auto" w:fill="D9F2D0" w:themeFill="accent6" w:themeFillTint="33"/>
          </w:tcPr>
          <w:p w14:paraId="68D41F20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(Ogborne &amp; Birchmore-Timney, 1998; Rosenberg &amp; Melville, 2005)</w:t>
            </w:r>
          </w:p>
        </w:tc>
      </w:tr>
      <w:tr w:rsidR="00F07B2D" w:rsidRPr="001260DB" w14:paraId="6C069D8E" w14:textId="77777777" w:rsidTr="006A7BE4">
        <w:tc>
          <w:tcPr>
            <w:tcW w:w="3325" w:type="dxa"/>
            <w:shd w:val="clear" w:color="auto" w:fill="FFFFFF" w:themeFill="background1"/>
          </w:tcPr>
          <w:p w14:paraId="1B355ABB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Criminal justice system</w:t>
            </w:r>
          </w:p>
        </w:tc>
        <w:tc>
          <w:tcPr>
            <w:tcW w:w="6025" w:type="dxa"/>
            <w:shd w:val="clear" w:color="auto" w:fill="FFFFFF" w:themeFill="background1"/>
          </w:tcPr>
          <w:p w14:paraId="68E67440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(Duke et al., 2020)</w:t>
            </w:r>
          </w:p>
        </w:tc>
      </w:tr>
      <w:tr w:rsidR="00F07B2D" w:rsidRPr="001260DB" w14:paraId="016F63D6" w14:textId="77777777" w:rsidTr="001260DB">
        <w:tc>
          <w:tcPr>
            <w:tcW w:w="3325" w:type="dxa"/>
            <w:shd w:val="clear" w:color="auto" w:fill="D9F2D0" w:themeFill="accent6" w:themeFillTint="33"/>
          </w:tcPr>
          <w:p w14:paraId="54D7366A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Early intervention services for first-episode psychosis </w:t>
            </w:r>
          </w:p>
        </w:tc>
        <w:tc>
          <w:tcPr>
            <w:tcW w:w="6025" w:type="dxa"/>
            <w:shd w:val="clear" w:color="auto" w:fill="D9F2D0" w:themeFill="accent6" w:themeFillTint="33"/>
          </w:tcPr>
          <w:p w14:paraId="5F4F54A7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(Tatar et al., 2021)</w:t>
            </w:r>
          </w:p>
        </w:tc>
      </w:tr>
      <w:tr w:rsidR="00F07B2D" w:rsidRPr="001260DB" w14:paraId="3556FBD1" w14:textId="77777777" w:rsidTr="006A7BE4">
        <w:tc>
          <w:tcPr>
            <w:tcW w:w="3325" w:type="dxa"/>
            <w:shd w:val="clear" w:color="auto" w:fill="FFFFFF" w:themeFill="background1"/>
          </w:tcPr>
          <w:p w14:paraId="2955C210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Public agencies</w:t>
            </w:r>
          </w:p>
        </w:tc>
        <w:tc>
          <w:tcPr>
            <w:tcW w:w="6025" w:type="dxa"/>
            <w:shd w:val="clear" w:color="auto" w:fill="FFFFFF" w:themeFill="background1"/>
          </w:tcPr>
          <w:p w14:paraId="5A02B7EE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(Suissa &amp; Bélanger, 2001)</w:t>
            </w:r>
          </w:p>
        </w:tc>
      </w:tr>
      <w:tr w:rsidR="00F07B2D" w:rsidRPr="001260DB" w14:paraId="3E92039F" w14:textId="77777777" w:rsidTr="001260DB">
        <w:tc>
          <w:tcPr>
            <w:tcW w:w="3325" w:type="dxa"/>
            <w:shd w:val="clear" w:color="auto" w:fill="D9F2D0" w:themeFill="accent6" w:themeFillTint="33"/>
          </w:tcPr>
          <w:p w14:paraId="650754B2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 xml:space="preserve">Agencies for pregnant women with SUDs </w:t>
            </w:r>
          </w:p>
        </w:tc>
        <w:tc>
          <w:tcPr>
            <w:tcW w:w="6025" w:type="dxa"/>
            <w:shd w:val="clear" w:color="auto" w:fill="D9F2D0" w:themeFill="accent6" w:themeFillTint="33"/>
          </w:tcPr>
          <w:p w14:paraId="65490D59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(Long, 2016)</w:t>
            </w:r>
          </w:p>
        </w:tc>
      </w:tr>
      <w:tr w:rsidR="00F07B2D" w:rsidRPr="001260DB" w14:paraId="58AFC10A" w14:textId="77777777" w:rsidTr="006A7BE4">
        <w:tc>
          <w:tcPr>
            <w:tcW w:w="3325" w:type="dxa"/>
            <w:shd w:val="clear" w:color="auto" w:fill="FFFFFF" w:themeFill="background1"/>
          </w:tcPr>
          <w:p w14:paraId="02A1C102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1260DB">
              <w:rPr>
                <w:sz w:val="24"/>
                <w:szCs w:val="24"/>
                <w:lang w:val="en-US"/>
              </w:rPr>
              <w:t>Police sector</w:t>
            </w:r>
          </w:p>
        </w:tc>
        <w:tc>
          <w:tcPr>
            <w:tcW w:w="6025" w:type="dxa"/>
            <w:shd w:val="clear" w:color="auto" w:fill="FFFFFF" w:themeFill="background1"/>
          </w:tcPr>
          <w:p w14:paraId="12761FD4" w14:textId="77777777" w:rsidR="00F07B2D" w:rsidRPr="001260DB" w:rsidRDefault="00F07B2D" w:rsidP="00C0090D">
            <w:pPr>
              <w:spacing w:before="0" w:after="0" w:line="276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>
              <w:rPr>
                <w:noProof/>
                <w:lang w:val="en-US"/>
              </w:rPr>
              <w:t xml:space="preserve"> (Kyser, 2010)</w:t>
            </w:r>
          </w:p>
        </w:tc>
      </w:tr>
    </w:tbl>
    <w:p w14:paraId="698D6FE0" w14:textId="77777777" w:rsidR="00F07B2D" w:rsidRDefault="00F07B2D" w:rsidP="00692430">
      <w:pPr>
        <w:spacing w:line="276" w:lineRule="auto"/>
        <w:ind w:left="0"/>
        <w:jc w:val="both"/>
        <w:rPr>
          <w:lang w:val="en-US"/>
        </w:rPr>
      </w:pPr>
    </w:p>
    <w:p w14:paraId="7209DD02" w14:textId="77777777" w:rsidR="00F07B2D" w:rsidRDefault="00F07B2D" w:rsidP="00692430">
      <w:pPr>
        <w:spacing w:line="276" w:lineRule="auto"/>
        <w:ind w:left="0"/>
        <w:jc w:val="both"/>
        <w:rPr>
          <w:lang w:val="en-US"/>
        </w:rPr>
      </w:pPr>
    </w:p>
    <w:p w14:paraId="4A61681A" w14:textId="77777777" w:rsidR="00A2627F" w:rsidRDefault="00A2627F"/>
    <w:sectPr w:rsidR="00A2627F" w:rsidSect="004B1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F0131"/>
    <w:multiLevelType w:val="hybridMultilevel"/>
    <w:tmpl w:val="4E462FC4"/>
    <w:lvl w:ilvl="0" w:tplc="759EB706">
      <w:start w:val="1"/>
      <w:numFmt w:val="decimal"/>
      <w:lvlText w:val="1.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77A66"/>
    <w:multiLevelType w:val="hybridMultilevel"/>
    <w:tmpl w:val="89ECC1EC"/>
    <w:lvl w:ilvl="0" w:tplc="D9123DB0">
      <w:start w:val="1"/>
      <w:numFmt w:val="decimal"/>
      <w:lvlText w:val="Table 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B67D2"/>
    <w:multiLevelType w:val="multilevel"/>
    <w:tmpl w:val="43E2CA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Restart w:val="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B343103"/>
    <w:multiLevelType w:val="multilevel"/>
    <w:tmpl w:val="3FF28D64"/>
    <w:lvl w:ilvl="0">
      <w:start w:val="1"/>
      <w:numFmt w:val="decimal"/>
      <w:pStyle w:val="ROULAHADDAD"/>
      <w:lvlText w:val="Chapitre %1 : 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Chapitre %1.%2 :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lvlText w:val="%3.%4."/>
      <w:lvlJc w:val="left"/>
      <w:pPr>
        <w:ind w:left="1224" w:hanging="504"/>
      </w:pPr>
      <w:rPr>
        <w:rFonts w:hint="default"/>
      </w:rPr>
    </w:lvl>
    <w:lvl w:ilvl="4">
      <w:start w:val="1"/>
      <w:numFmt w:val="decimal"/>
      <w:lvlText w:val="%3.%4.%5."/>
      <w:lvlJc w:val="left"/>
      <w:pPr>
        <w:ind w:left="1224" w:hanging="5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F7C56EB"/>
    <w:multiLevelType w:val="multilevel"/>
    <w:tmpl w:val="8EAE5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C0379F6"/>
    <w:multiLevelType w:val="multilevel"/>
    <w:tmpl w:val="2E3AC160"/>
    <w:lvl w:ilvl="0">
      <w:start w:val="1"/>
      <w:numFmt w:val="decimal"/>
      <w:lvlText w:val="%1."/>
      <w:lvlJc w:val="left"/>
      <w:pPr>
        <w:ind w:left="-72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tyle1"/>
      <w:lvlText w:val="%1.%2.%3."/>
      <w:lvlJc w:val="left"/>
      <w:pPr>
        <w:ind w:left="50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Restart w:val="1"/>
      <w:lvlText w:val="%1.%2.%3.%4."/>
      <w:lvlJc w:val="left"/>
      <w:pPr>
        <w:ind w:left="1728" w:hanging="648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D720ED4"/>
    <w:multiLevelType w:val="hybridMultilevel"/>
    <w:tmpl w:val="1180E020"/>
    <w:lvl w:ilvl="0" w:tplc="30521DD6">
      <w:start w:val="1"/>
      <w:numFmt w:val="decimal"/>
      <w:pStyle w:val="Heading3"/>
      <w:lvlText w:val="3.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E621C"/>
    <w:multiLevelType w:val="multilevel"/>
    <w:tmpl w:val="2ED2B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PROJET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FED69E9"/>
    <w:multiLevelType w:val="multilevel"/>
    <w:tmpl w:val="C28E511E"/>
    <w:lvl w:ilvl="0">
      <w:start w:val="1"/>
      <w:numFmt w:val="decimal"/>
      <w:lvlText w:val="Chapitre %1 : 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Chapitre %1.%2 :"/>
      <w:lvlJc w:val="left"/>
      <w:pPr>
        <w:ind w:left="4320" w:hanging="43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3.%4."/>
      <w:lvlJc w:val="left"/>
      <w:pPr>
        <w:ind w:left="144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3.%4.%5."/>
      <w:lvlJc w:val="left"/>
      <w:pPr>
        <w:ind w:left="720" w:firstLine="0"/>
      </w:pPr>
      <w:rPr>
        <w:rFonts w:ascii="Times New Roman" w:hAnsi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06776956">
    <w:abstractNumId w:val="0"/>
  </w:num>
  <w:num w:numId="2" w16cid:durableId="1553032851">
    <w:abstractNumId w:val="6"/>
  </w:num>
  <w:num w:numId="3" w16cid:durableId="121308066">
    <w:abstractNumId w:val="4"/>
  </w:num>
  <w:num w:numId="4" w16cid:durableId="731927472">
    <w:abstractNumId w:val="8"/>
  </w:num>
  <w:num w:numId="5" w16cid:durableId="920258672">
    <w:abstractNumId w:val="3"/>
  </w:num>
  <w:num w:numId="6" w16cid:durableId="817307303">
    <w:abstractNumId w:val="2"/>
  </w:num>
  <w:num w:numId="7" w16cid:durableId="349844810">
    <w:abstractNumId w:val="5"/>
  </w:num>
  <w:num w:numId="8" w16cid:durableId="830871229">
    <w:abstractNumId w:val="7"/>
  </w:num>
  <w:num w:numId="9" w16cid:durableId="21156379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4417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07B2D"/>
    <w:rsid w:val="00020217"/>
    <w:rsid w:val="00087A40"/>
    <w:rsid w:val="000C7B5B"/>
    <w:rsid w:val="000D5B04"/>
    <w:rsid w:val="00183A6D"/>
    <w:rsid w:val="001A27CB"/>
    <w:rsid w:val="00251AD6"/>
    <w:rsid w:val="00284081"/>
    <w:rsid w:val="00290C9A"/>
    <w:rsid w:val="00387346"/>
    <w:rsid w:val="003D1AC6"/>
    <w:rsid w:val="003E600C"/>
    <w:rsid w:val="003F4DE2"/>
    <w:rsid w:val="004771A5"/>
    <w:rsid w:val="004B0C5F"/>
    <w:rsid w:val="004B1A73"/>
    <w:rsid w:val="00505448"/>
    <w:rsid w:val="00541A56"/>
    <w:rsid w:val="005504EF"/>
    <w:rsid w:val="005768AB"/>
    <w:rsid w:val="005774B9"/>
    <w:rsid w:val="005C64B8"/>
    <w:rsid w:val="005E46D0"/>
    <w:rsid w:val="006714A3"/>
    <w:rsid w:val="006B4BAC"/>
    <w:rsid w:val="007314B9"/>
    <w:rsid w:val="00777D71"/>
    <w:rsid w:val="00806CAA"/>
    <w:rsid w:val="008F4239"/>
    <w:rsid w:val="00900127"/>
    <w:rsid w:val="00937047"/>
    <w:rsid w:val="00965DBA"/>
    <w:rsid w:val="009949C4"/>
    <w:rsid w:val="009D2761"/>
    <w:rsid w:val="009D403D"/>
    <w:rsid w:val="00A04259"/>
    <w:rsid w:val="00A234A3"/>
    <w:rsid w:val="00A2627F"/>
    <w:rsid w:val="00A8705C"/>
    <w:rsid w:val="00AA5371"/>
    <w:rsid w:val="00B216D4"/>
    <w:rsid w:val="00B4438F"/>
    <w:rsid w:val="00B627C6"/>
    <w:rsid w:val="00BE6E77"/>
    <w:rsid w:val="00C413E7"/>
    <w:rsid w:val="00C943F3"/>
    <w:rsid w:val="00C96776"/>
    <w:rsid w:val="00CB508C"/>
    <w:rsid w:val="00D02A06"/>
    <w:rsid w:val="00D2551B"/>
    <w:rsid w:val="00D32912"/>
    <w:rsid w:val="00DE17CC"/>
    <w:rsid w:val="00DE3351"/>
    <w:rsid w:val="00E20771"/>
    <w:rsid w:val="00F07B2D"/>
    <w:rsid w:val="00F41AD6"/>
    <w:rsid w:val="00FB32D0"/>
    <w:rsid w:val="00FF4C94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0CCB86"/>
  <w15:chartTrackingRefBased/>
  <w15:docId w15:val="{BB78FA97-6394-7D42-9823-BAD23C73E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B2D"/>
    <w:pPr>
      <w:spacing w:before="100" w:after="100" w:line="480" w:lineRule="auto"/>
      <w:ind w:left="1829"/>
    </w:pPr>
    <w:rPr>
      <w:rFonts w:ascii="Times New Roman" w:hAnsi="Times New Roman"/>
      <w:lang w:val="fr-F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07B2D"/>
    <w:pPr>
      <w:keepNext/>
      <w:keepLines/>
      <w:outlineLvl w:val="0"/>
    </w:pPr>
    <w:rPr>
      <w:rFonts w:ascii="Times" w:eastAsiaTheme="majorEastAsia" w:hAnsi="Times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07B2D"/>
    <w:pPr>
      <w:keepNext/>
      <w:keepLines/>
      <w:numPr>
        <w:numId w:val="2"/>
      </w:numPr>
      <w:ind w:left="720" w:hanging="720"/>
      <w:outlineLvl w:val="2"/>
    </w:pPr>
    <w:rPr>
      <w:rFonts w:eastAsiaTheme="majorEastAsia" w:cstheme="majorBidi"/>
      <w:b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07B2D"/>
    <w:pPr>
      <w:keepNext/>
      <w:keepLines/>
      <w:numPr>
        <w:ilvl w:val="3"/>
        <w:numId w:val="8"/>
      </w:numPr>
      <w:spacing w:before="0" w:after="0" w:line="360" w:lineRule="auto"/>
      <w:ind w:left="1728" w:hanging="648"/>
      <w:jc w:val="both"/>
      <w:outlineLvl w:val="3"/>
    </w:pPr>
    <w:rPr>
      <w:rFonts w:eastAsiaTheme="majorEastAsia" w:cstheme="majorBidi"/>
      <w:b/>
      <w:iCs/>
      <w:color w:val="000000" w:themeColor="text1"/>
      <w:lang w:val="fr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B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B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B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B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B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B2D"/>
    <w:rPr>
      <w:rFonts w:ascii="Times" w:eastAsiaTheme="majorEastAsia" w:hAnsi="Times" w:cstheme="majorBidi"/>
      <w:b/>
      <w:color w:val="000000" w:themeColor="text1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B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7B2D"/>
    <w:rPr>
      <w:rFonts w:ascii="Times New Roman" w:eastAsiaTheme="majorEastAsia" w:hAnsi="Times New Roman" w:cstheme="majorBidi"/>
      <w:b/>
      <w:i/>
      <w:color w:val="000000" w:themeColor="text1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F07B2D"/>
    <w:rPr>
      <w:rFonts w:ascii="Times New Roman" w:eastAsiaTheme="majorEastAsia" w:hAnsi="Times New Roman" w:cstheme="majorBidi"/>
      <w:b/>
      <w:iCs/>
      <w:color w:val="000000" w:themeColor="text1"/>
      <w:lang w:val="fr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B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B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B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B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B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B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B2D"/>
    <w:pPr>
      <w:numPr>
        <w:ilvl w:val="1"/>
      </w:numPr>
      <w:spacing w:after="160"/>
      <w:ind w:left="182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B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B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B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B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B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B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B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B2D"/>
    <w:rPr>
      <w:b/>
      <w:bCs/>
      <w:smallCaps/>
      <w:color w:val="0F4761" w:themeColor="accent1" w:themeShade="BF"/>
      <w:spacing w:val="5"/>
    </w:rPr>
  </w:style>
  <w:style w:type="paragraph" w:styleId="TOC1">
    <w:name w:val="toc 1"/>
    <w:aliases w:val="CHAPITRE I"/>
    <w:basedOn w:val="Normal"/>
    <w:next w:val="Normal"/>
    <w:autoRedefine/>
    <w:uiPriority w:val="39"/>
    <w:unhideWhenUsed/>
    <w:qFormat/>
    <w:rsid w:val="00F07B2D"/>
    <w:rPr>
      <w:rFonts w:ascii="Times" w:hAnsi="Times"/>
      <w:b/>
      <w:i/>
    </w:rPr>
  </w:style>
  <w:style w:type="paragraph" w:styleId="TOC2">
    <w:name w:val="toc 2"/>
    <w:basedOn w:val="Normal"/>
    <w:next w:val="Normal"/>
    <w:autoRedefine/>
    <w:uiPriority w:val="39"/>
    <w:unhideWhenUsed/>
    <w:rsid w:val="00F07B2D"/>
    <w:pPr>
      <w:ind w:left="0"/>
    </w:pPr>
    <w:rPr>
      <w:rFonts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07B2D"/>
    <w:pPr>
      <w:ind w:left="720"/>
    </w:pPr>
    <w:rPr>
      <w:rFonts w:cstheme="minorHAnsi"/>
      <w:b/>
      <w:i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07B2D"/>
    <w:pPr>
      <w:ind w:left="720"/>
    </w:pPr>
    <w:rPr>
      <w:rFonts w:cstheme="minorHAnsi"/>
      <w:b/>
      <w:i/>
      <w:szCs w:val="20"/>
    </w:rPr>
  </w:style>
  <w:style w:type="paragraph" w:customStyle="1" w:styleId="PROJET">
    <w:name w:val="PROJET"/>
    <w:basedOn w:val="Normal"/>
    <w:next w:val="Normal"/>
    <w:link w:val="PROJETChar"/>
    <w:autoRedefine/>
    <w:qFormat/>
    <w:rsid w:val="00F07B2D"/>
    <w:pPr>
      <w:numPr>
        <w:ilvl w:val="2"/>
        <w:numId w:val="8"/>
      </w:numPr>
      <w:spacing w:before="0" w:after="0" w:line="360" w:lineRule="auto"/>
      <w:ind w:left="0"/>
      <w:jc w:val="both"/>
    </w:pPr>
    <w:rPr>
      <w:rFonts w:eastAsia="Times New Roman" w:cs="Times New Roman"/>
      <w:b/>
      <w:bCs/>
      <w:lang w:val="en-US"/>
    </w:rPr>
  </w:style>
  <w:style w:type="character" w:customStyle="1" w:styleId="PROJETChar">
    <w:name w:val="PROJET Char"/>
    <w:basedOn w:val="DefaultParagraphFont"/>
    <w:link w:val="PROJET"/>
    <w:rsid w:val="00F07B2D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ROULAHADDAD">
    <w:name w:val="ROULA HADDAD"/>
    <w:basedOn w:val="Normal"/>
    <w:next w:val="Normal"/>
    <w:autoRedefine/>
    <w:qFormat/>
    <w:rsid w:val="00F07B2D"/>
    <w:pPr>
      <w:numPr>
        <w:numId w:val="5"/>
      </w:numPr>
      <w:spacing w:before="0" w:after="0" w:line="360" w:lineRule="auto"/>
      <w:jc w:val="center"/>
    </w:pPr>
    <w:rPr>
      <w:rFonts w:eastAsia="Times New Roman" w:cs="Times New Roman"/>
      <w:b/>
      <w:lang w:val="en-US"/>
    </w:rPr>
  </w:style>
  <w:style w:type="paragraph" w:customStyle="1" w:styleId="Style1">
    <w:name w:val="Style1"/>
    <w:basedOn w:val="Normal"/>
    <w:next w:val="Normal"/>
    <w:autoRedefine/>
    <w:qFormat/>
    <w:rsid w:val="00F07B2D"/>
    <w:pPr>
      <w:numPr>
        <w:ilvl w:val="2"/>
        <w:numId w:val="7"/>
      </w:numPr>
      <w:spacing w:before="0" w:after="0" w:line="360" w:lineRule="auto"/>
      <w:jc w:val="center"/>
    </w:pPr>
    <w:rPr>
      <w:rFonts w:eastAsia="Times New Roman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F07B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B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B2D"/>
    <w:rPr>
      <w:rFonts w:ascii="Times New Roman" w:hAnsi="Times New Roman"/>
      <w:sz w:val="20"/>
      <w:szCs w:val="20"/>
      <w:lang w:val="fr-FR"/>
    </w:rPr>
  </w:style>
  <w:style w:type="table" w:styleId="TableGrid">
    <w:name w:val="Table Grid"/>
    <w:basedOn w:val="TableNormal"/>
    <w:uiPriority w:val="39"/>
    <w:rsid w:val="00F07B2D"/>
    <w:rPr>
      <w:kern w:val="0"/>
      <w:sz w:val="22"/>
      <w:szCs w:val="22"/>
      <w:lang w:val="fr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7B2D"/>
    <w:rPr>
      <w:color w:val="467886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F07B2D"/>
    <w:pPr>
      <w:spacing w:after="0"/>
      <w:jc w:val="center"/>
    </w:pPr>
    <w:rPr>
      <w:rFonts w:cs="Times New Roman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07B2D"/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07B2D"/>
    <w:pPr>
      <w:spacing w:line="240" w:lineRule="auto"/>
      <w:jc w:val="both"/>
    </w:pPr>
    <w:rPr>
      <w:rFonts w:cs="Times New Roman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07B2D"/>
    <w:rPr>
      <w:rFonts w:ascii="Times New Roman" w:hAnsi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07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ula.haddad@umontreal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.~WRD0004</Template>
  <TotalTime>0</TotalTime>
  <Pages>3</Pages>
  <Words>818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Roula Haddad</dc:creator>
  <cp:keywords/>
  <dc:description/>
  <cp:lastModifiedBy>Roula Haddad</cp:lastModifiedBy>
  <cp:revision>5</cp:revision>
  <dcterms:created xsi:type="dcterms:W3CDTF">2024-03-21T16:03:00Z</dcterms:created>
  <dcterms:modified xsi:type="dcterms:W3CDTF">2024-09-10T21:37:00Z</dcterms:modified>
</cp:coreProperties>
</file>