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8B30F1" w14:textId="77777777" w:rsidR="004744BC" w:rsidRPr="004744BC" w:rsidRDefault="004744BC" w:rsidP="004744BC">
      <w:pPr>
        <w:spacing w:before="0" w:after="0" w:line="276" w:lineRule="auto"/>
        <w:ind w:left="0"/>
        <w:jc w:val="center"/>
        <w:rPr>
          <w:b/>
          <w:bCs/>
          <w:lang w:val="en-CA"/>
        </w:rPr>
      </w:pPr>
      <w:r w:rsidRPr="004744BC">
        <w:rPr>
          <w:b/>
          <w:bCs/>
          <w:lang w:val="en-CA"/>
        </w:rPr>
        <w:t>Facilitators of and obstacles to practitioners’ adoption of harm reduction in cannabis use: a scoping review</w:t>
      </w:r>
    </w:p>
    <w:p w14:paraId="10747335" w14:textId="77777777" w:rsidR="00506EE7" w:rsidRDefault="00506EE7" w:rsidP="007F1893">
      <w:pPr>
        <w:spacing w:before="0" w:after="0" w:line="276" w:lineRule="auto"/>
        <w:ind w:left="0"/>
        <w:jc w:val="center"/>
        <w:rPr>
          <w:b/>
          <w:bCs/>
          <w:lang w:val="en-CA"/>
        </w:rPr>
      </w:pPr>
    </w:p>
    <w:p w14:paraId="5E746DE7" w14:textId="503B5921" w:rsidR="00506EE7" w:rsidRPr="00C32010" w:rsidRDefault="00506EE7" w:rsidP="007F1893">
      <w:pPr>
        <w:spacing w:before="0" w:after="0" w:line="276" w:lineRule="auto"/>
        <w:ind w:left="0"/>
        <w:jc w:val="both"/>
        <w:rPr>
          <w:color w:val="000000" w:themeColor="text1"/>
        </w:rPr>
      </w:pPr>
      <w:r>
        <w:rPr>
          <w:color w:val="000000" w:themeColor="text1"/>
        </w:rPr>
        <w:t xml:space="preserve">Roula Haddad, Christian Dagenais, Jean-Sébastien Fallu, </w:t>
      </w:r>
      <w:r w:rsidRPr="00C32010">
        <w:rPr>
          <w:color w:val="000000" w:themeColor="text1"/>
        </w:rPr>
        <w:t xml:space="preserve">Christophe </w:t>
      </w:r>
      <w:r w:rsidR="00785228" w:rsidRPr="0086656C">
        <w:rPr>
          <w:color w:val="000000" w:themeColor="text1"/>
        </w:rPr>
        <w:t>Huỳnh</w:t>
      </w:r>
      <w:r w:rsidRPr="00C32010">
        <w:rPr>
          <w:color w:val="000000" w:themeColor="text1"/>
        </w:rPr>
        <w:t xml:space="preserve">, Laurence D’Arcy, </w:t>
      </w:r>
      <w:r>
        <w:rPr>
          <w:color w:val="000000" w:themeColor="text1"/>
        </w:rPr>
        <w:t>Aurélie Hot</w:t>
      </w:r>
    </w:p>
    <w:p w14:paraId="33A912DB" w14:textId="77777777" w:rsidR="00506EE7" w:rsidRPr="00301DDB" w:rsidRDefault="00506EE7" w:rsidP="007F1893">
      <w:pPr>
        <w:spacing w:before="0" w:after="0" w:line="276" w:lineRule="auto"/>
        <w:ind w:left="0"/>
        <w:jc w:val="both"/>
      </w:pPr>
      <w:r>
        <w:t xml:space="preserve"> </w:t>
      </w:r>
    </w:p>
    <w:p w14:paraId="78453086" w14:textId="77777777" w:rsidR="00506EE7" w:rsidRDefault="00506EE7" w:rsidP="007F1893">
      <w:pPr>
        <w:spacing w:before="0" w:after="0" w:line="276" w:lineRule="auto"/>
        <w:ind w:left="0"/>
        <w:jc w:val="both"/>
        <w:rPr>
          <w:lang w:val="en-US"/>
        </w:rPr>
      </w:pPr>
      <w:r w:rsidRPr="00301DDB">
        <w:rPr>
          <w:lang w:val="en-US"/>
        </w:rPr>
        <w:t xml:space="preserve">Correspondence to Roula Haddad; </w:t>
      </w:r>
      <w:hyperlink r:id="rId5" w:history="1">
        <w:r w:rsidRPr="00301DDB">
          <w:rPr>
            <w:rStyle w:val="Hyperlink"/>
            <w:lang w:val="en-US"/>
          </w:rPr>
          <w:t>roula.haddad@umontreal.ca</w:t>
        </w:r>
      </w:hyperlink>
      <w:r w:rsidRPr="00301DDB">
        <w:rPr>
          <w:lang w:val="en-US"/>
        </w:rPr>
        <w:t xml:space="preserve"> </w:t>
      </w:r>
    </w:p>
    <w:p w14:paraId="11638423" w14:textId="77777777" w:rsidR="00506EE7" w:rsidRPr="00301DDB" w:rsidRDefault="00506EE7" w:rsidP="007F1893">
      <w:pPr>
        <w:spacing w:before="0" w:after="0" w:line="276" w:lineRule="auto"/>
        <w:ind w:left="0"/>
        <w:jc w:val="both"/>
        <w:rPr>
          <w:lang w:val="en-US"/>
        </w:rPr>
      </w:pPr>
    </w:p>
    <w:p w14:paraId="31D0E525" w14:textId="6655BDED" w:rsidR="00506EE7" w:rsidRDefault="006279B5" w:rsidP="007F1893">
      <w:pPr>
        <w:spacing w:line="276" w:lineRule="auto"/>
        <w:ind w:left="0"/>
        <w:jc w:val="both"/>
        <w:rPr>
          <w:b/>
          <w:bCs/>
          <w:lang w:val="en-US"/>
        </w:rPr>
      </w:pPr>
      <w:r>
        <w:rPr>
          <w:b/>
          <w:bCs/>
          <w:lang w:val="en-US"/>
        </w:rPr>
        <w:t>Additional file</w:t>
      </w:r>
      <w:r w:rsidRPr="007F1893">
        <w:rPr>
          <w:b/>
          <w:bCs/>
          <w:lang w:val="en-US"/>
        </w:rPr>
        <w:t xml:space="preserve"> </w:t>
      </w:r>
      <w:r w:rsidR="00FC0869">
        <w:rPr>
          <w:b/>
          <w:bCs/>
          <w:lang w:val="en-US"/>
        </w:rPr>
        <w:t>5</w:t>
      </w:r>
      <w:r w:rsidR="00506EE7" w:rsidRPr="007F1893">
        <w:rPr>
          <w:b/>
          <w:bCs/>
          <w:lang w:val="en-US"/>
        </w:rPr>
        <w:t xml:space="preserve">: </w:t>
      </w:r>
      <w:r w:rsidR="00506EE7">
        <w:rPr>
          <w:b/>
          <w:bCs/>
          <w:lang w:val="en-US"/>
        </w:rPr>
        <w:t xml:space="preserve">Harm reduction definitions as per the authors of the included studies </w:t>
      </w:r>
    </w:p>
    <w:tbl>
      <w:tblPr>
        <w:tblStyle w:val="TableGrid"/>
        <w:tblW w:w="92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0"/>
        <w:gridCol w:w="4585"/>
      </w:tblGrid>
      <w:tr w:rsidR="00506EE7" w:rsidRPr="00AE6522" w14:paraId="5B4E9FB8" w14:textId="77777777" w:rsidTr="002266C2">
        <w:trPr>
          <w:trHeight w:val="216"/>
        </w:trPr>
        <w:tc>
          <w:tcPr>
            <w:tcW w:w="4680" w:type="dxa"/>
            <w:shd w:val="clear" w:color="auto" w:fill="E8E8E8" w:themeFill="background2"/>
          </w:tcPr>
          <w:p w14:paraId="35F37949" w14:textId="77777777" w:rsidR="00506EE7" w:rsidRPr="0061726D" w:rsidRDefault="00506EE7" w:rsidP="002266C2">
            <w:pPr>
              <w:spacing w:before="0" w:after="0" w:line="276" w:lineRule="auto"/>
              <w:ind w:left="0"/>
              <w:jc w:val="both"/>
              <w:rPr>
                <w:rFonts w:ascii="Times" w:hAnsi="Times"/>
                <w:b/>
                <w:bCs/>
                <w:u w:val="single"/>
                <w:lang w:val="en-US"/>
              </w:rPr>
            </w:pPr>
            <w:r w:rsidRPr="0061726D">
              <w:rPr>
                <w:rFonts w:ascii="Times" w:hAnsi="Times"/>
                <w:b/>
                <w:bCs/>
                <w:lang w:val="en-US"/>
              </w:rPr>
              <w:t>Conc</w:t>
            </w:r>
            <w:r>
              <w:rPr>
                <w:rFonts w:ascii="Times" w:hAnsi="Times"/>
                <w:b/>
                <w:bCs/>
                <w:lang w:val="en-US"/>
              </w:rPr>
              <w:t xml:space="preserve">epts retrieved from HR definitions </w:t>
            </w:r>
          </w:p>
        </w:tc>
        <w:tc>
          <w:tcPr>
            <w:tcW w:w="4585" w:type="dxa"/>
            <w:shd w:val="clear" w:color="auto" w:fill="E8E8E8" w:themeFill="background2"/>
          </w:tcPr>
          <w:p w14:paraId="5880ABE0" w14:textId="77777777" w:rsidR="00506EE7" w:rsidRPr="00AE6522" w:rsidRDefault="00506EE7" w:rsidP="002266C2">
            <w:pPr>
              <w:spacing w:before="0" w:after="0" w:line="276" w:lineRule="auto"/>
              <w:ind w:left="0"/>
              <w:jc w:val="both"/>
              <w:rPr>
                <w:rFonts w:ascii="Times" w:hAnsi="Times"/>
                <w:b/>
                <w:bCs/>
                <w:lang w:val="en-US"/>
              </w:rPr>
            </w:pPr>
            <w:r>
              <w:rPr>
                <w:rFonts w:ascii="Times" w:hAnsi="Times"/>
                <w:b/>
                <w:bCs/>
                <w:lang w:val="en-US"/>
              </w:rPr>
              <w:t>References</w:t>
            </w:r>
          </w:p>
        </w:tc>
      </w:tr>
      <w:tr w:rsidR="00506EE7" w:rsidRPr="00CB74B3" w14:paraId="2C93D0DF" w14:textId="77777777" w:rsidTr="002266C2">
        <w:trPr>
          <w:trHeight w:val="216"/>
        </w:trPr>
        <w:tc>
          <w:tcPr>
            <w:tcW w:w="4680" w:type="dxa"/>
            <w:shd w:val="clear" w:color="auto" w:fill="F2F2F2" w:themeFill="background1" w:themeFillShade="F2"/>
            <w:vAlign w:val="center"/>
          </w:tcPr>
          <w:p w14:paraId="72522C88" w14:textId="77777777" w:rsidR="00506EE7" w:rsidRPr="008943A1" w:rsidRDefault="00506EE7" w:rsidP="002266C2">
            <w:pPr>
              <w:spacing w:before="0" w:after="0" w:line="276" w:lineRule="auto"/>
              <w:ind w:left="0"/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Studies that did not define HR </w:t>
            </w:r>
          </w:p>
        </w:tc>
        <w:tc>
          <w:tcPr>
            <w:tcW w:w="4585" w:type="dxa"/>
            <w:shd w:val="clear" w:color="auto" w:fill="F2F2F2" w:themeFill="background1" w:themeFillShade="F2"/>
            <w:vAlign w:val="bottom"/>
          </w:tcPr>
          <w:p w14:paraId="558363AD" w14:textId="77777777" w:rsidR="00506EE7" w:rsidRPr="00CB74B3" w:rsidRDefault="00506EE7" w:rsidP="002266C2">
            <w:pPr>
              <w:spacing w:before="0" w:after="0" w:line="276" w:lineRule="auto"/>
              <w:ind w:left="0"/>
              <w:jc w:val="both"/>
            </w:pPr>
            <w:r>
              <w:rPr>
                <w:noProof/>
                <w:lang w:val="en-US"/>
              </w:rPr>
              <w:t xml:space="preserve"> (Barbosa-Leiker et al., 2022; Broussard, 2019; Ellison, 2017; Halladay et al., 2018; Long, 2016; Oluwoye et Fraser, 2021; Rosenberg et Melville, 2005; Sauvageau, 2018; Schippers et Nelissen, 2006; Suissa et Bélanger, 2001; Tatar et al., 2021; Waterhouse, 2020)</w:t>
            </w:r>
          </w:p>
        </w:tc>
      </w:tr>
      <w:tr w:rsidR="00506EE7" w:rsidRPr="00F566EC" w14:paraId="05A1A3F3" w14:textId="77777777" w:rsidTr="00506EE7">
        <w:trPr>
          <w:trHeight w:val="216"/>
        </w:trPr>
        <w:tc>
          <w:tcPr>
            <w:tcW w:w="4680" w:type="dxa"/>
            <w:shd w:val="clear" w:color="auto" w:fill="A5C9EB" w:themeFill="text2" w:themeFillTint="40"/>
            <w:vAlign w:val="center"/>
          </w:tcPr>
          <w:p w14:paraId="3DC0B981" w14:textId="77777777" w:rsidR="00506EE7" w:rsidRPr="00CB74B3" w:rsidRDefault="00506EE7" w:rsidP="002266C2">
            <w:pPr>
              <w:spacing w:before="0" w:after="0" w:line="276" w:lineRule="auto"/>
              <w:ind w:left="0"/>
              <w:jc w:val="both"/>
              <w:rPr>
                <w:b/>
                <w:bCs/>
                <w:lang w:val="en-US"/>
              </w:rPr>
            </w:pPr>
            <w:r w:rsidRPr="00CB74B3">
              <w:rPr>
                <w:b/>
                <w:bCs/>
                <w:lang w:val="en-US"/>
              </w:rPr>
              <w:t xml:space="preserve">HR conceptualization </w:t>
            </w:r>
          </w:p>
        </w:tc>
        <w:tc>
          <w:tcPr>
            <w:tcW w:w="4585" w:type="dxa"/>
            <w:shd w:val="clear" w:color="auto" w:fill="A5C9EB" w:themeFill="text2" w:themeFillTint="40"/>
          </w:tcPr>
          <w:p w14:paraId="25995013" w14:textId="77777777" w:rsidR="00506EE7" w:rsidRPr="00F566EC" w:rsidRDefault="00506EE7" w:rsidP="002266C2">
            <w:pPr>
              <w:spacing w:before="0" w:after="0" w:line="276" w:lineRule="auto"/>
              <w:ind w:left="0"/>
              <w:jc w:val="both"/>
            </w:pPr>
          </w:p>
        </w:tc>
      </w:tr>
      <w:tr w:rsidR="00506EE7" w:rsidRPr="00F566EC" w14:paraId="718FB5F9" w14:textId="77777777" w:rsidTr="00506EE7">
        <w:trPr>
          <w:trHeight w:val="216"/>
        </w:trPr>
        <w:tc>
          <w:tcPr>
            <w:tcW w:w="4680" w:type="dxa"/>
            <w:shd w:val="clear" w:color="auto" w:fill="DAE9F7" w:themeFill="text2" w:themeFillTint="1A"/>
            <w:vAlign w:val="center"/>
          </w:tcPr>
          <w:p w14:paraId="251B59DA" w14:textId="77777777" w:rsidR="00506EE7" w:rsidRPr="00F566EC" w:rsidRDefault="00506EE7" w:rsidP="002266C2">
            <w:pPr>
              <w:spacing w:before="0" w:after="0" w:line="276" w:lineRule="auto"/>
              <w:ind w:left="0"/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Other appellation for </w:t>
            </w:r>
            <w:r w:rsidRPr="00F566EC">
              <w:rPr>
                <w:lang w:val="en-US"/>
              </w:rPr>
              <w:t>HR</w:t>
            </w:r>
            <w:r>
              <w:rPr>
                <w:lang w:val="en-US"/>
              </w:rPr>
              <w:t xml:space="preserve">: </w:t>
            </w:r>
            <w:r w:rsidRPr="00F566EC">
              <w:rPr>
                <w:lang w:val="en-US"/>
              </w:rPr>
              <w:t xml:space="preserve">“non-abstinence model” </w:t>
            </w:r>
          </w:p>
        </w:tc>
        <w:tc>
          <w:tcPr>
            <w:tcW w:w="4585" w:type="dxa"/>
            <w:shd w:val="clear" w:color="auto" w:fill="DAE9F7" w:themeFill="text2" w:themeFillTint="1A"/>
          </w:tcPr>
          <w:p w14:paraId="2552B8FE" w14:textId="77777777" w:rsidR="00506EE7" w:rsidRPr="00F566EC" w:rsidRDefault="00506EE7" w:rsidP="002266C2">
            <w:pPr>
              <w:spacing w:before="0" w:after="0" w:line="276" w:lineRule="auto"/>
              <w:ind w:left="0"/>
              <w:jc w:val="both"/>
              <w:rPr>
                <w:lang w:val="en-US"/>
              </w:rPr>
            </w:pPr>
            <w:r>
              <w:rPr>
                <w:noProof/>
              </w:rPr>
              <w:t xml:space="preserve"> (Davis et Lauritsen, 2016; Davis et Rosenberg, 2013)</w:t>
            </w:r>
          </w:p>
        </w:tc>
      </w:tr>
      <w:tr w:rsidR="00506EE7" w:rsidRPr="00E92357" w14:paraId="213EED52" w14:textId="77777777" w:rsidTr="002266C2">
        <w:trPr>
          <w:trHeight w:val="216"/>
        </w:trPr>
        <w:tc>
          <w:tcPr>
            <w:tcW w:w="4680" w:type="dxa"/>
            <w:shd w:val="clear" w:color="auto" w:fill="F2F2F2" w:themeFill="background1" w:themeFillShade="F2"/>
            <w:vAlign w:val="center"/>
          </w:tcPr>
          <w:p w14:paraId="3144F929" w14:textId="77777777" w:rsidR="00506EE7" w:rsidRDefault="00506EE7" w:rsidP="002266C2">
            <w:pPr>
              <w:spacing w:before="0" w:after="0" w:line="276" w:lineRule="auto"/>
              <w:ind w:left="0"/>
              <w:jc w:val="both"/>
              <w:rPr>
                <w:lang w:val="en-US"/>
              </w:rPr>
            </w:pPr>
            <w:r>
              <w:rPr>
                <w:lang w:val="en-US"/>
              </w:rPr>
              <w:t>No</w:t>
            </w:r>
            <w:r w:rsidRPr="00056FA9">
              <w:rPr>
                <w:lang w:val="en-US"/>
              </w:rPr>
              <w:t xml:space="preserve"> universal definition </w:t>
            </w:r>
          </w:p>
        </w:tc>
        <w:tc>
          <w:tcPr>
            <w:tcW w:w="4585" w:type="dxa"/>
            <w:shd w:val="clear" w:color="auto" w:fill="F2F2F2" w:themeFill="background1" w:themeFillShade="F2"/>
            <w:vAlign w:val="bottom"/>
          </w:tcPr>
          <w:p w14:paraId="3E175C5B" w14:textId="77777777" w:rsidR="00506EE7" w:rsidRPr="00E92357" w:rsidRDefault="00506EE7" w:rsidP="002266C2">
            <w:pPr>
              <w:spacing w:before="0" w:after="0" w:line="276" w:lineRule="auto"/>
              <w:ind w:left="0"/>
              <w:jc w:val="both"/>
              <w:rPr>
                <w:rFonts w:ascii="Times" w:hAnsi="Times" w:cs="Calibri"/>
                <w:color w:val="000000"/>
                <w:lang w:val="en-US"/>
              </w:rPr>
            </w:pPr>
            <w:r>
              <w:rPr>
                <w:rFonts w:ascii="Times" w:hAnsi="Times" w:cs="Calibri"/>
                <w:noProof/>
                <w:color w:val="000000"/>
              </w:rPr>
              <w:t xml:space="preserve"> (Mancini et al., 2008)</w:t>
            </w:r>
          </w:p>
        </w:tc>
      </w:tr>
      <w:tr w:rsidR="00506EE7" w:rsidRPr="00F566EC" w14:paraId="2283F40F" w14:textId="77777777" w:rsidTr="002266C2">
        <w:trPr>
          <w:trHeight w:val="216"/>
        </w:trPr>
        <w:tc>
          <w:tcPr>
            <w:tcW w:w="4680" w:type="dxa"/>
            <w:shd w:val="clear" w:color="auto" w:fill="B3E5A1" w:themeFill="accent6" w:themeFillTint="66"/>
            <w:vAlign w:val="center"/>
          </w:tcPr>
          <w:p w14:paraId="0623299A" w14:textId="77777777" w:rsidR="00506EE7" w:rsidRPr="0061726D" w:rsidRDefault="00506EE7" w:rsidP="002266C2">
            <w:pPr>
              <w:spacing w:before="0" w:after="0" w:line="276" w:lineRule="auto"/>
              <w:ind w:left="0"/>
              <w:jc w:val="both"/>
              <w:rPr>
                <w:b/>
                <w:bCs/>
                <w:lang w:val="en-US"/>
              </w:rPr>
            </w:pPr>
            <w:r w:rsidRPr="0061726D">
              <w:rPr>
                <w:b/>
                <w:bCs/>
                <w:lang w:val="en-US"/>
              </w:rPr>
              <w:t>Principals of HR</w:t>
            </w:r>
          </w:p>
        </w:tc>
        <w:tc>
          <w:tcPr>
            <w:tcW w:w="4585" w:type="dxa"/>
            <w:shd w:val="clear" w:color="auto" w:fill="B3E5A1" w:themeFill="accent6" w:themeFillTint="66"/>
            <w:vAlign w:val="bottom"/>
          </w:tcPr>
          <w:p w14:paraId="0DFF9F03" w14:textId="77777777" w:rsidR="00506EE7" w:rsidRPr="00F566EC" w:rsidRDefault="00506EE7" w:rsidP="002266C2">
            <w:pPr>
              <w:spacing w:before="0" w:after="0" w:line="276" w:lineRule="auto"/>
              <w:ind w:left="0"/>
              <w:jc w:val="both"/>
              <w:rPr>
                <w:lang w:val="en-US"/>
              </w:rPr>
            </w:pPr>
          </w:p>
        </w:tc>
      </w:tr>
      <w:tr w:rsidR="00506EE7" w:rsidRPr="00D5706A" w14:paraId="2D78EFD2" w14:textId="77777777" w:rsidTr="002266C2">
        <w:trPr>
          <w:trHeight w:val="216"/>
        </w:trPr>
        <w:tc>
          <w:tcPr>
            <w:tcW w:w="4680" w:type="dxa"/>
            <w:shd w:val="clear" w:color="auto" w:fill="D9F2D0" w:themeFill="accent6" w:themeFillTint="33"/>
            <w:vAlign w:val="center"/>
          </w:tcPr>
          <w:p w14:paraId="3B369F3E" w14:textId="77777777" w:rsidR="00506EE7" w:rsidRDefault="00506EE7" w:rsidP="002266C2">
            <w:pPr>
              <w:spacing w:before="0" w:after="0" w:line="276" w:lineRule="auto"/>
              <w:ind w:left="0"/>
              <w:jc w:val="both"/>
              <w:rPr>
                <w:lang w:val="en-US"/>
              </w:rPr>
            </w:pPr>
            <w:r>
              <w:rPr>
                <w:lang w:val="en-US"/>
              </w:rPr>
              <w:t>HR does not primarily focus on</w:t>
            </w:r>
            <w:r w:rsidRPr="00A61DF9">
              <w:rPr>
                <w:lang w:val="en-US"/>
              </w:rPr>
              <w:t xml:space="preserve"> </w:t>
            </w:r>
            <w:r>
              <w:rPr>
                <w:lang w:val="en-US"/>
              </w:rPr>
              <w:t xml:space="preserve">substance </w:t>
            </w:r>
            <w:r w:rsidRPr="00A61DF9">
              <w:rPr>
                <w:lang w:val="en-US"/>
              </w:rPr>
              <w:t>abstinence</w:t>
            </w:r>
          </w:p>
        </w:tc>
        <w:tc>
          <w:tcPr>
            <w:tcW w:w="4585" w:type="dxa"/>
            <w:shd w:val="clear" w:color="auto" w:fill="D9F2D0" w:themeFill="accent6" w:themeFillTint="33"/>
            <w:vAlign w:val="bottom"/>
          </w:tcPr>
          <w:p w14:paraId="3987E56A" w14:textId="77777777" w:rsidR="00506EE7" w:rsidRPr="00F566EC" w:rsidRDefault="00506EE7" w:rsidP="002266C2">
            <w:pPr>
              <w:spacing w:before="0" w:after="0" w:line="276" w:lineRule="auto"/>
              <w:ind w:left="0"/>
              <w:jc w:val="both"/>
              <w:rPr>
                <w:lang w:val="en-US"/>
              </w:rPr>
            </w:pPr>
            <w:r>
              <w:rPr>
                <w:noProof/>
              </w:rPr>
              <w:t xml:space="preserve"> (Clark et Wyllie, 2014; King, 2020; O’Leary et al., 2018; Ogborne et Birchmore-Timney, 1998; Richards et al., 2021)</w:t>
            </w:r>
          </w:p>
        </w:tc>
      </w:tr>
      <w:tr w:rsidR="00506EE7" w:rsidRPr="00F566EC" w14:paraId="0549AC51" w14:textId="77777777" w:rsidTr="002266C2">
        <w:trPr>
          <w:trHeight w:val="216"/>
        </w:trPr>
        <w:tc>
          <w:tcPr>
            <w:tcW w:w="4680" w:type="dxa"/>
            <w:shd w:val="clear" w:color="auto" w:fill="F2F2F2" w:themeFill="background1" w:themeFillShade="F2"/>
            <w:vAlign w:val="center"/>
          </w:tcPr>
          <w:p w14:paraId="13951CBD" w14:textId="77777777" w:rsidR="00506EE7" w:rsidRDefault="00506EE7" w:rsidP="002266C2">
            <w:pPr>
              <w:spacing w:before="0" w:after="0" w:line="276" w:lineRule="auto"/>
              <w:ind w:left="0"/>
              <w:jc w:val="both"/>
              <w:rPr>
                <w:lang w:val="en-US"/>
              </w:rPr>
            </w:pPr>
            <w:r>
              <w:rPr>
                <w:lang w:val="en-US"/>
              </w:rPr>
              <w:t>HR originates</w:t>
            </w:r>
            <w:r w:rsidRPr="00A61DF9">
              <w:rPr>
                <w:lang w:val="en-US"/>
              </w:rPr>
              <w:t xml:space="preserve"> from the field of public health </w:t>
            </w:r>
          </w:p>
          <w:p w14:paraId="5A7C4325" w14:textId="77777777" w:rsidR="00506EE7" w:rsidRPr="00E92357" w:rsidRDefault="00506EE7" w:rsidP="002266C2">
            <w:pPr>
              <w:spacing w:before="0" w:after="0" w:line="276" w:lineRule="auto"/>
              <w:ind w:left="0"/>
              <w:jc w:val="both"/>
              <w:rPr>
                <w:rFonts w:ascii="Times" w:hAnsi="Times" w:cs="Calibri"/>
                <w:color w:val="000000"/>
                <w:lang w:val="en-US"/>
              </w:rPr>
            </w:pPr>
            <w:r>
              <w:rPr>
                <w:lang w:val="en-US"/>
              </w:rPr>
              <w:t xml:space="preserve"> </w:t>
            </w:r>
          </w:p>
          <w:p w14:paraId="6C28BD07" w14:textId="77777777" w:rsidR="00506EE7" w:rsidRDefault="00506EE7" w:rsidP="002266C2">
            <w:pPr>
              <w:spacing w:before="0" w:after="0" w:line="276" w:lineRule="auto"/>
              <w:ind w:left="0"/>
              <w:jc w:val="both"/>
              <w:rPr>
                <w:lang w:val="en-US"/>
              </w:rPr>
            </w:pPr>
          </w:p>
        </w:tc>
        <w:tc>
          <w:tcPr>
            <w:tcW w:w="4585" w:type="dxa"/>
            <w:shd w:val="clear" w:color="auto" w:fill="F2F2F2" w:themeFill="background1" w:themeFillShade="F2"/>
            <w:vAlign w:val="bottom"/>
          </w:tcPr>
          <w:p w14:paraId="71E8A688" w14:textId="77777777" w:rsidR="00506EE7" w:rsidRPr="00F566EC" w:rsidRDefault="00506EE7" w:rsidP="002266C2">
            <w:pPr>
              <w:spacing w:before="0" w:after="0" w:line="276" w:lineRule="auto"/>
              <w:ind w:left="0"/>
              <w:jc w:val="both"/>
              <w:rPr>
                <w:lang w:val="en-US"/>
              </w:rPr>
            </w:pPr>
            <w:r>
              <w:rPr>
                <w:noProof/>
              </w:rPr>
              <w:t xml:space="preserve"> (Eversman, 2014; Housenbold Seiger, 2005; Kapur, 2016; Lauritsen, 2017; Mancini et al., 2008)</w:t>
            </w:r>
          </w:p>
        </w:tc>
      </w:tr>
      <w:tr w:rsidR="00506EE7" w:rsidRPr="00D5706A" w14:paraId="584BBD06" w14:textId="77777777" w:rsidTr="002266C2">
        <w:trPr>
          <w:trHeight w:val="216"/>
        </w:trPr>
        <w:tc>
          <w:tcPr>
            <w:tcW w:w="4680" w:type="dxa"/>
            <w:shd w:val="clear" w:color="auto" w:fill="D9F2D0" w:themeFill="accent6" w:themeFillTint="33"/>
            <w:vAlign w:val="center"/>
          </w:tcPr>
          <w:p w14:paraId="76644B1B" w14:textId="77777777" w:rsidR="00506EE7" w:rsidRDefault="00506EE7" w:rsidP="002266C2">
            <w:pPr>
              <w:spacing w:before="0" w:after="0" w:line="276" w:lineRule="auto"/>
              <w:ind w:left="0"/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HR includes </w:t>
            </w:r>
            <w:r w:rsidRPr="00A61DF9">
              <w:rPr>
                <w:lang w:val="en-US"/>
              </w:rPr>
              <w:t>policies, programs</w:t>
            </w:r>
            <w:r>
              <w:rPr>
                <w:lang w:val="en-US"/>
              </w:rPr>
              <w:t>,</w:t>
            </w:r>
            <w:r w:rsidRPr="00A61DF9">
              <w:rPr>
                <w:lang w:val="en-US"/>
              </w:rPr>
              <w:t xml:space="preserve"> and practices </w:t>
            </w:r>
          </w:p>
          <w:p w14:paraId="00A2470B" w14:textId="77777777" w:rsidR="00506EE7" w:rsidRDefault="00506EE7" w:rsidP="002266C2">
            <w:pPr>
              <w:spacing w:before="0" w:after="0" w:line="276" w:lineRule="auto"/>
              <w:ind w:left="0"/>
              <w:jc w:val="both"/>
              <w:rPr>
                <w:lang w:val="en-US"/>
              </w:rPr>
            </w:pPr>
          </w:p>
        </w:tc>
        <w:tc>
          <w:tcPr>
            <w:tcW w:w="4585" w:type="dxa"/>
            <w:shd w:val="clear" w:color="auto" w:fill="D9F2D0" w:themeFill="accent6" w:themeFillTint="33"/>
            <w:vAlign w:val="bottom"/>
          </w:tcPr>
          <w:p w14:paraId="6C8C2A9D" w14:textId="77777777" w:rsidR="00506EE7" w:rsidRPr="00F566EC" w:rsidRDefault="00506EE7" w:rsidP="002266C2">
            <w:pPr>
              <w:spacing w:before="0" w:after="0" w:line="276" w:lineRule="auto"/>
              <w:ind w:left="0"/>
              <w:jc w:val="both"/>
              <w:rPr>
                <w:lang w:val="en-US"/>
              </w:rPr>
            </w:pPr>
            <w:r>
              <w:rPr>
                <w:noProof/>
              </w:rPr>
              <w:t xml:space="preserve"> (King, 2020; Mancini et al., 2008; Moore et Mattaini, 2014; O’Leary et al., 2018; Ogborne et Birchmore-Timney, 1998)</w:t>
            </w:r>
          </w:p>
        </w:tc>
      </w:tr>
      <w:tr w:rsidR="00506EE7" w:rsidRPr="0061726D" w14:paraId="3AEB73E7" w14:textId="77777777" w:rsidTr="002266C2">
        <w:trPr>
          <w:trHeight w:val="216"/>
        </w:trPr>
        <w:tc>
          <w:tcPr>
            <w:tcW w:w="4680" w:type="dxa"/>
            <w:shd w:val="clear" w:color="auto" w:fill="F2F2F2" w:themeFill="background1" w:themeFillShade="F2"/>
            <w:vAlign w:val="center"/>
          </w:tcPr>
          <w:p w14:paraId="6C9F7B73" w14:textId="77777777" w:rsidR="00506EE7" w:rsidRDefault="00506EE7" w:rsidP="002266C2">
            <w:pPr>
              <w:spacing w:before="0" w:after="0" w:line="276" w:lineRule="auto"/>
              <w:ind w:left="0"/>
              <w:jc w:val="both"/>
              <w:rPr>
                <w:lang w:val="en-US"/>
              </w:rPr>
            </w:pPr>
            <w:r>
              <w:rPr>
                <w:lang w:val="en-US"/>
              </w:rPr>
              <w:t>HR broadens t</w:t>
            </w:r>
            <w:r w:rsidRPr="00A61DF9">
              <w:rPr>
                <w:lang w:val="en-US"/>
              </w:rPr>
              <w:t>he spectrum of intervention goals deemed acceptable</w:t>
            </w:r>
            <w:r>
              <w:rPr>
                <w:lang w:val="en-US"/>
              </w:rPr>
              <w:t xml:space="preserve">  </w:t>
            </w:r>
          </w:p>
        </w:tc>
        <w:tc>
          <w:tcPr>
            <w:tcW w:w="4585" w:type="dxa"/>
            <w:shd w:val="clear" w:color="auto" w:fill="F2F2F2" w:themeFill="background1" w:themeFillShade="F2"/>
            <w:vAlign w:val="bottom"/>
          </w:tcPr>
          <w:p w14:paraId="3D4FD6AD" w14:textId="77777777" w:rsidR="00506EE7" w:rsidRPr="0061726D" w:rsidRDefault="00506EE7" w:rsidP="002266C2">
            <w:pPr>
              <w:spacing w:before="0" w:after="0" w:line="276" w:lineRule="auto"/>
              <w:ind w:left="0"/>
              <w:jc w:val="both"/>
            </w:pPr>
            <w:r>
              <w:rPr>
                <w:noProof/>
              </w:rPr>
              <w:t xml:space="preserve"> (Kyser, 2010; O’Leary et al., 2018; Richards et al., 2021; Vayda, 2016)</w:t>
            </w:r>
          </w:p>
        </w:tc>
      </w:tr>
      <w:tr w:rsidR="00506EE7" w:rsidRPr="00F566EC" w14:paraId="36BA25B2" w14:textId="77777777" w:rsidTr="002266C2">
        <w:trPr>
          <w:trHeight w:val="216"/>
        </w:trPr>
        <w:tc>
          <w:tcPr>
            <w:tcW w:w="4680" w:type="dxa"/>
            <w:shd w:val="clear" w:color="auto" w:fill="D9F2D0" w:themeFill="accent6" w:themeFillTint="33"/>
            <w:vAlign w:val="center"/>
          </w:tcPr>
          <w:p w14:paraId="75CA4293" w14:textId="77777777" w:rsidR="00506EE7" w:rsidRDefault="00506EE7" w:rsidP="002266C2">
            <w:pPr>
              <w:spacing w:before="0" w:after="0" w:line="276" w:lineRule="auto"/>
              <w:ind w:left="0"/>
              <w:jc w:val="both"/>
              <w:rPr>
                <w:lang w:val="en-US"/>
              </w:rPr>
            </w:pPr>
            <w:r>
              <w:rPr>
                <w:lang w:val="en-US"/>
              </w:rPr>
              <w:t>HR</w:t>
            </w:r>
            <w:r w:rsidRPr="00A61DF9">
              <w:rPr>
                <w:lang w:val="en-US"/>
              </w:rPr>
              <w:t xml:space="preserve"> enables access to </w:t>
            </w:r>
            <w:r>
              <w:rPr>
                <w:lang w:val="en-US"/>
              </w:rPr>
              <w:t xml:space="preserve">health </w:t>
            </w:r>
            <w:r w:rsidRPr="00A61DF9">
              <w:rPr>
                <w:lang w:val="en-US"/>
              </w:rPr>
              <w:t xml:space="preserve">services </w:t>
            </w:r>
          </w:p>
        </w:tc>
        <w:tc>
          <w:tcPr>
            <w:tcW w:w="4585" w:type="dxa"/>
            <w:shd w:val="clear" w:color="auto" w:fill="D9F2D0" w:themeFill="accent6" w:themeFillTint="33"/>
            <w:vAlign w:val="bottom"/>
          </w:tcPr>
          <w:p w14:paraId="6B69038D" w14:textId="77777777" w:rsidR="00506EE7" w:rsidRPr="00F566EC" w:rsidRDefault="00506EE7" w:rsidP="002266C2">
            <w:pPr>
              <w:spacing w:before="0" w:after="0" w:line="276" w:lineRule="auto"/>
              <w:ind w:left="0"/>
              <w:jc w:val="both"/>
              <w:rPr>
                <w:lang w:val="en-US"/>
              </w:rPr>
            </w:pPr>
            <w:r>
              <w:rPr>
                <w:rFonts w:ascii="Times" w:hAnsi="Times" w:cs="Calibri"/>
                <w:noProof/>
                <w:color w:val="000000"/>
              </w:rPr>
              <w:t xml:space="preserve"> (Clark et Wyllie, 2014; Kapur, 2016; Kyser, 2010)</w:t>
            </w:r>
          </w:p>
        </w:tc>
      </w:tr>
      <w:tr w:rsidR="00506EE7" w:rsidRPr="0061726D" w14:paraId="377C94EE" w14:textId="77777777" w:rsidTr="002266C2">
        <w:trPr>
          <w:trHeight w:val="216"/>
        </w:trPr>
        <w:tc>
          <w:tcPr>
            <w:tcW w:w="4680" w:type="dxa"/>
            <w:shd w:val="clear" w:color="auto" w:fill="F2F2F2" w:themeFill="background1" w:themeFillShade="F2"/>
            <w:vAlign w:val="center"/>
          </w:tcPr>
          <w:p w14:paraId="1E44DFAE" w14:textId="77777777" w:rsidR="00506EE7" w:rsidRDefault="00506EE7" w:rsidP="002266C2">
            <w:pPr>
              <w:spacing w:before="0" w:after="0" w:line="276" w:lineRule="auto"/>
              <w:ind w:left="0"/>
              <w:jc w:val="both"/>
              <w:rPr>
                <w:lang w:val="en-US"/>
              </w:rPr>
            </w:pPr>
            <w:r>
              <w:rPr>
                <w:rFonts w:ascii="Times" w:hAnsi="Times" w:cs="Calibri"/>
                <w:color w:val="000000"/>
                <w:lang w:val="en-US"/>
              </w:rPr>
              <w:t xml:space="preserve">HR </w:t>
            </w:r>
            <w:r w:rsidRPr="00A61DF9">
              <w:rPr>
                <w:lang w:val="en-US"/>
              </w:rPr>
              <w:t xml:space="preserve">implements educational and preventive strategies </w:t>
            </w:r>
          </w:p>
        </w:tc>
        <w:tc>
          <w:tcPr>
            <w:tcW w:w="4585" w:type="dxa"/>
            <w:shd w:val="clear" w:color="auto" w:fill="F2F2F2" w:themeFill="background1" w:themeFillShade="F2"/>
            <w:vAlign w:val="bottom"/>
          </w:tcPr>
          <w:p w14:paraId="5345CAA9" w14:textId="77777777" w:rsidR="00506EE7" w:rsidRPr="0061726D" w:rsidRDefault="00506EE7" w:rsidP="002266C2">
            <w:pPr>
              <w:spacing w:before="0" w:after="0" w:line="276" w:lineRule="auto"/>
              <w:ind w:left="0"/>
              <w:jc w:val="both"/>
            </w:pPr>
            <w:r>
              <w:rPr>
                <w:rFonts w:ascii="Times" w:hAnsi="Times" w:cs="Calibri"/>
                <w:noProof/>
                <w:color w:val="000000"/>
              </w:rPr>
              <w:t xml:space="preserve"> (Duke et al., 2020; Kapur, 2016; Lauritsen, 2017; Soura, 2016)</w:t>
            </w:r>
          </w:p>
        </w:tc>
      </w:tr>
      <w:tr w:rsidR="00506EE7" w:rsidRPr="00F566EC" w14:paraId="149EB72F" w14:textId="77777777" w:rsidTr="002266C2">
        <w:trPr>
          <w:trHeight w:val="216"/>
        </w:trPr>
        <w:tc>
          <w:tcPr>
            <w:tcW w:w="4680" w:type="dxa"/>
            <w:shd w:val="clear" w:color="auto" w:fill="D9F2D0" w:themeFill="accent6" w:themeFillTint="33"/>
            <w:vAlign w:val="center"/>
          </w:tcPr>
          <w:p w14:paraId="416A38A4" w14:textId="77777777" w:rsidR="00506EE7" w:rsidRDefault="00506EE7" w:rsidP="002266C2">
            <w:pPr>
              <w:spacing w:before="0" w:after="0" w:line="276" w:lineRule="auto"/>
              <w:ind w:left="0"/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HR is a </w:t>
            </w:r>
            <w:r w:rsidRPr="00056FA9">
              <w:rPr>
                <w:lang w:val="en-US"/>
              </w:rPr>
              <w:t>pragmati</w:t>
            </w:r>
            <w:r>
              <w:rPr>
                <w:lang w:val="en-US"/>
              </w:rPr>
              <w:t xml:space="preserve">c intervention </w:t>
            </w:r>
          </w:p>
        </w:tc>
        <w:tc>
          <w:tcPr>
            <w:tcW w:w="4585" w:type="dxa"/>
            <w:shd w:val="clear" w:color="auto" w:fill="D9F2D0" w:themeFill="accent6" w:themeFillTint="33"/>
            <w:vAlign w:val="bottom"/>
          </w:tcPr>
          <w:p w14:paraId="230BBEAD" w14:textId="77777777" w:rsidR="00506EE7" w:rsidRPr="00F566EC" w:rsidRDefault="00506EE7" w:rsidP="002266C2">
            <w:pPr>
              <w:spacing w:before="0" w:after="0" w:line="276" w:lineRule="auto"/>
              <w:ind w:left="0"/>
              <w:jc w:val="both"/>
              <w:rPr>
                <w:lang w:val="en-US"/>
              </w:rPr>
            </w:pPr>
            <w:r>
              <w:rPr>
                <w:rFonts w:ascii="Times" w:hAnsi="Times" w:cs="Calibri"/>
                <w:noProof/>
                <w:color w:val="000000"/>
              </w:rPr>
              <w:t xml:space="preserve"> (Lauritsen, 2017; O’Leary et al., 2018)</w:t>
            </w:r>
            <w:r w:rsidRPr="00056FA9">
              <w:rPr>
                <w:lang w:val="en-US"/>
              </w:rPr>
              <w:t>,</w:t>
            </w:r>
          </w:p>
        </w:tc>
      </w:tr>
      <w:tr w:rsidR="00506EE7" w:rsidRPr="00F566EC" w14:paraId="0FB2D0D9" w14:textId="77777777" w:rsidTr="002266C2">
        <w:trPr>
          <w:trHeight w:val="216"/>
        </w:trPr>
        <w:tc>
          <w:tcPr>
            <w:tcW w:w="4680" w:type="dxa"/>
            <w:shd w:val="clear" w:color="auto" w:fill="F2F2F2" w:themeFill="background1" w:themeFillShade="F2"/>
            <w:vAlign w:val="center"/>
          </w:tcPr>
          <w:p w14:paraId="27E652BA" w14:textId="77777777" w:rsidR="00506EE7" w:rsidRDefault="00506EE7" w:rsidP="002266C2">
            <w:pPr>
              <w:spacing w:before="0" w:after="0" w:line="276" w:lineRule="auto"/>
              <w:ind w:left="0"/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HR is </w:t>
            </w:r>
            <w:r w:rsidRPr="00056FA9">
              <w:rPr>
                <w:lang w:val="en-US"/>
              </w:rPr>
              <w:t xml:space="preserve">alternative to traditional treatments </w:t>
            </w:r>
          </w:p>
        </w:tc>
        <w:tc>
          <w:tcPr>
            <w:tcW w:w="4585" w:type="dxa"/>
            <w:shd w:val="clear" w:color="auto" w:fill="F2F2F2" w:themeFill="background1" w:themeFillShade="F2"/>
            <w:vAlign w:val="bottom"/>
          </w:tcPr>
          <w:p w14:paraId="4A007C71" w14:textId="77777777" w:rsidR="00506EE7" w:rsidRPr="00F566EC" w:rsidRDefault="00506EE7" w:rsidP="002266C2">
            <w:pPr>
              <w:spacing w:before="0" w:after="0" w:line="276" w:lineRule="auto"/>
              <w:ind w:left="0"/>
              <w:jc w:val="both"/>
              <w:rPr>
                <w:lang w:val="en-US"/>
              </w:rPr>
            </w:pPr>
            <w:r>
              <w:rPr>
                <w:rFonts w:ascii="Times" w:hAnsi="Times" w:cs="Calibri"/>
                <w:noProof/>
                <w:color w:val="000000"/>
              </w:rPr>
              <w:t xml:space="preserve"> (Kyser, 2010; Vayda, 2016)</w:t>
            </w:r>
          </w:p>
        </w:tc>
      </w:tr>
      <w:tr w:rsidR="00506EE7" w:rsidRPr="00F566EC" w14:paraId="50D0991A" w14:textId="77777777" w:rsidTr="002266C2">
        <w:trPr>
          <w:trHeight w:val="216"/>
        </w:trPr>
        <w:tc>
          <w:tcPr>
            <w:tcW w:w="4680" w:type="dxa"/>
            <w:shd w:val="clear" w:color="auto" w:fill="D9F2D0" w:themeFill="accent6" w:themeFillTint="33"/>
            <w:vAlign w:val="center"/>
          </w:tcPr>
          <w:p w14:paraId="5A02C77B" w14:textId="77777777" w:rsidR="00506EE7" w:rsidRDefault="00506EE7" w:rsidP="002266C2">
            <w:pPr>
              <w:spacing w:before="0" w:after="0" w:line="276" w:lineRule="auto"/>
              <w:ind w:left="0"/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HR is </w:t>
            </w:r>
            <w:r w:rsidRPr="00056FA9">
              <w:rPr>
                <w:lang w:val="en-US"/>
              </w:rPr>
              <w:t xml:space="preserve">based on humanistic values </w:t>
            </w:r>
          </w:p>
        </w:tc>
        <w:tc>
          <w:tcPr>
            <w:tcW w:w="4585" w:type="dxa"/>
            <w:shd w:val="clear" w:color="auto" w:fill="D9F2D0" w:themeFill="accent6" w:themeFillTint="33"/>
            <w:vAlign w:val="bottom"/>
          </w:tcPr>
          <w:p w14:paraId="37ABB1CB" w14:textId="77777777" w:rsidR="00506EE7" w:rsidRPr="00F566EC" w:rsidRDefault="00506EE7" w:rsidP="002266C2">
            <w:pPr>
              <w:spacing w:before="0" w:after="0" w:line="276" w:lineRule="auto"/>
              <w:ind w:left="0"/>
              <w:jc w:val="both"/>
              <w:rPr>
                <w:lang w:val="en-US"/>
              </w:rPr>
            </w:pPr>
            <w:r>
              <w:rPr>
                <w:rFonts w:ascii="Times" w:hAnsi="Times" w:cs="Calibri"/>
                <w:noProof/>
                <w:color w:val="000000"/>
              </w:rPr>
              <w:t xml:space="preserve"> (Housenbold Seiger, 2005; Kapur, 2016)</w:t>
            </w:r>
          </w:p>
        </w:tc>
      </w:tr>
      <w:tr w:rsidR="00506EE7" w:rsidRPr="00F566EC" w14:paraId="55568A2B" w14:textId="77777777" w:rsidTr="002266C2">
        <w:trPr>
          <w:trHeight w:val="216"/>
        </w:trPr>
        <w:tc>
          <w:tcPr>
            <w:tcW w:w="4680" w:type="dxa"/>
            <w:shd w:val="clear" w:color="auto" w:fill="F2F2F2" w:themeFill="background1" w:themeFillShade="F2"/>
            <w:vAlign w:val="center"/>
          </w:tcPr>
          <w:p w14:paraId="6D8E6AE9" w14:textId="77777777" w:rsidR="00506EE7" w:rsidRDefault="00506EE7" w:rsidP="002266C2">
            <w:pPr>
              <w:spacing w:before="0" w:after="0" w:line="276" w:lineRule="auto"/>
              <w:ind w:left="0"/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HR </w:t>
            </w:r>
            <w:r w:rsidRPr="00056FA9">
              <w:rPr>
                <w:lang w:val="en-US"/>
              </w:rPr>
              <w:t>brings together different treatment methods</w:t>
            </w:r>
            <w:r>
              <w:rPr>
                <w:lang w:val="en-US"/>
              </w:rPr>
              <w:t xml:space="preserve"> </w:t>
            </w:r>
          </w:p>
        </w:tc>
        <w:tc>
          <w:tcPr>
            <w:tcW w:w="4585" w:type="dxa"/>
            <w:shd w:val="clear" w:color="auto" w:fill="F2F2F2" w:themeFill="background1" w:themeFillShade="F2"/>
            <w:vAlign w:val="bottom"/>
          </w:tcPr>
          <w:p w14:paraId="0BA85F23" w14:textId="77777777" w:rsidR="00506EE7" w:rsidRPr="00F566EC" w:rsidRDefault="00506EE7" w:rsidP="002266C2">
            <w:pPr>
              <w:spacing w:before="0" w:after="0" w:line="276" w:lineRule="auto"/>
              <w:ind w:left="0"/>
              <w:jc w:val="both"/>
              <w:rPr>
                <w:lang w:val="en-US"/>
              </w:rPr>
            </w:pPr>
            <w:r>
              <w:rPr>
                <w:rFonts w:ascii="Times" w:hAnsi="Times" w:cs="Calibri"/>
                <w:noProof/>
                <w:color w:val="000000"/>
              </w:rPr>
              <w:t xml:space="preserve"> (Housenbold Seiger, 2005; Kyser, 2010)</w:t>
            </w:r>
          </w:p>
        </w:tc>
      </w:tr>
      <w:tr w:rsidR="00506EE7" w:rsidRPr="00F566EC" w14:paraId="0B468669" w14:textId="77777777" w:rsidTr="002266C2">
        <w:trPr>
          <w:trHeight w:val="216"/>
        </w:trPr>
        <w:tc>
          <w:tcPr>
            <w:tcW w:w="4680" w:type="dxa"/>
            <w:shd w:val="clear" w:color="auto" w:fill="D9F2D0" w:themeFill="accent6" w:themeFillTint="33"/>
            <w:vAlign w:val="center"/>
          </w:tcPr>
          <w:p w14:paraId="73FF8642" w14:textId="77777777" w:rsidR="00506EE7" w:rsidRDefault="00506EE7" w:rsidP="002266C2">
            <w:pPr>
              <w:spacing w:before="0" w:after="0" w:line="276" w:lineRule="auto"/>
              <w:ind w:left="0"/>
              <w:jc w:val="both"/>
              <w:rPr>
                <w:lang w:val="en-US"/>
              </w:rPr>
            </w:pPr>
            <w:r>
              <w:rPr>
                <w:lang w:val="en-US"/>
              </w:rPr>
              <w:t>HR</w:t>
            </w:r>
            <w:r w:rsidRPr="00056FA9">
              <w:rPr>
                <w:lang w:val="en-US"/>
              </w:rPr>
              <w:t xml:space="preserve"> reaches the client</w:t>
            </w:r>
            <w:r>
              <w:rPr>
                <w:lang w:val="en-US"/>
              </w:rPr>
              <w:t>s</w:t>
            </w:r>
            <w:r w:rsidRPr="00056FA9">
              <w:rPr>
                <w:lang w:val="en-US"/>
              </w:rPr>
              <w:t xml:space="preserve"> where </w:t>
            </w:r>
            <w:r>
              <w:rPr>
                <w:lang w:val="en-US"/>
              </w:rPr>
              <w:t>they are</w:t>
            </w:r>
            <w:r w:rsidRPr="00056FA9">
              <w:rPr>
                <w:lang w:val="en-US"/>
              </w:rPr>
              <w:t xml:space="preserve"> </w:t>
            </w:r>
          </w:p>
        </w:tc>
        <w:tc>
          <w:tcPr>
            <w:tcW w:w="4585" w:type="dxa"/>
            <w:shd w:val="clear" w:color="auto" w:fill="D9F2D0" w:themeFill="accent6" w:themeFillTint="33"/>
            <w:vAlign w:val="bottom"/>
          </w:tcPr>
          <w:p w14:paraId="2CCE8EBC" w14:textId="77777777" w:rsidR="00506EE7" w:rsidRPr="00F566EC" w:rsidRDefault="00506EE7" w:rsidP="002266C2">
            <w:pPr>
              <w:spacing w:before="0" w:after="0" w:line="276" w:lineRule="auto"/>
              <w:ind w:left="0"/>
              <w:jc w:val="both"/>
              <w:rPr>
                <w:lang w:val="en-US"/>
              </w:rPr>
            </w:pPr>
            <w:r>
              <w:rPr>
                <w:rFonts w:ascii="Times" w:hAnsi="Times" w:cs="Calibri"/>
                <w:noProof/>
                <w:color w:val="000000"/>
              </w:rPr>
              <w:t xml:space="preserve"> (Kyser, 2010; Lauritsen, 2017)</w:t>
            </w:r>
          </w:p>
        </w:tc>
      </w:tr>
      <w:tr w:rsidR="00506EE7" w:rsidRPr="00F566EC" w14:paraId="50EFC57B" w14:textId="77777777" w:rsidTr="002266C2">
        <w:trPr>
          <w:trHeight w:val="216"/>
        </w:trPr>
        <w:tc>
          <w:tcPr>
            <w:tcW w:w="4680" w:type="dxa"/>
            <w:shd w:val="clear" w:color="auto" w:fill="F2F2F2" w:themeFill="background1" w:themeFillShade="F2"/>
            <w:vAlign w:val="center"/>
          </w:tcPr>
          <w:p w14:paraId="2B9F21E5" w14:textId="77777777" w:rsidR="00506EE7" w:rsidRDefault="00506EE7" w:rsidP="002266C2">
            <w:pPr>
              <w:spacing w:before="0" w:after="0" w:line="276" w:lineRule="auto"/>
              <w:ind w:left="0"/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HR </w:t>
            </w:r>
            <w:r w:rsidRPr="00056FA9">
              <w:rPr>
                <w:lang w:val="en-US"/>
              </w:rPr>
              <w:t xml:space="preserve">disfavors stigmatization </w:t>
            </w:r>
          </w:p>
        </w:tc>
        <w:tc>
          <w:tcPr>
            <w:tcW w:w="4585" w:type="dxa"/>
            <w:shd w:val="clear" w:color="auto" w:fill="F2F2F2" w:themeFill="background1" w:themeFillShade="F2"/>
            <w:vAlign w:val="bottom"/>
          </w:tcPr>
          <w:p w14:paraId="12E40711" w14:textId="77777777" w:rsidR="00506EE7" w:rsidRPr="00F566EC" w:rsidRDefault="00506EE7" w:rsidP="002266C2">
            <w:pPr>
              <w:spacing w:before="0" w:after="0" w:line="276" w:lineRule="auto"/>
              <w:ind w:left="0"/>
              <w:jc w:val="both"/>
              <w:rPr>
                <w:lang w:val="en-US"/>
              </w:rPr>
            </w:pPr>
            <w:r>
              <w:rPr>
                <w:rFonts w:ascii="Times" w:hAnsi="Times" w:cs="Calibri"/>
                <w:noProof/>
                <w:color w:val="000000"/>
              </w:rPr>
              <w:t xml:space="preserve"> (Richards et al., 2021; Vayda, 2016)</w:t>
            </w:r>
          </w:p>
        </w:tc>
      </w:tr>
      <w:tr w:rsidR="00506EE7" w:rsidRPr="00F566EC" w14:paraId="39420ADF" w14:textId="77777777" w:rsidTr="002266C2">
        <w:trPr>
          <w:trHeight w:val="216"/>
        </w:trPr>
        <w:tc>
          <w:tcPr>
            <w:tcW w:w="4680" w:type="dxa"/>
            <w:shd w:val="clear" w:color="auto" w:fill="D9F2D0" w:themeFill="accent6" w:themeFillTint="33"/>
            <w:vAlign w:val="center"/>
          </w:tcPr>
          <w:p w14:paraId="1977E344" w14:textId="77777777" w:rsidR="00506EE7" w:rsidRDefault="00506EE7" w:rsidP="002266C2">
            <w:pPr>
              <w:spacing w:before="0" w:after="0" w:line="276" w:lineRule="auto"/>
              <w:ind w:left="0"/>
              <w:jc w:val="both"/>
              <w:rPr>
                <w:lang w:val="en-US"/>
              </w:rPr>
            </w:pPr>
            <w:r>
              <w:rPr>
                <w:lang w:val="en-US"/>
              </w:rPr>
              <w:lastRenderedPageBreak/>
              <w:t xml:space="preserve">HR </w:t>
            </w:r>
            <w:r w:rsidRPr="00056FA9">
              <w:rPr>
                <w:lang w:val="en-US"/>
              </w:rPr>
              <w:t>perceives substance use as a universal societal behavior</w:t>
            </w:r>
            <w:r>
              <w:rPr>
                <w:lang w:val="en-US"/>
              </w:rPr>
              <w:t xml:space="preserve"> </w:t>
            </w:r>
          </w:p>
        </w:tc>
        <w:tc>
          <w:tcPr>
            <w:tcW w:w="4585" w:type="dxa"/>
            <w:shd w:val="clear" w:color="auto" w:fill="D9F2D0" w:themeFill="accent6" w:themeFillTint="33"/>
            <w:vAlign w:val="bottom"/>
          </w:tcPr>
          <w:p w14:paraId="27566A8A" w14:textId="77777777" w:rsidR="00506EE7" w:rsidRPr="00F566EC" w:rsidRDefault="00506EE7" w:rsidP="002266C2">
            <w:pPr>
              <w:spacing w:before="0" w:after="0" w:line="276" w:lineRule="auto"/>
              <w:ind w:left="0"/>
              <w:jc w:val="both"/>
              <w:rPr>
                <w:lang w:val="en-US"/>
              </w:rPr>
            </w:pPr>
            <w:r>
              <w:rPr>
                <w:rFonts w:ascii="Times" w:hAnsi="Times" w:cs="Calibri"/>
                <w:noProof/>
                <w:color w:val="000000"/>
              </w:rPr>
              <w:t xml:space="preserve"> (Eversman, 2014)</w:t>
            </w:r>
          </w:p>
        </w:tc>
      </w:tr>
      <w:tr w:rsidR="00506EE7" w:rsidRPr="00F566EC" w14:paraId="1810B7E6" w14:textId="77777777" w:rsidTr="002266C2">
        <w:trPr>
          <w:trHeight w:val="216"/>
        </w:trPr>
        <w:tc>
          <w:tcPr>
            <w:tcW w:w="4680" w:type="dxa"/>
            <w:shd w:val="clear" w:color="auto" w:fill="F2F2F2" w:themeFill="background1" w:themeFillShade="F2"/>
            <w:vAlign w:val="center"/>
          </w:tcPr>
          <w:p w14:paraId="35A7E594" w14:textId="77777777" w:rsidR="00506EE7" w:rsidRDefault="00506EE7" w:rsidP="002266C2">
            <w:pPr>
              <w:spacing w:before="0" w:after="0" w:line="276" w:lineRule="auto"/>
              <w:ind w:left="0"/>
              <w:jc w:val="both"/>
              <w:rPr>
                <w:lang w:val="en-US"/>
              </w:rPr>
            </w:pPr>
            <w:r>
              <w:rPr>
                <w:lang w:val="en-US"/>
              </w:rPr>
              <w:t>HR is</w:t>
            </w:r>
            <w:r w:rsidRPr="00056FA9">
              <w:rPr>
                <w:lang w:val="en-US"/>
              </w:rPr>
              <w:t xml:space="preserve"> evidence-based </w:t>
            </w:r>
          </w:p>
        </w:tc>
        <w:tc>
          <w:tcPr>
            <w:tcW w:w="4585" w:type="dxa"/>
            <w:shd w:val="clear" w:color="auto" w:fill="F2F2F2" w:themeFill="background1" w:themeFillShade="F2"/>
            <w:vAlign w:val="bottom"/>
          </w:tcPr>
          <w:p w14:paraId="051F2D12" w14:textId="77777777" w:rsidR="00506EE7" w:rsidRPr="00F566EC" w:rsidRDefault="00506EE7" w:rsidP="002266C2">
            <w:pPr>
              <w:spacing w:before="0" w:after="0" w:line="276" w:lineRule="auto"/>
              <w:ind w:left="0"/>
              <w:jc w:val="both"/>
              <w:rPr>
                <w:lang w:val="en-US"/>
              </w:rPr>
            </w:pPr>
            <w:r>
              <w:rPr>
                <w:rFonts w:ascii="Times" w:hAnsi="Times" w:cs="Calibri"/>
                <w:noProof/>
                <w:color w:val="000000"/>
              </w:rPr>
              <w:t xml:space="preserve"> (O’Leary et al., 2018)</w:t>
            </w:r>
          </w:p>
        </w:tc>
      </w:tr>
      <w:tr w:rsidR="00506EE7" w:rsidRPr="00F566EC" w14:paraId="4AB6536A" w14:textId="77777777" w:rsidTr="002266C2">
        <w:trPr>
          <w:trHeight w:val="216"/>
        </w:trPr>
        <w:tc>
          <w:tcPr>
            <w:tcW w:w="4680" w:type="dxa"/>
            <w:shd w:val="clear" w:color="auto" w:fill="D9F2D0" w:themeFill="accent6" w:themeFillTint="33"/>
            <w:vAlign w:val="center"/>
          </w:tcPr>
          <w:p w14:paraId="546BBA69" w14:textId="77777777" w:rsidR="00506EE7" w:rsidRDefault="00506EE7" w:rsidP="002266C2">
            <w:pPr>
              <w:spacing w:before="0" w:after="0" w:line="276" w:lineRule="auto"/>
              <w:ind w:left="0"/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HR </w:t>
            </w:r>
            <w:r w:rsidRPr="00056FA9">
              <w:rPr>
                <w:lang w:val="en-US"/>
              </w:rPr>
              <w:t xml:space="preserve">is </w:t>
            </w:r>
            <w:r>
              <w:rPr>
                <w:lang w:val="en-US"/>
              </w:rPr>
              <w:t xml:space="preserve">a </w:t>
            </w:r>
            <w:r w:rsidRPr="00056FA9">
              <w:rPr>
                <w:lang w:val="en-US"/>
              </w:rPr>
              <w:t>non-humiliating</w:t>
            </w:r>
            <w:r>
              <w:rPr>
                <w:lang w:val="en-US"/>
              </w:rPr>
              <w:t xml:space="preserve"> and</w:t>
            </w:r>
            <w:r w:rsidRPr="00056FA9">
              <w:rPr>
                <w:lang w:val="en-US"/>
              </w:rPr>
              <w:t xml:space="preserve"> non-punitive </w:t>
            </w:r>
            <w:r>
              <w:rPr>
                <w:lang w:val="en-US"/>
              </w:rPr>
              <w:t>model</w:t>
            </w:r>
            <w:r w:rsidRPr="00056FA9">
              <w:rPr>
                <w:lang w:val="en-US"/>
              </w:rPr>
              <w:t xml:space="preserve"> </w:t>
            </w:r>
          </w:p>
        </w:tc>
        <w:tc>
          <w:tcPr>
            <w:tcW w:w="4585" w:type="dxa"/>
            <w:shd w:val="clear" w:color="auto" w:fill="D9F2D0" w:themeFill="accent6" w:themeFillTint="33"/>
            <w:vAlign w:val="bottom"/>
          </w:tcPr>
          <w:p w14:paraId="43DB2F67" w14:textId="77777777" w:rsidR="00506EE7" w:rsidRPr="00F566EC" w:rsidRDefault="00506EE7" w:rsidP="002266C2">
            <w:pPr>
              <w:spacing w:before="0" w:after="0" w:line="276" w:lineRule="auto"/>
              <w:ind w:left="0"/>
              <w:jc w:val="both"/>
              <w:rPr>
                <w:lang w:val="en-US"/>
              </w:rPr>
            </w:pPr>
            <w:r>
              <w:rPr>
                <w:rFonts w:ascii="Times" w:hAnsi="Times" w:cs="Calibri"/>
                <w:noProof/>
                <w:color w:val="000000"/>
              </w:rPr>
              <w:t xml:space="preserve"> (Lauritsen, 2017)</w:t>
            </w:r>
          </w:p>
        </w:tc>
      </w:tr>
      <w:tr w:rsidR="00506EE7" w:rsidRPr="00F566EC" w14:paraId="6109A0F6" w14:textId="77777777" w:rsidTr="002266C2">
        <w:trPr>
          <w:trHeight w:val="216"/>
        </w:trPr>
        <w:tc>
          <w:tcPr>
            <w:tcW w:w="4680" w:type="dxa"/>
            <w:shd w:val="clear" w:color="auto" w:fill="F2F2F2" w:themeFill="background1" w:themeFillShade="F2"/>
            <w:vAlign w:val="center"/>
          </w:tcPr>
          <w:p w14:paraId="4FAAF0E9" w14:textId="77777777" w:rsidR="00506EE7" w:rsidRDefault="00506EE7" w:rsidP="002266C2">
            <w:pPr>
              <w:spacing w:before="0" w:after="0" w:line="276" w:lineRule="auto"/>
              <w:ind w:left="0"/>
              <w:jc w:val="both"/>
              <w:rPr>
                <w:lang w:val="en-US"/>
              </w:rPr>
            </w:pPr>
            <w:r>
              <w:rPr>
                <w:lang w:val="en-US"/>
              </w:rPr>
              <w:t>HR</w:t>
            </w:r>
            <w:r w:rsidRPr="00056FA9">
              <w:rPr>
                <w:lang w:val="en-US"/>
              </w:rPr>
              <w:t xml:space="preserve"> is often presented as the opposite of the abstinence-based model </w:t>
            </w:r>
          </w:p>
        </w:tc>
        <w:tc>
          <w:tcPr>
            <w:tcW w:w="4585" w:type="dxa"/>
            <w:shd w:val="clear" w:color="auto" w:fill="F2F2F2" w:themeFill="background1" w:themeFillShade="F2"/>
            <w:vAlign w:val="bottom"/>
          </w:tcPr>
          <w:p w14:paraId="6BE8E798" w14:textId="77777777" w:rsidR="00506EE7" w:rsidRPr="00F566EC" w:rsidRDefault="00506EE7" w:rsidP="002266C2">
            <w:pPr>
              <w:spacing w:before="0" w:after="0" w:line="276" w:lineRule="auto"/>
              <w:ind w:left="0"/>
              <w:jc w:val="both"/>
              <w:rPr>
                <w:lang w:val="en-US"/>
              </w:rPr>
            </w:pPr>
            <w:r>
              <w:rPr>
                <w:rFonts w:ascii="Times" w:hAnsi="Times" w:cs="Calibri"/>
                <w:noProof/>
                <w:color w:val="000000"/>
              </w:rPr>
              <w:t xml:space="preserve"> (Abbott-Chapman et al., 2007)</w:t>
            </w:r>
          </w:p>
        </w:tc>
      </w:tr>
      <w:tr w:rsidR="00506EE7" w:rsidRPr="00F566EC" w14:paraId="6D511876" w14:textId="77777777" w:rsidTr="00506EE7">
        <w:trPr>
          <w:trHeight w:val="216"/>
        </w:trPr>
        <w:tc>
          <w:tcPr>
            <w:tcW w:w="4680" w:type="dxa"/>
            <w:shd w:val="clear" w:color="auto" w:fill="A5C9EB" w:themeFill="text2" w:themeFillTint="40"/>
            <w:vAlign w:val="center"/>
          </w:tcPr>
          <w:p w14:paraId="4970E90A" w14:textId="77777777" w:rsidR="00506EE7" w:rsidRPr="0061726D" w:rsidRDefault="00506EE7" w:rsidP="002266C2">
            <w:pPr>
              <w:spacing w:before="0" w:after="0" w:line="276" w:lineRule="auto"/>
              <w:ind w:left="0"/>
              <w:jc w:val="both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Efficacity of HR </w:t>
            </w:r>
          </w:p>
        </w:tc>
        <w:tc>
          <w:tcPr>
            <w:tcW w:w="4585" w:type="dxa"/>
            <w:shd w:val="clear" w:color="auto" w:fill="A5C9EB" w:themeFill="text2" w:themeFillTint="40"/>
            <w:vAlign w:val="bottom"/>
          </w:tcPr>
          <w:p w14:paraId="0BA8FF26" w14:textId="77777777" w:rsidR="00506EE7" w:rsidRPr="00F566EC" w:rsidRDefault="00506EE7" w:rsidP="002266C2">
            <w:pPr>
              <w:spacing w:before="0" w:after="0" w:line="276" w:lineRule="auto"/>
              <w:ind w:left="0"/>
              <w:jc w:val="both"/>
              <w:rPr>
                <w:lang w:val="en-US"/>
              </w:rPr>
            </w:pPr>
          </w:p>
        </w:tc>
      </w:tr>
      <w:tr w:rsidR="00506EE7" w:rsidRPr="00E92357" w14:paraId="42F650CE" w14:textId="77777777" w:rsidTr="00506EE7">
        <w:trPr>
          <w:trHeight w:val="216"/>
        </w:trPr>
        <w:tc>
          <w:tcPr>
            <w:tcW w:w="4680" w:type="dxa"/>
            <w:shd w:val="clear" w:color="auto" w:fill="DAE9F7" w:themeFill="text2" w:themeFillTint="1A"/>
            <w:vAlign w:val="center"/>
          </w:tcPr>
          <w:p w14:paraId="5B2467E4" w14:textId="77777777" w:rsidR="00506EE7" w:rsidRPr="00AE6522" w:rsidRDefault="00506EE7" w:rsidP="002266C2">
            <w:pPr>
              <w:spacing w:before="0" w:after="0" w:line="276" w:lineRule="auto"/>
              <w:ind w:left="0"/>
              <w:jc w:val="both"/>
              <w:rPr>
                <w:rFonts w:ascii="Times" w:hAnsi="Times" w:cs="Calibri"/>
                <w:color w:val="000000"/>
                <w:lang w:val="en-US"/>
              </w:rPr>
            </w:pPr>
            <w:r>
              <w:rPr>
                <w:lang w:val="en-US"/>
              </w:rPr>
              <w:t xml:space="preserve">HR </w:t>
            </w:r>
            <w:r w:rsidRPr="008943A1">
              <w:rPr>
                <w:lang w:val="en-US"/>
              </w:rPr>
              <w:t>reduce</w:t>
            </w:r>
            <w:r>
              <w:rPr>
                <w:lang w:val="en-US"/>
              </w:rPr>
              <w:t>s</w:t>
            </w:r>
            <w:r w:rsidRPr="008943A1">
              <w:rPr>
                <w:lang w:val="en-US"/>
              </w:rPr>
              <w:t xml:space="preserve"> the negative legal, medical, </w:t>
            </w:r>
            <w:r>
              <w:rPr>
                <w:lang w:val="en-US"/>
              </w:rPr>
              <w:t>professional</w:t>
            </w:r>
            <w:r w:rsidRPr="008943A1">
              <w:rPr>
                <w:lang w:val="en-US"/>
              </w:rPr>
              <w:t xml:space="preserve">, social, economic and/or family harms of the substance  </w:t>
            </w:r>
          </w:p>
        </w:tc>
        <w:tc>
          <w:tcPr>
            <w:tcW w:w="4585" w:type="dxa"/>
            <w:shd w:val="clear" w:color="auto" w:fill="DAE9F7" w:themeFill="text2" w:themeFillTint="1A"/>
            <w:vAlign w:val="bottom"/>
          </w:tcPr>
          <w:p w14:paraId="1EB28DCA" w14:textId="77777777" w:rsidR="00506EE7" w:rsidRPr="00E92357" w:rsidRDefault="00506EE7" w:rsidP="002266C2">
            <w:pPr>
              <w:spacing w:before="0" w:after="0" w:line="276" w:lineRule="auto"/>
              <w:ind w:left="0"/>
              <w:jc w:val="both"/>
              <w:rPr>
                <w:rFonts w:ascii="Times" w:hAnsi="Times" w:cs="Calibri"/>
                <w:color w:val="000000"/>
              </w:rPr>
            </w:pPr>
            <w:r>
              <w:rPr>
                <w:noProof/>
              </w:rPr>
              <w:t xml:space="preserve"> (Benoit et al., 2014; Clark et Wyllie, 2014; Davis et Rosenberg, 2013; Davis et al., 2017; Duke et al., 2020; Housenbold Seiger, 2005; King, 2020; Kyser, 2010; Leiker, 2021; Mancini et al., 2008; Moore et Mattaini, 2014; O’Leary et al., 2018; Ogborne et Birchmore-Timney, 1998; Soura, 2016; Xin et al., 2022)</w:t>
            </w:r>
          </w:p>
        </w:tc>
      </w:tr>
      <w:tr w:rsidR="00506EE7" w:rsidRPr="00E92357" w14:paraId="366178A4" w14:textId="77777777" w:rsidTr="002266C2">
        <w:trPr>
          <w:trHeight w:val="216"/>
        </w:trPr>
        <w:tc>
          <w:tcPr>
            <w:tcW w:w="4680" w:type="dxa"/>
            <w:shd w:val="clear" w:color="auto" w:fill="F2F2F2" w:themeFill="background1" w:themeFillShade="F2"/>
            <w:vAlign w:val="center"/>
          </w:tcPr>
          <w:p w14:paraId="7E86C12E" w14:textId="77777777" w:rsidR="00506EE7" w:rsidRPr="00E92357" w:rsidRDefault="00506EE7" w:rsidP="002266C2">
            <w:pPr>
              <w:spacing w:before="0" w:after="0" w:line="276" w:lineRule="auto"/>
              <w:ind w:left="0"/>
              <w:jc w:val="both"/>
              <w:rPr>
                <w:rFonts w:ascii="Times" w:hAnsi="Times" w:cs="Calibri"/>
                <w:color w:val="000000"/>
                <w:lang w:val="en-US"/>
              </w:rPr>
            </w:pPr>
            <w:r>
              <w:rPr>
                <w:lang w:val="en-US"/>
              </w:rPr>
              <w:t>HR</w:t>
            </w:r>
            <w:r w:rsidRPr="008943A1">
              <w:rPr>
                <w:lang w:val="en-US"/>
              </w:rPr>
              <w:t xml:space="preserve"> enables moderate or controlled </w:t>
            </w:r>
            <w:r>
              <w:rPr>
                <w:lang w:val="en-US"/>
              </w:rPr>
              <w:t xml:space="preserve">substance </w:t>
            </w:r>
            <w:r w:rsidRPr="008943A1">
              <w:rPr>
                <w:lang w:val="en-US"/>
              </w:rPr>
              <w:t xml:space="preserve">use (reduced amount and/or less frequent use) </w:t>
            </w:r>
          </w:p>
        </w:tc>
        <w:tc>
          <w:tcPr>
            <w:tcW w:w="4585" w:type="dxa"/>
            <w:shd w:val="clear" w:color="auto" w:fill="F2F2F2" w:themeFill="background1" w:themeFillShade="F2"/>
            <w:vAlign w:val="bottom"/>
          </w:tcPr>
          <w:p w14:paraId="12ADF375" w14:textId="77777777" w:rsidR="00506EE7" w:rsidRPr="00E92357" w:rsidRDefault="00506EE7" w:rsidP="002266C2">
            <w:pPr>
              <w:spacing w:before="0" w:after="0" w:line="276" w:lineRule="auto"/>
              <w:ind w:left="0"/>
              <w:jc w:val="both"/>
              <w:rPr>
                <w:rFonts w:ascii="Times" w:hAnsi="Times" w:cs="Calibri"/>
                <w:color w:val="000000"/>
              </w:rPr>
            </w:pPr>
            <w:r>
              <w:rPr>
                <w:noProof/>
              </w:rPr>
              <w:t xml:space="preserve"> (Davis et Rosenberg, 2013; Davis et al., 2017; Housenbold Seiger, 2005; Kyser, 2010; Lauritsen, 2017; Xin et al., 2022)</w:t>
            </w:r>
          </w:p>
        </w:tc>
      </w:tr>
      <w:tr w:rsidR="00506EE7" w:rsidRPr="00D5706A" w14:paraId="0626A686" w14:textId="77777777" w:rsidTr="00506EE7">
        <w:trPr>
          <w:trHeight w:val="216"/>
        </w:trPr>
        <w:tc>
          <w:tcPr>
            <w:tcW w:w="4680" w:type="dxa"/>
            <w:shd w:val="clear" w:color="auto" w:fill="DAE9F7" w:themeFill="text2" w:themeFillTint="1A"/>
            <w:vAlign w:val="center"/>
          </w:tcPr>
          <w:p w14:paraId="545DFAB4" w14:textId="77777777" w:rsidR="00506EE7" w:rsidRPr="00E21B48" w:rsidRDefault="00506EE7" w:rsidP="002266C2">
            <w:pPr>
              <w:spacing w:before="0" w:after="0" w:line="276" w:lineRule="auto"/>
              <w:ind w:left="0"/>
              <w:jc w:val="both"/>
              <w:rPr>
                <w:lang w:val="en-US"/>
              </w:rPr>
            </w:pPr>
            <w:r>
              <w:rPr>
                <w:lang w:val="en-US"/>
              </w:rPr>
              <w:t>HR</w:t>
            </w:r>
            <w:r w:rsidRPr="008943A1">
              <w:rPr>
                <w:lang w:val="en-US"/>
              </w:rPr>
              <w:t xml:space="preserve"> ensures safe, secure</w:t>
            </w:r>
            <w:r>
              <w:rPr>
                <w:lang w:val="en-US"/>
              </w:rPr>
              <w:t>,</w:t>
            </w:r>
            <w:r w:rsidRPr="008943A1">
              <w:rPr>
                <w:lang w:val="en-US"/>
              </w:rPr>
              <w:t xml:space="preserve"> and enjoyable use of the substance</w:t>
            </w:r>
            <w:r w:rsidRPr="00A61DF9">
              <w:rPr>
                <w:lang w:val="en-US"/>
              </w:rPr>
              <w:t xml:space="preserve"> </w:t>
            </w:r>
          </w:p>
        </w:tc>
        <w:tc>
          <w:tcPr>
            <w:tcW w:w="4585" w:type="dxa"/>
            <w:shd w:val="clear" w:color="auto" w:fill="DAE9F7" w:themeFill="text2" w:themeFillTint="1A"/>
            <w:vAlign w:val="bottom"/>
          </w:tcPr>
          <w:p w14:paraId="34679E0A" w14:textId="77777777" w:rsidR="00506EE7" w:rsidRPr="00E53617" w:rsidRDefault="00506EE7" w:rsidP="002266C2">
            <w:pPr>
              <w:spacing w:before="0" w:after="0" w:line="276" w:lineRule="auto"/>
              <w:ind w:left="0"/>
              <w:jc w:val="both"/>
              <w:rPr>
                <w:lang w:val="en-US"/>
              </w:rPr>
            </w:pPr>
            <w:r>
              <w:rPr>
                <w:noProof/>
              </w:rPr>
              <w:t xml:space="preserve"> (Benoit et al., 2014; Housenbold Seiger, 2005; Kapur, 2016; King, 2020; Lauritsen, 2017; Rosenberg et Davis, 2014)</w:t>
            </w:r>
          </w:p>
        </w:tc>
      </w:tr>
      <w:tr w:rsidR="00506EE7" w:rsidRPr="00F566EC" w14:paraId="6CFC2D71" w14:textId="77777777" w:rsidTr="002266C2">
        <w:trPr>
          <w:trHeight w:val="216"/>
        </w:trPr>
        <w:tc>
          <w:tcPr>
            <w:tcW w:w="4680" w:type="dxa"/>
            <w:shd w:val="clear" w:color="auto" w:fill="F2F2F2" w:themeFill="background1" w:themeFillShade="F2"/>
            <w:vAlign w:val="center"/>
          </w:tcPr>
          <w:p w14:paraId="13CF21B3" w14:textId="77777777" w:rsidR="00506EE7" w:rsidRPr="00F566EC" w:rsidRDefault="00506EE7" w:rsidP="002266C2">
            <w:pPr>
              <w:spacing w:before="0" w:after="0" w:line="276" w:lineRule="auto"/>
              <w:ind w:left="0"/>
              <w:jc w:val="both"/>
              <w:rPr>
                <w:b/>
                <w:bCs/>
                <w:lang w:val="en-US"/>
              </w:rPr>
            </w:pPr>
            <w:r>
              <w:rPr>
                <w:lang w:val="en-US"/>
              </w:rPr>
              <w:t>HR</w:t>
            </w:r>
            <w:r w:rsidRPr="00A61DF9">
              <w:rPr>
                <w:lang w:val="en-US"/>
              </w:rPr>
              <w:t xml:space="preserve"> promotes a sense of control or self-efficacy regarding the initiation and/or cessation of use </w:t>
            </w:r>
          </w:p>
        </w:tc>
        <w:tc>
          <w:tcPr>
            <w:tcW w:w="4585" w:type="dxa"/>
            <w:shd w:val="clear" w:color="auto" w:fill="F2F2F2" w:themeFill="background1" w:themeFillShade="F2"/>
            <w:vAlign w:val="bottom"/>
          </w:tcPr>
          <w:p w14:paraId="0C4C7A4A" w14:textId="77777777" w:rsidR="00506EE7" w:rsidRPr="00F566EC" w:rsidRDefault="00506EE7" w:rsidP="002266C2">
            <w:pPr>
              <w:spacing w:before="0" w:after="0" w:line="276" w:lineRule="auto"/>
              <w:ind w:left="0"/>
              <w:jc w:val="both"/>
            </w:pPr>
            <w:r>
              <w:rPr>
                <w:rFonts w:ascii="Times" w:hAnsi="Times" w:cs="Calibri"/>
                <w:noProof/>
                <w:color w:val="000000"/>
              </w:rPr>
              <w:t xml:space="preserve"> (Benoit et al., 2014; Davis et al., 2017; Xin et al., 2022)</w:t>
            </w:r>
          </w:p>
        </w:tc>
      </w:tr>
      <w:tr w:rsidR="00506EE7" w:rsidRPr="00F566EC" w14:paraId="0D0D17A2" w14:textId="77777777" w:rsidTr="00506EE7">
        <w:trPr>
          <w:trHeight w:val="216"/>
        </w:trPr>
        <w:tc>
          <w:tcPr>
            <w:tcW w:w="4680" w:type="dxa"/>
            <w:shd w:val="clear" w:color="auto" w:fill="DAE9F7" w:themeFill="text2" w:themeFillTint="1A"/>
            <w:vAlign w:val="center"/>
          </w:tcPr>
          <w:p w14:paraId="2168299C" w14:textId="77777777" w:rsidR="00506EE7" w:rsidRPr="00A61DF9" w:rsidRDefault="00506EE7" w:rsidP="002266C2">
            <w:pPr>
              <w:spacing w:before="0" w:after="0" w:line="276" w:lineRule="auto"/>
              <w:ind w:left="0"/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HR </w:t>
            </w:r>
            <w:r w:rsidRPr="00056FA9">
              <w:rPr>
                <w:lang w:val="en-US"/>
              </w:rPr>
              <w:t xml:space="preserve">prevents problematic substance use </w:t>
            </w:r>
          </w:p>
        </w:tc>
        <w:tc>
          <w:tcPr>
            <w:tcW w:w="4585" w:type="dxa"/>
            <w:shd w:val="clear" w:color="auto" w:fill="DAE9F7" w:themeFill="text2" w:themeFillTint="1A"/>
            <w:vAlign w:val="bottom"/>
          </w:tcPr>
          <w:p w14:paraId="34110C2E" w14:textId="77777777" w:rsidR="00506EE7" w:rsidRDefault="00506EE7" w:rsidP="002266C2">
            <w:pPr>
              <w:spacing w:before="0" w:after="0" w:line="276" w:lineRule="auto"/>
              <w:ind w:left="0"/>
              <w:jc w:val="both"/>
              <w:rPr>
                <w:rFonts w:ascii="Times" w:hAnsi="Times" w:cs="Calibri"/>
                <w:color w:val="000000"/>
              </w:rPr>
            </w:pPr>
            <w:r>
              <w:rPr>
                <w:rFonts w:ascii="Times" w:hAnsi="Times" w:cs="Calibri"/>
                <w:noProof/>
                <w:color w:val="000000"/>
              </w:rPr>
              <w:t xml:space="preserve"> (Duke et al., 2020)</w:t>
            </w:r>
          </w:p>
        </w:tc>
      </w:tr>
      <w:tr w:rsidR="00506EE7" w:rsidRPr="00745B7F" w14:paraId="51C3B072" w14:textId="77777777" w:rsidTr="002266C2">
        <w:trPr>
          <w:trHeight w:val="216"/>
        </w:trPr>
        <w:tc>
          <w:tcPr>
            <w:tcW w:w="4680" w:type="dxa"/>
            <w:shd w:val="clear" w:color="auto" w:fill="F2F2F2" w:themeFill="background1" w:themeFillShade="F2"/>
            <w:vAlign w:val="center"/>
          </w:tcPr>
          <w:p w14:paraId="4A5049F0" w14:textId="77777777" w:rsidR="00506EE7" w:rsidRDefault="00506EE7" w:rsidP="002266C2">
            <w:pPr>
              <w:spacing w:before="0" w:after="0" w:line="276" w:lineRule="auto"/>
              <w:ind w:left="0"/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HR </w:t>
            </w:r>
            <w:r w:rsidRPr="00056FA9">
              <w:rPr>
                <w:lang w:val="en-US"/>
              </w:rPr>
              <w:t>promotes client</w:t>
            </w:r>
            <w:r>
              <w:rPr>
                <w:lang w:val="en-US"/>
              </w:rPr>
              <w:t>’s</w:t>
            </w:r>
            <w:r w:rsidRPr="00056FA9">
              <w:rPr>
                <w:lang w:val="en-US"/>
              </w:rPr>
              <w:t xml:space="preserve"> engagement in treatment</w:t>
            </w:r>
          </w:p>
        </w:tc>
        <w:tc>
          <w:tcPr>
            <w:tcW w:w="4585" w:type="dxa"/>
            <w:shd w:val="clear" w:color="auto" w:fill="F2F2F2" w:themeFill="background1" w:themeFillShade="F2"/>
            <w:vAlign w:val="bottom"/>
          </w:tcPr>
          <w:p w14:paraId="05315CD9" w14:textId="77777777" w:rsidR="00506EE7" w:rsidRPr="00745B7F" w:rsidRDefault="00506EE7" w:rsidP="002266C2">
            <w:pPr>
              <w:spacing w:before="0" w:after="0" w:line="276" w:lineRule="auto"/>
              <w:ind w:left="0"/>
              <w:jc w:val="both"/>
              <w:rPr>
                <w:rFonts w:ascii="Times" w:hAnsi="Times" w:cs="Calibri"/>
                <w:color w:val="000000"/>
                <w:lang w:val="en-US"/>
              </w:rPr>
            </w:pPr>
            <w:r>
              <w:rPr>
                <w:rFonts w:ascii="Times" w:hAnsi="Times" w:cs="Calibri"/>
                <w:noProof/>
                <w:color w:val="000000"/>
              </w:rPr>
              <w:t xml:space="preserve"> (O’Leary et al., 2018)</w:t>
            </w:r>
          </w:p>
        </w:tc>
      </w:tr>
      <w:tr w:rsidR="00506EE7" w:rsidRPr="00745B7F" w14:paraId="7EC4E9FD" w14:textId="77777777" w:rsidTr="00506EE7">
        <w:trPr>
          <w:trHeight w:val="216"/>
        </w:trPr>
        <w:tc>
          <w:tcPr>
            <w:tcW w:w="4680" w:type="dxa"/>
            <w:shd w:val="clear" w:color="auto" w:fill="DAE9F7" w:themeFill="text2" w:themeFillTint="1A"/>
            <w:vAlign w:val="center"/>
          </w:tcPr>
          <w:p w14:paraId="5B54E76B" w14:textId="77777777" w:rsidR="00506EE7" w:rsidRDefault="00506EE7" w:rsidP="002266C2">
            <w:pPr>
              <w:spacing w:before="0" w:after="0" w:line="276" w:lineRule="auto"/>
              <w:ind w:left="0"/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HR aims to </w:t>
            </w:r>
            <w:r w:rsidRPr="00056FA9">
              <w:rPr>
                <w:lang w:val="en-US"/>
              </w:rPr>
              <w:t>improve clients</w:t>
            </w:r>
            <w:r>
              <w:rPr>
                <w:lang w:val="en-US"/>
              </w:rPr>
              <w:t>’</w:t>
            </w:r>
            <w:r w:rsidRPr="00056FA9">
              <w:rPr>
                <w:lang w:val="en-US"/>
              </w:rPr>
              <w:t xml:space="preserve"> health</w:t>
            </w:r>
            <w:r w:rsidRPr="00D874E2">
              <w:rPr>
                <w:rFonts w:ascii="Times" w:hAnsi="Times" w:cs="Calibri"/>
                <w:color w:val="000000"/>
                <w:lang w:val="en-US"/>
              </w:rPr>
              <w:t xml:space="preserve"> </w:t>
            </w:r>
          </w:p>
        </w:tc>
        <w:tc>
          <w:tcPr>
            <w:tcW w:w="4585" w:type="dxa"/>
            <w:shd w:val="clear" w:color="auto" w:fill="DAE9F7" w:themeFill="text2" w:themeFillTint="1A"/>
            <w:vAlign w:val="bottom"/>
          </w:tcPr>
          <w:p w14:paraId="633EE430" w14:textId="77777777" w:rsidR="00506EE7" w:rsidRDefault="00506EE7" w:rsidP="002266C2">
            <w:pPr>
              <w:spacing w:before="0" w:after="0" w:line="276" w:lineRule="auto"/>
              <w:ind w:left="0"/>
              <w:jc w:val="both"/>
              <w:rPr>
                <w:rFonts w:ascii="Times" w:hAnsi="Times" w:cs="Calibri"/>
                <w:color w:val="000000"/>
              </w:rPr>
            </w:pPr>
            <w:r>
              <w:rPr>
                <w:rFonts w:ascii="Times" w:hAnsi="Times" w:cs="Calibri"/>
                <w:noProof/>
                <w:color w:val="000000"/>
              </w:rPr>
              <w:t xml:space="preserve"> (Rosenberg et Davis, 2014)</w:t>
            </w:r>
          </w:p>
        </w:tc>
      </w:tr>
      <w:tr w:rsidR="00506EE7" w:rsidRPr="00745B7F" w14:paraId="519DBCDA" w14:textId="77777777" w:rsidTr="002266C2">
        <w:trPr>
          <w:trHeight w:val="216"/>
        </w:trPr>
        <w:tc>
          <w:tcPr>
            <w:tcW w:w="4680" w:type="dxa"/>
            <w:shd w:val="clear" w:color="auto" w:fill="F2F2F2" w:themeFill="background1" w:themeFillShade="F2"/>
            <w:vAlign w:val="center"/>
          </w:tcPr>
          <w:p w14:paraId="635185F8" w14:textId="77777777" w:rsidR="00506EE7" w:rsidRDefault="00506EE7" w:rsidP="002266C2">
            <w:pPr>
              <w:spacing w:before="0" w:after="0" w:line="276" w:lineRule="auto"/>
              <w:ind w:left="0"/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HR </w:t>
            </w:r>
            <w:r w:rsidRPr="00056FA9">
              <w:rPr>
                <w:lang w:val="en-US"/>
              </w:rPr>
              <w:t>promotes</w:t>
            </w:r>
            <w:r>
              <w:rPr>
                <w:lang w:val="en-US"/>
              </w:rPr>
              <w:t xml:space="preserve"> quality of life</w:t>
            </w:r>
          </w:p>
        </w:tc>
        <w:tc>
          <w:tcPr>
            <w:tcW w:w="4585" w:type="dxa"/>
            <w:shd w:val="clear" w:color="auto" w:fill="F2F2F2" w:themeFill="background1" w:themeFillShade="F2"/>
            <w:vAlign w:val="bottom"/>
          </w:tcPr>
          <w:p w14:paraId="498D6D0F" w14:textId="77777777" w:rsidR="00506EE7" w:rsidRDefault="00506EE7" w:rsidP="002266C2">
            <w:pPr>
              <w:spacing w:before="0" w:after="0" w:line="276" w:lineRule="auto"/>
              <w:ind w:left="0"/>
              <w:jc w:val="both"/>
              <w:rPr>
                <w:rFonts w:ascii="Times" w:hAnsi="Times" w:cs="Calibri"/>
                <w:color w:val="000000"/>
              </w:rPr>
            </w:pPr>
            <w:r>
              <w:rPr>
                <w:rFonts w:ascii="Times" w:hAnsi="Times" w:cs="Calibri"/>
                <w:noProof/>
                <w:color w:val="000000"/>
              </w:rPr>
              <w:t xml:space="preserve"> (Lauritsen, 2017)</w:t>
            </w:r>
          </w:p>
        </w:tc>
      </w:tr>
      <w:tr w:rsidR="00506EE7" w:rsidRPr="00745B7F" w14:paraId="5D91B3A2" w14:textId="77777777" w:rsidTr="00506EE7">
        <w:trPr>
          <w:trHeight w:val="216"/>
        </w:trPr>
        <w:tc>
          <w:tcPr>
            <w:tcW w:w="4680" w:type="dxa"/>
            <w:shd w:val="clear" w:color="auto" w:fill="DAE9F7" w:themeFill="text2" w:themeFillTint="1A"/>
            <w:vAlign w:val="center"/>
          </w:tcPr>
          <w:p w14:paraId="2B62E052" w14:textId="77777777" w:rsidR="00506EE7" w:rsidRDefault="00506EE7" w:rsidP="002266C2">
            <w:pPr>
              <w:spacing w:before="0" w:after="0" w:line="276" w:lineRule="auto"/>
              <w:ind w:left="0"/>
              <w:jc w:val="both"/>
              <w:rPr>
                <w:lang w:val="en-US"/>
              </w:rPr>
            </w:pPr>
            <w:r>
              <w:rPr>
                <w:lang w:val="en-US"/>
              </w:rPr>
              <w:t>HR p</w:t>
            </w:r>
            <w:r w:rsidRPr="00C862E1">
              <w:rPr>
                <w:lang w:val="en-US"/>
              </w:rPr>
              <w:t>romotes client integration into society</w:t>
            </w:r>
          </w:p>
        </w:tc>
        <w:tc>
          <w:tcPr>
            <w:tcW w:w="4585" w:type="dxa"/>
            <w:shd w:val="clear" w:color="auto" w:fill="DAE9F7" w:themeFill="text2" w:themeFillTint="1A"/>
            <w:vAlign w:val="bottom"/>
          </w:tcPr>
          <w:p w14:paraId="0B447D90" w14:textId="77777777" w:rsidR="00506EE7" w:rsidRPr="00C862E1" w:rsidRDefault="00506EE7" w:rsidP="002266C2">
            <w:pPr>
              <w:spacing w:before="0" w:after="0" w:line="276" w:lineRule="auto"/>
              <w:ind w:left="0"/>
              <w:jc w:val="both"/>
              <w:rPr>
                <w:rFonts w:ascii="Times" w:hAnsi="Times" w:cs="Calibri"/>
                <w:color w:val="000000"/>
                <w:lang w:val="en-US"/>
              </w:rPr>
            </w:pPr>
            <w:r>
              <w:rPr>
                <w:rFonts w:ascii="Times" w:hAnsi="Times" w:cs="Calibri"/>
                <w:noProof/>
                <w:color w:val="000000"/>
                <w:lang w:val="en-US"/>
              </w:rPr>
              <w:t xml:space="preserve"> (Abbott-Chapman et al., 2007)</w:t>
            </w:r>
          </w:p>
        </w:tc>
      </w:tr>
    </w:tbl>
    <w:p w14:paraId="39A54224" w14:textId="77777777" w:rsidR="00506EE7" w:rsidRPr="007F1893" w:rsidRDefault="00506EE7" w:rsidP="007F1893">
      <w:pPr>
        <w:spacing w:line="276" w:lineRule="auto"/>
        <w:ind w:left="0"/>
        <w:jc w:val="both"/>
        <w:rPr>
          <w:b/>
          <w:bCs/>
          <w:lang w:val="en-US"/>
        </w:rPr>
      </w:pPr>
      <w:r w:rsidRPr="007F1893">
        <w:rPr>
          <w:b/>
          <w:bCs/>
          <w:lang w:val="en-US"/>
        </w:rPr>
        <w:t xml:space="preserve"> </w:t>
      </w:r>
    </w:p>
    <w:p w14:paraId="27F56741" w14:textId="77777777" w:rsidR="00506EE7" w:rsidRDefault="00506EE7" w:rsidP="00F63312">
      <w:pPr>
        <w:spacing w:line="276" w:lineRule="auto"/>
        <w:ind w:left="0"/>
        <w:rPr>
          <w:lang w:val="en-US"/>
        </w:rPr>
        <w:sectPr w:rsidR="00506EE7" w:rsidSect="0014612C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6436C3AC" w14:textId="77777777" w:rsidR="00A2627F" w:rsidRDefault="00A2627F" w:rsidP="00506EE7">
      <w:pPr>
        <w:ind w:left="0"/>
      </w:pPr>
    </w:p>
    <w:sectPr w:rsidR="00A2627F" w:rsidSect="0014612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FF0131"/>
    <w:multiLevelType w:val="hybridMultilevel"/>
    <w:tmpl w:val="4E462FC4"/>
    <w:lvl w:ilvl="0" w:tplc="759EB706">
      <w:start w:val="1"/>
      <w:numFmt w:val="decimal"/>
      <w:lvlText w:val="1.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B77A66"/>
    <w:multiLevelType w:val="hybridMultilevel"/>
    <w:tmpl w:val="6554BEA0"/>
    <w:lvl w:ilvl="0" w:tplc="D9123DB0">
      <w:start w:val="1"/>
      <w:numFmt w:val="decimal"/>
      <w:lvlText w:val="Table 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2" w15:restartNumberingAfterBreak="0">
    <w:nsid w:val="56CB67D2"/>
    <w:multiLevelType w:val="multilevel"/>
    <w:tmpl w:val="43E2CAA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"/>
      <w:lvlText w:val="%1.%2."/>
      <w:lvlJc w:val="left"/>
      <w:pPr>
        <w:ind w:left="1224" w:hanging="504"/>
      </w:pPr>
      <w:rPr>
        <w:rFonts w:ascii="Times New Roman" w:hAnsi="Times New Roman" w:hint="default"/>
        <w:b/>
        <w:i w:val="0"/>
        <w:sz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hint="default"/>
        <w:b/>
        <w:i w:val="0"/>
        <w:sz w:val="24"/>
      </w:rPr>
    </w:lvl>
    <w:lvl w:ilvl="3">
      <w:start w:val="1"/>
      <w:numFmt w:val="decimal"/>
      <w:lvlRestart w:val="1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591A7DA9"/>
    <w:multiLevelType w:val="hybridMultilevel"/>
    <w:tmpl w:val="03A4F5A6"/>
    <w:lvl w:ilvl="0" w:tplc="A3C68C7C">
      <w:start w:val="4"/>
      <w:numFmt w:val="bullet"/>
      <w:lvlText w:val="-"/>
      <w:lvlJc w:val="left"/>
      <w:pPr>
        <w:ind w:left="720" w:hanging="360"/>
      </w:pPr>
      <w:rPr>
        <w:rFonts w:ascii="Times" w:eastAsiaTheme="minorHAnsi" w:hAnsi="Time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343103"/>
    <w:multiLevelType w:val="multilevel"/>
    <w:tmpl w:val="3FF28D64"/>
    <w:lvl w:ilvl="0">
      <w:start w:val="1"/>
      <w:numFmt w:val="decimal"/>
      <w:pStyle w:val="ROULAHADDAD"/>
      <w:lvlText w:val="Chapitre %1 : "/>
      <w:lvlJc w:val="left"/>
      <w:pPr>
        <w:ind w:left="0" w:firstLine="0"/>
      </w:pPr>
      <w:rPr>
        <w:rFonts w:hint="default"/>
        <w:b/>
        <w:i w:val="0"/>
      </w:rPr>
    </w:lvl>
    <w:lvl w:ilvl="1">
      <w:start w:val="1"/>
      <w:numFmt w:val="decimal"/>
      <w:lvlText w:val="Chapitre %1.%2 :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hint="default"/>
        <w:b/>
        <w:i w:val="0"/>
      </w:rPr>
    </w:lvl>
    <w:lvl w:ilvl="3">
      <w:start w:val="1"/>
      <w:numFmt w:val="decimal"/>
      <w:lvlText w:val="%3.%4."/>
      <w:lvlJc w:val="left"/>
      <w:pPr>
        <w:ind w:left="1224" w:hanging="504"/>
      </w:pPr>
      <w:rPr>
        <w:rFonts w:hint="default"/>
      </w:rPr>
    </w:lvl>
    <w:lvl w:ilvl="4">
      <w:start w:val="1"/>
      <w:numFmt w:val="decimal"/>
      <w:lvlText w:val="%3.%4.%5."/>
      <w:lvlJc w:val="left"/>
      <w:pPr>
        <w:ind w:left="1224" w:hanging="50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5F7C56EB"/>
    <w:multiLevelType w:val="multilevel"/>
    <w:tmpl w:val="8EAE53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 w15:restartNumberingAfterBreak="0">
    <w:nsid w:val="6C0379F6"/>
    <w:multiLevelType w:val="multilevel"/>
    <w:tmpl w:val="2E3AC160"/>
    <w:lvl w:ilvl="0">
      <w:start w:val="1"/>
      <w:numFmt w:val="decimal"/>
      <w:lvlText w:val="%1."/>
      <w:lvlJc w:val="left"/>
      <w:pPr>
        <w:ind w:left="-720" w:firstLine="0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"/>
      <w:lvlText w:val="%1.%2."/>
      <w:lvlJc w:val="left"/>
      <w:pPr>
        <w:ind w:left="504" w:hanging="504"/>
      </w:pPr>
      <w:rPr>
        <w:rFonts w:ascii="Times New Roman" w:hAnsi="Times New Roman" w:hint="default"/>
        <w:b/>
        <w:i w:val="0"/>
        <w:sz w:val="24"/>
      </w:rPr>
    </w:lvl>
    <w:lvl w:ilvl="2">
      <w:start w:val="1"/>
      <w:numFmt w:val="decimal"/>
      <w:pStyle w:val="Style1"/>
      <w:lvlText w:val="%1.%2.%3."/>
      <w:lvlJc w:val="left"/>
      <w:pPr>
        <w:ind w:left="504" w:hanging="504"/>
      </w:pPr>
      <w:rPr>
        <w:rFonts w:ascii="Times New Roman" w:hAnsi="Times New Roman" w:hint="default"/>
        <w:b/>
        <w:i w:val="0"/>
        <w:sz w:val="24"/>
      </w:rPr>
    </w:lvl>
    <w:lvl w:ilvl="3">
      <w:start w:val="1"/>
      <w:numFmt w:val="decimal"/>
      <w:lvlRestart w:val="1"/>
      <w:lvlText w:val="%1.%2.%3.%4."/>
      <w:lvlJc w:val="left"/>
      <w:pPr>
        <w:ind w:left="1728" w:hanging="648"/>
      </w:pPr>
      <w:rPr>
        <w:rFonts w:hint="default"/>
        <w:b w:val="0"/>
        <w:i w:val="0"/>
        <w:sz w:val="24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  <w:i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/>
        <w:i w:val="0"/>
        <w:sz w:val="24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6D720ED4"/>
    <w:multiLevelType w:val="hybridMultilevel"/>
    <w:tmpl w:val="1180E020"/>
    <w:lvl w:ilvl="0" w:tplc="30521DD6">
      <w:start w:val="1"/>
      <w:numFmt w:val="decimal"/>
      <w:pStyle w:val="Heading3"/>
      <w:lvlText w:val="3.%1."/>
      <w:lvlJc w:val="left"/>
      <w:pPr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FCE621C"/>
    <w:multiLevelType w:val="multilevel"/>
    <w:tmpl w:val="2ED2B7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PROJET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9" w15:restartNumberingAfterBreak="0">
    <w:nsid w:val="7FED69E9"/>
    <w:multiLevelType w:val="multilevel"/>
    <w:tmpl w:val="C28E511E"/>
    <w:lvl w:ilvl="0">
      <w:start w:val="1"/>
      <w:numFmt w:val="decimal"/>
      <w:lvlText w:val="Chapitre %1 : "/>
      <w:lvlJc w:val="center"/>
      <w:pPr>
        <w:ind w:left="0" w:firstLine="288"/>
      </w:pPr>
      <w:rPr>
        <w:rFonts w:hint="default"/>
      </w:rPr>
    </w:lvl>
    <w:lvl w:ilvl="1">
      <w:start w:val="1"/>
      <w:numFmt w:val="decimal"/>
      <w:lvlText w:val="Chapitre %1.%2 :"/>
      <w:lvlJc w:val="left"/>
      <w:pPr>
        <w:ind w:left="4320" w:hanging="4320"/>
      </w:pPr>
      <w:rPr>
        <w:rFonts w:ascii="Times New Roman" w:hAnsi="Times New Roman" w:hint="default"/>
        <w:b/>
        <w:i w:val="0"/>
        <w:sz w:val="24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ascii="Times New Roman" w:hAnsi="Times New Roman" w:hint="default"/>
        <w:b/>
        <w:i w:val="0"/>
        <w:sz w:val="24"/>
      </w:rPr>
    </w:lvl>
    <w:lvl w:ilvl="3">
      <w:start w:val="1"/>
      <w:numFmt w:val="decimal"/>
      <w:lvlText w:val="%3.%4."/>
      <w:lvlJc w:val="left"/>
      <w:pPr>
        <w:ind w:left="1440" w:hanging="720"/>
      </w:pPr>
      <w:rPr>
        <w:rFonts w:ascii="Times New Roman" w:hAnsi="Times New Roman" w:hint="default"/>
        <w:b/>
        <w:i w:val="0"/>
        <w:sz w:val="24"/>
      </w:rPr>
    </w:lvl>
    <w:lvl w:ilvl="4">
      <w:start w:val="1"/>
      <w:numFmt w:val="decimal"/>
      <w:lvlText w:val="%3.%4.%5."/>
      <w:lvlJc w:val="left"/>
      <w:pPr>
        <w:ind w:left="720" w:firstLine="0"/>
      </w:pPr>
      <w:rPr>
        <w:rFonts w:ascii="Times New Roman" w:hAnsi="Times New Roman" w:hint="default"/>
        <w:b w:val="0"/>
        <w:i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/>
        <w:i w:val="0"/>
        <w:sz w:val="24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806776956">
    <w:abstractNumId w:val="0"/>
  </w:num>
  <w:num w:numId="2" w16cid:durableId="1553032851">
    <w:abstractNumId w:val="7"/>
  </w:num>
  <w:num w:numId="3" w16cid:durableId="121308066">
    <w:abstractNumId w:val="5"/>
  </w:num>
  <w:num w:numId="4" w16cid:durableId="731927472">
    <w:abstractNumId w:val="9"/>
  </w:num>
  <w:num w:numId="5" w16cid:durableId="920258672">
    <w:abstractNumId w:val="4"/>
  </w:num>
  <w:num w:numId="6" w16cid:durableId="817307303">
    <w:abstractNumId w:val="2"/>
  </w:num>
  <w:num w:numId="7" w16cid:durableId="349844810">
    <w:abstractNumId w:val="6"/>
  </w:num>
  <w:num w:numId="8" w16cid:durableId="830871229">
    <w:abstractNumId w:val="8"/>
  </w:num>
  <w:num w:numId="9" w16cid:durableId="211563790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11406138">
    <w:abstractNumId w:val="3"/>
  </w:num>
  <w:num w:numId="11" w16cid:durableId="12444176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506EE7"/>
    <w:rsid w:val="00020217"/>
    <w:rsid w:val="00087A40"/>
    <w:rsid w:val="000C7B5B"/>
    <w:rsid w:val="000D5B04"/>
    <w:rsid w:val="0014612C"/>
    <w:rsid w:val="00183A6D"/>
    <w:rsid w:val="001A27CB"/>
    <w:rsid w:val="00251AD6"/>
    <w:rsid w:val="002645C9"/>
    <w:rsid w:val="00284081"/>
    <w:rsid w:val="00290C9A"/>
    <w:rsid w:val="00387346"/>
    <w:rsid w:val="003E600C"/>
    <w:rsid w:val="003F4DE2"/>
    <w:rsid w:val="004744BC"/>
    <w:rsid w:val="004771A5"/>
    <w:rsid w:val="004B0C5F"/>
    <w:rsid w:val="00505448"/>
    <w:rsid w:val="00506EE7"/>
    <w:rsid w:val="00541A56"/>
    <w:rsid w:val="005504EF"/>
    <w:rsid w:val="005768AB"/>
    <w:rsid w:val="005C64B8"/>
    <w:rsid w:val="005E46D0"/>
    <w:rsid w:val="006279B5"/>
    <w:rsid w:val="006714A3"/>
    <w:rsid w:val="006B4BAC"/>
    <w:rsid w:val="007314B9"/>
    <w:rsid w:val="00777D71"/>
    <w:rsid w:val="00785228"/>
    <w:rsid w:val="00806CAA"/>
    <w:rsid w:val="008F4239"/>
    <w:rsid w:val="00900127"/>
    <w:rsid w:val="00937047"/>
    <w:rsid w:val="009D2761"/>
    <w:rsid w:val="009D403D"/>
    <w:rsid w:val="00A04259"/>
    <w:rsid w:val="00A234A3"/>
    <w:rsid w:val="00A2627F"/>
    <w:rsid w:val="00A8705C"/>
    <w:rsid w:val="00AA5371"/>
    <w:rsid w:val="00B216D4"/>
    <w:rsid w:val="00B627C6"/>
    <w:rsid w:val="00BE6E77"/>
    <w:rsid w:val="00C413E7"/>
    <w:rsid w:val="00C943F3"/>
    <w:rsid w:val="00C96776"/>
    <w:rsid w:val="00CB508C"/>
    <w:rsid w:val="00D02A06"/>
    <w:rsid w:val="00D2551B"/>
    <w:rsid w:val="00D32912"/>
    <w:rsid w:val="00DE17CC"/>
    <w:rsid w:val="00DE3351"/>
    <w:rsid w:val="00E20771"/>
    <w:rsid w:val="00F41AD6"/>
    <w:rsid w:val="00FB32D0"/>
    <w:rsid w:val="00FC0869"/>
    <w:rsid w:val="00FF4C94"/>
    <w:rsid w:val="00FF7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L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EDA4142"/>
  <w15:chartTrackingRefBased/>
  <w15:docId w15:val="{8FE6C949-585D-0C4F-81B4-37444E39F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L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6EE7"/>
    <w:pPr>
      <w:spacing w:before="100" w:after="100" w:line="480" w:lineRule="auto"/>
      <w:ind w:left="1829"/>
    </w:pPr>
    <w:rPr>
      <w:rFonts w:ascii="Times New Roman" w:hAnsi="Times New Roman"/>
      <w:lang w:val="fr-FR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506EE7"/>
    <w:pPr>
      <w:keepNext/>
      <w:keepLines/>
      <w:outlineLvl w:val="0"/>
    </w:pPr>
    <w:rPr>
      <w:rFonts w:ascii="Times" w:eastAsiaTheme="majorEastAsia" w:hAnsi="Times" w:cstheme="majorBidi"/>
      <w:b/>
      <w:color w:val="000000" w:themeColor="text1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06E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506EE7"/>
    <w:pPr>
      <w:keepNext/>
      <w:keepLines/>
      <w:numPr>
        <w:numId w:val="2"/>
      </w:numPr>
      <w:ind w:left="720" w:hanging="720"/>
      <w:outlineLvl w:val="2"/>
    </w:pPr>
    <w:rPr>
      <w:rFonts w:eastAsiaTheme="majorEastAsia" w:cstheme="majorBidi"/>
      <w:b/>
      <w:i/>
      <w:color w:val="000000" w:themeColor="text1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506EE7"/>
    <w:pPr>
      <w:keepNext/>
      <w:keepLines/>
      <w:numPr>
        <w:ilvl w:val="3"/>
        <w:numId w:val="8"/>
      </w:numPr>
      <w:spacing w:before="0" w:after="0" w:line="360" w:lineRule="auto"/>
      <w:ind w:left="1728" w:hanging="648"/>
      <w:jc w:val="both"/>
      <w:outlineLvl w:val="3"/>
    </w:pPr>
    <w:rPr>
      <w:rFonts w:eastAsiaTheme="majorEastAsia" w:cstheme="majorBidi"/>
      <w:b/>
      <w:iCs/>
      <w:color w:val="000000" w:themeColor="text1"/>
      <w:lang w:val="fr-CA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06EE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06EE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06EE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06EE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06EE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06EE7"/>
    <w:rPr>
      <w:rFonts w:ascii="Times" w:eastAsiaTheme="majorEastAsia" w:hAnsi="Times" w:cstheme="majorBidi"/>
      <w:b/>
      <w:color w:val="000000" w:themeColor="text1"/>
      <w:szCs w:val="32"/>
      <w:lang w:val="fr-FR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06EE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506EE7"/>
    <w:rPr>
      <w:rFonts w:ascii="Times New Roman" w:eastAsiaTheme="majorEastAsia" w:hAnsi="Times New Roman" w:cstheme="majorBidi"/>
      <w:b/>
      <w:i/>
      <w:color w:val="000000" w:themeColor="text1"/>
      <w:lang w:val="fr-FR"/>
    </w:rPr>
  </w:style>
  <w:style w:type="character" w:customStyle="1" w:styleId="Heading4Char">
    <w:name w:val="Heading 4 Char"/>
    <w:basedOn w:val="DefaultParagraphFont"/>
    <w:link w:val="Heading4"/>
    <w:uiPriority w:val="9"/>
    <w:rsid w:val="00506EE7"/>
    <w:rPr>
      <w:rFonts w:ascii="Times New Roman" w:eastAsiaTheme="majorEastAsia" w:hAnsi="Times New Roman" w:cstheme="majorBidi"/>
      <w:b/>
      <w:iCs/>
      <w:color w:val="000000" w:themeColor="text1"/>
      <w:lang w:val="fr-CA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06EE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06EE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06EE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06EE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06EE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06EE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06E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06EE7"/>
    <w:pPr>
      <w:numPr>
        <w:ilvl w:val="1"/>
      </w:numPr>
      <w:spacing w:after="160"/>
      <w:ind w:left="1829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06E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06EE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06EE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06EE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06EE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06EE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06EE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06EE7"/>
    <w:rPr>
      <w:b/>
      <w:bCs/>
      <w:smallCaps/>
      <w:color w:val="0F4761" w:themeColor="accent1" w:themeShade="BF"/>
      <w:spacing w:val="5"/>
    </w:rPr>
  </w:style>
  <w:style w:type="paragraph" w:styleId="TOC1">
    <w:name w:val="toc 1"/>
    <w:aliases w:val="CHAPITRE I"/>
    <w:basedOn w:val="Normal"/>
    <w:next w:val="Normal"/>
    <w:autoRedefine/>
    <w:uiPriority w:val="39"/>
    <w:unhideWhenUsed/>
    <w:qFormat/>
    <w:rsid w:val="00506EE7"/>
    <w:rPr>
      <w:rFonts w:ascii="Times" w:hAnsi="Times"/>
      <w:b/>
      <w:i/>
    </w:rPr>
  </w:style>
  <w:style w:type="paragraph" w:styleId="TOC2">
    <w:name w:val="toc 2"/>
    <w:basedOn w:val="Normal"/>
    <w:next w:val="Normal"/>
    <w:autoRedefine/>
    <w:uiPriority w:val="39"/>
    <w:unhideWhenUsed/>
    <w:rsid w:val="00506EE7"/>
    <w:pPr>
      <w:ind w:left="0"/>
    </w:pPr>
    <w:rPr>
      <w:rFonts w:cstheme="minorHAnsi"/>
      <w:b/>
      <w:bCs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506EE7"/>
    <w:pPr>
      <w:ind w:left="720"/>
    </w:pPr>
    <w:rPr>
      <w:rFonts w:cstheme="minorHAnsi"/>
      <w:b/>
      <w:i/>
      <w:szCs w:val="20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506EE7"/>
    <w:pPr>
      <w:ind w:left="720"/>
    </w:pPr>
    <w:rPr>
      <w:rFonts w:cstheme="minorHAnsi"/>
      <w:b/>
      <w:i/>
      <w:szCs w:val="20"/>
    </w:rPr>
  </w:style>
  <w:style w:type="paragraph" w:customStyle="1" w:styleId="PROJET">
    <w:name w:val="PROJET"/>
    <w:basedOn w:val="Normal"/>
    <w:next w:val="Normal"/>
    <w:link w:val="PROJETChar"/>
    <w:autoRedefine/>
    <w:qFormat/>
    <w:rsid w:val="00506EE7"/>
    <w:pPr>
      <w:numPr>
        <w:ilvl w:val="2"/>
        <w:numId w:val="8"/>
      </w:numPr>
      <w:spacing w:before="0" w:after="0" w:line="360" w:lineRule="auto"/>
      <w:ind w:left="0"/>
      <w:jc w:val="both"/>
    </w:pPr>
    <w:rPr>
      <w:rFonts w:eastAsia="Times New Roman" w:cs="Times New Roman"/>
      <w:b/>
      <w:bCs/>
      <w:lang w:val="en-US"/>
    </w:rPr>
  </w:style>
  <w:style w:type="character" w:customStyle="1" w:styleId="PROJETChar">
    <w:name w:val="PROJET Char"/>
    <w:basedOn w:val="DefaultParagraphFont"/>
    <w:link w:val="PROJET"/>
    <w:rsid w:val="00506EE7"/>
    <w:rPr>
      <w:rFonts w:ascii="Times New Roman" w:eastAsia="Times New Roman" w:hAnsi="Times New Roman" w:cs="Times New Roman"/>
      <w:b/>
      <w:bCs/>
      <w:lang w:val="en-US"/>
    </w:rPr>
  </w:style>
  <w:style w:type="paragraph" w:customStyle="1" w:styleId="ROULAHADDAD">
    <w:name w:val="ROULA HADDAD"/>
    <w:basedOn w:val="Normal"/>
    <w:next w:val="Normal"/>
    <w:autoRedefine/>
    <w:qFormat/>
    <w:rsid w:val="00506EE7"/>
    <w:pPr>
      <w:numPr>
        <w:numId w:val="5"/>
      </w:numPr>
      <w:spacing w:before="0" w:after="0" w:line="360" w:lineRule="auto"/>
      <w:jc w:val="center"/>
    </w:pPr>
    <w:rPr>
      <w:rFonts w:eastAsia="Times New Roman" w:cs="Times New Roman"/>
      <w:b/>
      <w:lang w:val="en-US"/>
    </w:rPr>
  </w:style>
  <w:style w:type="paragraph" w:customStyle="1" w:styleId="Style1">
    <w:name w:val="Style1"/>
    <w:basedOn w:val="Normal"/>
    <w:next w:val="Normal"/>
    <w:autoRedefine/>
    <w:qFormat/>
    <w:rsid w:val="00506EE7"/>
    <w:pPr>
      <w:numPr>
        <w:ilvl w:val="2"/>
        <w:numId w:val="7"/>
      </w:numPr>
      <w:spacing w:before="0" w:after="0" w:line="360" w:lineRule="auto"/>
      <w:jc w:val="center"/>
    </w:pPr>
    <w:rPr>
      <w:rFonts w:eastAsia="Times New Roman" w:cs="Times New Roman"/>
      <w:b/>
    </w:rPr>
  </w:style>
  <w:style w:type="table" w:styleId="TableGrid">
    <w:name w:val="Table Grid"/>
    <w:basedOn w:val="TableNormal"/>
    <w:uiPriority w:val="39"/>
    <w:rsid w:val="00506EE7"/>
    <w:rPr>
      <w:kern w:val="0"/>
      <w:sz w:val="22"/>
      <w:szCs w:val="22"/>
      <w:lang w:val="fr-C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06EE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06EE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06EE7"/>
    <w:rPr>
      <w:rFonts w:ascii="Times New Roman" w:hAnsi="Times New Roman"/>
      <w:sz w:val="20"/>
      <w:szCs w:val="20"/>
      <w:lang w:val="fr-FR"/>
    </w:rPr>
  </w:style>
  <w:style w:type="character" w:styleId="Hyperlink">
    <w:name w:val="Hyperlink"/>
    <w:basedOn w:val="DefaultParagraphFont"/>
    <w:uiPriority w:val="99"/>
    <w:unhideWhenUsed/>
    <w:rsid w:val="00506EE7"/>
    <w:rPr>
      <w:color w:val="467886" w:themeColor="hyperlink"/>
      <w:u w:val="single"/>
    </w:rPr>
  </w:style>
  <w:style w:type="paragraph" w:customStyle="1" w:styleId="EndNoteBibliographyTitle">
    <w:name w:val="EndNote Bibliography Title"/>
    <w:basedOn w:val="Normal"/>
    <w:link w:val="EndNoteBibliographyTitleChar"/>
    <w:rsid w:val="00506EE7"/>
    <w:pPr>
      <w:spacing w:after="0"/>
      <w:jc w:val="center"/>
    </w:pPr>
    <w:rPr>
      <w:rFonts w:cs="Times New Roman"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506EE7"/>
    <w:rPr>
      <w:rFonts w:ascii="Times New Roman" w:hAnsi="Times New Roman" w:cs="Times New Roman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506EE7"/>
    <w:pPr>
      <w:spacing w:line="240" w:lineRule="auto"/>
    </w:pPr>
    <w:rPr>
      <w:rFonts w:cs="Times New Roman"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506EE7"/>
    <w:rPr>
      <w:rFonts w:ascii="Times New Roman" w:hAnsi="Times New Roman" w:cs="Times New Roman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506EE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oula.haddad@umontreal.c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.~WRD0004</Template>
  <TotalTime>2</TotalTime>
  <Pages>3</Pages>
  <Words>575</Words>
  <Characters>3280</Characters>
  <Application>Microsoft Office Word</Application>
  <DocSecurity>0</DocSecurity>
  <Lines>27</Lines>
  <Paragraphs>7</Paragraphs>
  <ScaleCrop>false</ScaleCrop>
  <Company/>
  <LinksUpToDate>false</LinksUpToDate>
  <CharactersWithSpaces>3848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Roula Haddad</dc:creator>
  <cp:keywords/>
  <dc:description/>
  <cp:lastModifiedBy>Roula Haddad</cp:lastModifiedBy>
  <cp:revision>5</cp:revision>
  <dcterms:created xsi:type="dcterms:W3CDTF">2024-03-21T16:04:00Z</dcterms:created>
  <dcterms:modified xsi:type="dcterms:W3CDTF">2024-09-10T21:37:00Z</dcterms:modified>
</cp:coreProperties>
</file>