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7D2" w:rsidRPr="00635F36" w:rsidRDefault="00A10F7E" w:rsidP="006067D2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A10F7E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</w:t>
      </w:r>
      <w:r w:rsidR="00B504C5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A10F7E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bookmarkStart w:id="0" w:name="_Hlk175224145"/>
      <w:r w:rsidR="006067D2" w:rsidRPr="00635F36">
        <w:rPr>
          <w:rFonts w:ascii="Times New Roman" w:hAnsi="Times New Roman"/>
          <w:b/>
          <w:sz w:val="24"/>
          <w:szCs w:val="24"/>
        </w:rPr>
        <w:t>The outcome variables</w:t>
      </w:r>
    </w:p>
    <w:bookmarkEnd w:id="0"/>
    <w:p w:rsidR="00A10F7E" w:rsidRPr="00A10F7E" w:rsidRDefault="00A10F7E" w:rsidP="006067D2">
      <w:pPr>
        <w:spacing w:line="276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A10F7E">
        <w:rPr>
          <w:rFonts w:ascii="Times New Roman" w:hAnsi="Times New Roman"/>
          <w:bCs/>
          <w:sz w:val="24"/>
        </w:rPr>
        <w:t xml:space="preserve">Study title: </w:t>
      </w:r>
      <w:r w:rsidRPr="00A10F7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 novel model of care; Telemedicine and peer support for HCV care among HIV infected people who inject drugs in remote Myanmar: A retrospective study. </w:t>
      </w:r>
    </w:p>
    <w:p w:rsidR="00A10F7E" w:rsidRPr="00A10F7E" w:rsidRDefault="00A10F7E" w:rsidP="00A10F7E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385"/>
        <w:gridCol w:w="7060"/>
      </w:tblGrid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bookmarkStart w:id="1" w:name="_Hlk175224120"/>
            <w:r w:rsidRPr="006067D2">
              <w:rPr>
                <w:rFonts w:ascii="Times New Roman" w:hAnsi="Times New Roman"/>
                <w:szCs w:val="22"/>
                <w:lang w:val="en-US"/>
              </w:rPr>
              <w:t>Outcome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Definitions</w:t>
            </w:r>
          </w:p>
        </w:tc>
      </w:tr>
      <w:tr w:rsidR="006067D2" w:rsidRPr="006067D2" w:rsidTr="00D730F7">
        <w:trPr>
          <w:trHeight w:val="714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</w:rPr>
              <w:t xml:space="preserve">Sustained viral </w:t>
            </w:r>
            <w:proofErr w:type="gramStart"/>
            <w:r w:rsidRPr="006067D2">
              <w:rPr>
                <w:rFonts w:ascii="Times New Roman" w:hAnsi="Times New Roman"/>
                <w:szCs w:val="22"/>
              </w:rPr>
              <w:t>response</w:t>
            </w:r>
            <w:r w:rsidR="000A3137">
              <w:rPr>
                <w:rFonts w:ascii="Times New Roman" w:hAnsi="Times New Roman"/>
                <w:szCs w:val="22"/>
              </w:rPr>
              <w:t xml:space="preserve"> </w:t>
            </w:r>
            <w:r w:rsidRPr="006067D2">
              <w:rPr>
                <w:rFonts w:ascii="Times New Roman" w:hAnsi="Times New Roman"/>
                <w:szCs w:val="22"/>
              </w:rPr>
              <w:t xml:space="preserve"> (</w:t>
            </w:r>
            <w:proofErr w:type="gramEnd"/>
            <w:r w:rsidRPr="006067D2">
              <w:rPr>
                <w:rFonts w:ascii="Times New Roman" w:hAnsi="Times New Roman"/>
                <w:szCs w:val="22"/>
              </w:rPr>
              <w:t>SVR</w:t>
            </w:r>
            <w:r w:rsidR="000A3137">
              <w:rPr>
                <w:rFonts w:ascii="Times New Roman" w:hAnsi="Times New Roman"/>
                <w:szCs w:val="22"/>
              </w:rPr>
              <w:t>12</w:t>
            </w:r>
            <w:r w:rsidRPr="006067D2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</w:rPr>
              <w:t>A patient who had an undetectable HCV viral load at 12 weeks after the completion of DAA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6067D2">
              <w:rPr>
                <w:rFonts w:ascii="Times New Roman" w:hAnsi="Times New Roman"/>
                <w:szCs w:val="22"/>
              </w:rPr>
              <w:t>treatment.</w:t>
            </w:r>
          </w:p>
        </w:tc>
      </w:tr>
      <w:tr w:rsidR="006067D2" w:rsidRPr="006067D2" w:rsidTr="00D730F7">
        <w:trPr>
          <w:trHeight w:val="714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eastAsia="en-GB"/>
              </w:rPr>
            </w:pPr>
            <w:r w:rsidRPr="006067D2">
              <w:rPr>
                <w:rFonts w:ascii="Times New Roman" w:hAnsi="Times New Roman"/>
                <w:szCs w:val="22"/>
                <w:lang w:eastAsia="en-GB"/>
              </w:rPr>
              <w:t>Treatment failure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 w:eastAsia="en-GB"/>
              </w:rPr>
            </w:pPr>
            <w:r w:rsidRPr="006067D2">
              <w:rPr>
                <w:rFonts w:ascii="Times New Roman" w:hAnsi="Times New Roman"/>
                <w:szCs w:val="22"/>
                <w:lang w:val="en-US" w:eastAsia="en-GB"/>
              </w:rPr>
              <w:t>A patient who had a detectable HCV viral load 12 weeks after the completion of DAA treatment.</w:t>
            </w:r>
          </w:p>
        </w:tc>
      </w:tr>
      <w:tr w:rsidR="006067D2" w:rsidRPr="006067D2" w:rsidTr="00D730F7">
        <w:trPr>
          <w:trHeight w:val="721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Death 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A patient who died due to any cause of death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>, either before completing treatment or after treatment completion and before the 12-week HCV result.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Lost to follow-up (LTFU)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A patient who did not attend the scheduled appointment for three or more months, either before or after completing HCV treatment, but before the 12-week HCV result.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>Transferred out (TO)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A patient who was transferred out to a non-MAM facility, either before or after completing treatment, but before the 12-week HCV result.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>One-year SVR</w:t>
            </w:r>
            <w:r w:rsidR="000A3137">
              <w:rPr>
                <w:rFonts w:ascii="Times New Roman" w:hAnsi="Times New Roman"/>
                <w:szCs w:val="22"/>
              </w:rPr>
              <w:t xml:space="preserve"> (SVR6</w:t>
            </w:r>
            <w:r w:rsidR="00FD314F">
              <w:rPr>
                <w:rFonts w:ascii="Times New Roman" w:hAnsi="Times New Roman"/>
                <w:szCs w:val="22"/>
              </w:rPr>
              <w:t>4</w:t>
            </w:r>
            <w:r w:rsidR="000A3137">
              <w:rPr>
                <w:rFonts w:ascii="Times New Roman" w:hAnsi="Times New Roman"/>
                <w:szCs w:val="22"/>
              </w:rPr>
              <w:t>)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bookmarkStart w:id="2" w:name="_Hlk220934784"/>
            <w:r w:rsidRPr="006067D2">
              <w:rPr>
                <w:rFonts w:ascii="Times New Roman" w:hAnsi="Times New Roman"/>
                <w:szCs w:val="22"/>
              </w:rPr>
              <w:t>A patient who had an undetectable HCV viral load one year after achieving SVR</w:t>
            </w:r>
            <w:r w:rsidR="000A3137">
              <w:rPr>
                <w:rFonts w:ascii="Times New Roman" w:hAnsi="Times New Roman"/>
                <w:szCs w:val="22"/>
              </w:rPr>
              <w:t>12</w:t>
            </w:r>
            <w:r w:rsidRPr="006067D2">
              <w:rPr>
                <w:rFonts w:ascii="Times New Roman" w:hAnsi="Times New Roman"/>
                <w:szCs w:val="22"/>
              </w:rPr>
              <w:t>, approximately 15 months</w:t>
            </w:r>
            <w:r w:rsidR="008C1C81">
              <w:rPr>
                <w:rFonts w:ascii="Times New Roman" w:hAnsi="Times New Roman"/>
                <w:szCs w:val="22"/>
              </w:rPr>
              <w:t xml:space="preserve"> (</w:t>
            </w:r>
            <w:r w:rsidR="00E57C07">
              <w:rPr>
                <w:rFonts w:ascii="Times New Roman" w:hAnsi="Times New Roman"/>
                <w:szCs w:val="22"/>
              </w:rPr>
              <w:t>64 weeks</w:t>
            </w:r>
            <w:r w:rsidR="008C1C81">
              <w:rPr>
                <w:rFonts w:ascii="Times New Roman" w:hAnsi="Times New Roman"/>
                <w:szCs w:val="22"/>
              </w:rPr>
              <w:t xml:space="preserve">) </w:t>
            </w:r>
            <w:bookmarkStart w:id="3" w:name="_GoBack"/>
            <w:bookmarkEnd w:id="3"/>
            <w:r w:rsidRPr="006067D2">
              <w:rPr>
                <w:rFonts w:ascii="Times New Roman" w:hAnsi="Times New Roman"/>
                <w:szCs w:val="22"/>
              </w:rPr>
              <w:t xml:space="preserve">after completing DAA treatment. </w:t>
            </w:r>
            <w:bookmarkEnd w:id="2"/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 xml:space="preserve">HCV </w:t>
            </w:r>
            <w:r w:rsidR="000A7347">
              <w:rPr>
                <w:rFonts w:ascii="Times New Roman" w:hAnsi="Times New Roman"/>
                <w:szCs w:val="22"/>
              </w:rPr>
              <w:t>reinfection</w:t>
            </w:r>
          </w:p>
        </w:tc>
        <w:tc>
          <w:tcPr>
            <w:tcW w:w="7060" w:type="dxa"/>
          </w:tcPr>
          <w:p w:rsidR="006067D2" w:rsidRPr="006067D2" w:rsidRDefault="000A7347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A patient </w:t>
            </w:r>
            <w:r w:rsidRPr="006067D2">
              <w:rPr>
                <w:rFonts w:ascii="Times New Roman" w:hAnsi="Times New Roman"/>
                <w:szCs w:val="22"/>
              </w:rPr>
              <w:t>who had a detectable HCV viral load one year after achieving SVR</w:t>
            </w:r>
            <w:r>
              <w:rPr>
                <w:rFonts w:ascii="Times New Roman" w:hAnsi="Times New Roman"/>
                <w:szCs w:val="22"/>
              </w:rPr>
              <w:t>12</w:t>
            </w:r>
            <w:r w:rsidRPr="006067D2">
              <w:rPr>
                <w:rFonts w:ascii="Times New Roman" w:hAnsi="Times New Roman"/>
                <w:szCs w:val="22"/>
              </w:rPr>
              <w:t>, approximately 15 months</w:t>
            </w:r>
            <w:r>
              <w:rPr>
                <w:rFonts w:ascii="Times New Roman" w:hAnsi="Times New Roman"/>
                <w:szCs w:val="22"/>
              </w:rPr>
              <w:t xml:space="preserve"> (64 weeks)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6067D2">
              <w:rPr>
                <w:rFonts w:ascii="Times New Roman" w:hAnsi="Times New Roman"/>
                <w:szCs w:val="22"/>
              </w:rPr>
              <w:t>after completing DAA treatment.</w:t>
            </w:r>
            <w:r>
              <w:rPr>
                <w:rFonts w:ascii="Times New Roman" w:hAnsi="Times New Roman"/>
                <w:szCs w:val="22"/>
              </w:rPr>
              <w:t xml:space="preserve">  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>Death-after SVR</w:t>
            </w:r>
            <w:r w:rsidR="00B538D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A patient who died due to any cause of death after achieving SVR</w:t>
            </w:r>
            <w:r w:rsidR="00B538DA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 xml:space="preserve"> and before completing a one-year follow-up after SVR</w:t>
            </w:r>
            <w:r w:rsidR="00B538DA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 xml:space="preserve">. 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>LTFU-after SVR</w:t>
            </w:r>
            <w:r w:rsidR="00B538DA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color w:val="000000" w:themeColor="text1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A patient who did not attend for the scheduled appointment for three months or more months after </w:t>
            </w: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 xml:space="preserve">achieving 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>SVR</w:t>
            </w:r>
            <w:r w:rsidR="00B538DA">
              <w:rPr>
                <w:rFonts w:ascii="Times New Roman" w:hAnsi="Times New Roman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 but before completing a one-year follow-up after SVR</w:t>
            </w:r>
            <w:r w:rsidR="00B538DA">
              <w:rPr>
                <w:rFonts w:ascii="Times New Roman" w:hAnsi="Times New Roman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. 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</w:rPr>
            </w:pPr>
            <w:r w:rsidRPr="006067D2">
              <w:rPr>
                <w:rFonts w:ascii="Times New Roman" w:hAnsi="Times New Roman"/>
                <w:szCs w:val="22"/>
              </w:rPr>
              <w:t>TO-after SVR</w:t>
            </w:r>
            <w:r w:rsidR="00B538DA">
              <w:rPr>
                <w:rFonts w:ascii="Times New Roman" w:hAnsi="Times New Roman"/>
                <w:szCs w:val="22"/>
              </w:rPr>
              <w:t>12</w:t>
            </w:r>
            <w:r w:rsidRPr="006067D2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color w:val="000000" w:themeColor="text1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A patient who was transferred out to a non-MAM facility </w:t>
            </w: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after achieving SVR</w:t>
            </w:r>
            <w:r w:rsidR="00B538DA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 xml:space="preserve"> and before completing a one-year follow-up after SVR</w:t>
            </w:r>
            <w:r w:rsidR="00B538DA">
              <w:rPr>
                <w:rFonts w:ascii="Times New Roman" w:hAnsi="Times New Roman"/>
                <w:color w:val="000000" w:themeColor="text1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>.</w:t>
            </w:r>
          </w:p>
        </w:tc>
      </w:tr>
      <w:tr w:rsidR="006067D2" w:rsidRPr="006067D2" w:rsidTr="00D730F7">
        <w:trPr>
          <w:trHeight w:val="363"/>
        </w:trPr>
        <w:tc>
          <w:tcPr>
            <w:tcW w:w="2385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Missed for one-year HCV-RNA testing after SVR</w:t>
            </w:r>
            <w:r w:rsidR="00B538DA">
              <w:rPr>
                <w:rFonts w:ascii="Times New Roman" w:hAnsi="Times New Roman"/>
                <w:szCs w:val="22"/>
                <w:lang w:val="en-US"/>
              </w:rPr>
              <w:t>12</w:t>
            </w:r>
          </w:p>
        </w:tc>
        <w:tc>
          <w:tcPr>
            <w:tcW w:w="7060" w:type="dxa"/>
          </w:tcPr>
          <w:p w:rsidR="006067D2" w:rsidRPr="006067D2" w:rsidRDefault="006067D2" w:rsidP="006067D2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6067D2">
              <w:rPr>
                <w:rFonts w:ascii="Times New Roman" w:hAnsi="Times New Roman"/>
                <w:szCs w:val="22"/>
                <w:lang w:val="en-US"/>
              </w:rPr>
              <w:t>A patient who achieved SVR</w:t>
            </w:r>
            <w:r w:rsidR="00B538DA">
              <w:rPr>
                <w:rFonts w:ascii="Times New Roman" w:hAnsi="Times New Roman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 and was under the routine HIV follow-up with the clinic but missed HCV testing one year after achieving SVR</w:t>
            </w:r>
            <w:r w:rsidR="00B538DA">
              <w:rPr>
                <w:rFonts w:ascii="Times New Roman" w:hAnsi="Times New Roman"/>
                <w:szCs w:val="22"/>
                <w:lang w:val="en-US"/>
              </w:rPr>
              <w:t>12</w:t>
            </w:r>
            <w:r w:rsidRPr="006067D2">
              <w:rPr>
                <w:rFonts w:ascii="Times New Roman" w:hAnsi="Times New Roman"/>
                <w:szCs w:val="22"/>
                <w:lang w:val="en-US"/>
              </w:rPr>
              <w:t xml:space="preserve">.  </w:t>
            </w:r>
          </w:p>
        </w:tc>
      </w:tr>
    </w:tbl>
    <w:bookmarkEnd w:id="1"/>
    <w:p w:rsidR="006067D2" w:rsidRDefault="006067D2" w:rsidP="006067D2">
      <w:pPr>
        <w:spacing w:after="0" w:line="360" w:lineRule="auto"/>
        <w:rPr>
          <w:rFonts w:ascii="Times New Roman" w:hAnsi="Times New Roman"/>
          <w:szCs w:val="18"/>
        </w:rPr>
      </w:pPr>
      <w:r w:rsidRPr="00421EAE">
        <w:rPr>
          <w:rFonts w:ascii="Times New Roman" w:hAnsi="Times New Roman"/>
          <w:szCs w:val="18"/>
        </w:rPr>
        <w:t>HCV; hepatitis C virus, MAM; Medical Action Myanmar, SVR; sustained viral response.</w:t>
      </w:r>
    </w:p>
    <w:p w:rsidR="00BB1D91" w:rsidRPr="00A10F7E" w:rsidRDefault="00BB1D91">
      <w:pPr>
        <w:rPr>
          <w:rFonts w:ascii="Times New Roman" w:hAnsi="Times New Roman"/>
          <w:sz w:val="24"/>
          <w:szCs w:val="24"/>
          <w:lang w:val="en-US"/>
        </w:rPr>
      </w:pPr>
    </w:p>
    <w:sectPr w:rsidR="00BB1D91" w:rsidRPr="00A1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xNDI0MjUzM7O0NDVR0lEKTi0uzszPAykwrwUAH8wN6iwAAAA="/>
  </w:docVars>
  <w:rsids>
    <w:rsidRoot w:val="00A10F7E"/>
    <w:rsid w:val="000A3137"/>
    <w:rsid w:val="000A7347"/>
    <w:rsid w:val="00327418"/>
    <w:rsid w:val="00390573"/>
    <w:rsid w:val="006067D2"/>
    <w:rsid w:val="007D6567"/>
    <w:rsid w:val="007F2208"/>
    <w:rsid w:val="008C1C81"/>
    <w:rsid w:val="009D378C"/>
    <w:rsid w:val="009E423F"/>
    <w:rsid w:val="00A10F7E"/>
    <w:rsid w:val="00A52534"/>
    <w:rsid w:val="00B504C5"/>
    <w:rsid w:val="00B538DA"/>
    <w:rsid w:val="00B713DB"/>
    <w:rsid w:val="00BB1D91"/>
    <w:rsid w:val="00E32993"/>
    <w:rsid w:val="00E57C07"/>
    <w:rsid w:val="00FD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EE402"/>
  <w15:chartTrackingRefBased/>
  <w15:docId w15:val="{8033E33A-40DA-46D7-8A77-2BB75BF4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0F7E"/>
    <w:rPr>
      <w:rFonts w:ascii="Calibri" w:eastAsia="Times New Roman" w:hAnsi="Calibri" w:cs="Times New Roman"/>
      <w:szCs w:val="20"/>
      <w:lang w:val="en-GB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qFormat/>
    <w:rsid w:val="00A10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10F7E"/>
    <w:rPr>
      <w:rFonts w:ascii="Calibri" w:eastAsia="Times New Roman" w:hAnsi="Calibri" w:cs="Times New Roman"/>
      <w:sz w:val="20"/>
      <w:szCs w:val="20"/>
      <w:lang w:val="en-GB" w:bidi="my-MM"/>
    </w:rPr>
  </w:style>
  <w:style w:type="character" w:styleId="CommentReference">
    <w:name w:val="annotation reference"/>
    <w:basedOn w:val="DefaultParagraphFont"/>
    <w:uiPriority w:val="99"/>
    <w:semiHidden/>
    <w:unhideWhenUsed/>
    <w:rsid w:val="006067D2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7D2"/>
    <w:rPr>
      <w:rFonts w:ascii="Segoe UI" w:eastAsia="Times New Roman" w:hAnsi="Segoe UI" w:cs="Segoe UI"/>
      <w:sz w:val="18"/>
      <w:szCs w:val="18"/>
      <w:lang w:val="en-GB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Ni Tun</dc:creator>
  <cp:keywords/>
  <dc:description/>
  <cp:lastModifiedBy>Ni Ni Tun</cp:lastModifiedBy>
  <cp:revision>5</cp:revision>
  <dcterms:created xsi:type="dcterms:W3CDTF">2026-03-20T11:57:00Z</dcterms:created>
  <dcterms:modified xsi:type="dcterms:W3CDTF">2026-03-22T06:51:00Z</dcterms:modified>
</cp:coreProperties>
</file>