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80EA9C" w14:textId="48F4A261" w:rsidR="005E0BCE" w:rsidRDefault="005E0BCE" w:rsidP="00353562">
      <w:pPr>
        <w:pStyle w:val="Heading3"/>
      </w:pPr>
      <w:bookmarkStart w:id="0" w:name="_Ref440626761"/>
      <w:bookmarkStart w:id="1" w:name="_Toc440280285"/>
      <w:r>
        <w:t>Detailed rev</w:t>
      </w:r>
      <w:r w:rsidR="00A67610">
        <w:t>iew of PRO measures: Further methods</w:t>
      </w:r>
      <w:bookmarkStart w:id="2" w:name="_GoBack"/>
      <w:bookmarkEnd w:id="2"/>
    </w:p>
    <w:bookmarkEnd w:id="0"/>
    <w:bookmarkEnd w:id="1"/>
    <w:p w14:paraId="1F18A9B2" w14:textId="1BFAE1D4" w:rsidR="003A0FFF" w:rsidRDefault="003A0FFF" w:rsidP="003A0FFF">
      <w:pPr>
        <w:pStyle w:val="Caption"/>
      </w:pPr>
      <w:r>
        <w:t>Table S</w:t>
      </w:r>
      <w:r w:rsidR="00A67610">
        <w:fldChar w:fldCharType="begin"/>
      </w:r>
      <w:r w:rsidR="00A67610">
        <w:instrText xml:space="preserve"> SEQ Table_S \* ARABIC </w:instrText>
      </w:r>
      <w:r w:rsidR="00A67610">
        <w:fldChar w:fldCharType="separate"/>
      </w:r>
      <w:r>
        <w:rPr>
          <w:noProof/>
        </w:rPr>
        <w:t>5</w:t>
      </w:r>
      <w:r w:rsidR="00A67610">
        <w:rPr>
          <w:noProof/>
        </w:rPr>
        <w:fldChar w:fldCharType="end"/>
      </w:r>
      <w:r>
        <w:t xml:space="preserve">: </w:t>
      </w:r>
      <w:r w:rsidRPr="00A544E8">
        <w:t>Content validity review checklist</w:t>
      </w:r>
    </w:p>
    <w:tbl>
      <w:tblPr>
        <w:tblStyle w:val="ReportTable"/>
        <w:tblW w:w="0" w:type="auto"/>
        <w:tblLook w:val="04A0" w:firstRow="1" w:lastRow="0" w:firstColumn="1" w:lastColumn="0" w:noHBand="0" w:noVBand="1"/>
      </w:tblPr>
      <w:tblGrid>
        <w:gridCol w:w="2201"/>
        <w:gridCol w:w="6815"/>
      </w:tblGrid>
      <w:tr w:rsidR="0037563E" w:rsidRPr="0037563E" w14:paraId="4EE0E308" w14:textId="77777777" w:rsidTr="005E5F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shd w:val="clear" w:color="auto" w:fill="auto"/>
          </w:tcPr>
          <w:p w14:paraId="2DB43DB3" w14:textId="77777777" w:rsidR="0037563E" w:rsidRPr="0037563E" w:rsidRDefault="0037563E" w:rsidP="00810841">
            <w:pPr>
              <w:pStyle w:val="ReportTableText"/>
            </w:pPr>
            <w:r w:rsidRPr="0037563E">
              <w:t>Category</w:t>
            </w:r>
          </w:p>
        </w:tc>
        <w:tc>
          <w:tcPr>
            <w:tcW w:w="6815" w:type="dxa"/>
            <w:shd w:val="clear" w:color="auto" w:fill="auto"/>
          </w:tcPr>
          <w:p w14:paraId="76AFBC8A" w14:textId="58A0AB87" w:rsidR="0037563E" w:rsidRPr="0037563E" w:rsidRDefault="001A0E10" w:rsidP="00810841">
            <w:pPr>
              <w:pStyle w:val="ReportTableTex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7563E">
              <w:t>Example questions</w:t>
            </w:r>
          </w:p>
        </w:tc>
      </w:tr>
      <w:tr w:rsidR="00970BBE" w:rsidRPr="0037563E" w14:paraId="3BA9EA9C" w14:textId="77777777" w:rsidTr="005E5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shd w:val="clear" w:color="auto" w:fill="auto"/>
          </w:tcPr>
          <w:p w14:paraId="24728F23" w14:textId="73F07A3B" w:rsidR="00970BBE" w:rsidRPr="0037563E" w:rsidRDefault="00970BBE" w:rsidP="00A373DE">
            <w:pPr>
              <w:pStyle w:val="ReportTableText"/>
            </w:pPr>
            <w:r w:rsidRPr="00193A12">
              <w:t>Instrument development</w:t>
            </w:r>
          </w:p>
        </w:tc>
        <w:tc>
          <w:tcPr>
            <w:tcW w:w="6815" w:type="dxa"/>
            <w:shd w:val="clear" w:color="auto" w:fill="auto"/>
          </w:tcPr>
          <w:p w14:paraId="43FAB0C3" w14:textId="77777777" w:rsidR="00970BBE" w:rsidRPr="00193A12" w:rsidRDefault="00970BBE" w:rsidP="00A373DE">
            <w:pPr>
              <w:pStyle w:val="ListBullet"/>
              <w:spacing w:before="0" w:line="240" w:lineRule="auto"/>
              <w:ind w:left="352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Documented evidence that </w:t>
            </w:r>
            <w:r w:rsidRPr="00193A12">
              <w:t xml:space="preserve">patients </w:t>
            </w:r>
            <w:r>
              <w:t xml:space="preserve">representative of the intended population of use were involved in item generation </w:t>
            </w:r>
          </w:p>
          <w:p w14:paraId="035C0CE0" w14:textId="77777777" w:rsidR="00970BBE" w:rsidRPr="00193A12" w:rsidRDefault="00970BBE" w:rsidP="00A373DE">
            <w:pPr>
              <w:pStyle w:val="ListBullet"/>
              <w:spacing w:before="0" w:line="240" w:lineRule="auto"/>
              <w:ind w:left="352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Documented evidence that</w:t>
            </w:r>
            <w:r w:rsidRPr="00193A12">
              <w:t xml:space="preserve"> patients </w:t>
            </w:r>
            <w:r>
              <w:t>representative of the intended population of use</w:t>
            </w:r>
            <w:r w:rsidRPr="00193A12">
              <w:t xml:space="preserve"> </w:t>
            </w:r>
            <w:r>
              <w:t xml:space="preserve">were </w:t>
            </w:r>
            <w:r w:rsidRPr="00193A12">
              <w:t xml:space="preserve">involved </w:t>
            </w:r>
            <w:r>
              <w:t xml:space="preserve">in </w:t>
            </w:r>
            <w:r w:rsidRPr="00193A12">
              <w:t>content validity testing (e.g. cognitive debriefing interviews)</w:t>
            </w:r>
          </w:p>
          <w:p w14:paraId="23B396B9" w14:textId="5808DD4B" w:rsidR="00970BBE" w:rsidRPr="0037563E" w:rsidRDefault="00970BBE" w:rsidP="00A373DE">
            <w:pPr>
              <w:pStyle w:val="ListBullet"/>
              <w:spacing w:before="0" w:line="240" w:lineRule="auto"/>
              <w:ind w:left="352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Documentation of</w:t>
            </w:r>
            <w:r w:rsidRPr="00193A12">
              <w:t xml:space="preserve"> previous versions of the instrument and rationale for item reduction</w:t>
            </w:r>
            <w:r w:rsidR="00A373DE">
              <w:t>.</w:t>
            </w:r>
          </w:p>
        </w:tc>
      </w:tr>
      <w:tr w:rsidR="00970BBE" w:rsidRPr="0037563E" w14:paraId="36BCB2EA" w14:textId="77777777" w:rsidTr="005E5F0E">
        <w:trPr>
          <w:trHeight w:val="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shd w:val="clear" w:color="auto" w:fill="auto"/>
          </w:tcPr>
          <w:p w14:paraId="009A4462" w14:textId="6705D4A6" w:rsidR="00970BBE" w:rsidRPr="0037563E" w:rsidRDefault="00970BBE" w:rsidP="00A373DE">
            <w:pPr>
              <w:pStyle w:val="ReportTableText"/>
            </w:pPr>
            <w:r w:rsidRPr="00193A12">
              <w:t>Conceptual framework</w:t>
            </w:r>
          </w:p>
        </w:tc>
        <w:tc>
          <w:tcPr>
            <w:tcW w:w="6815" w:type="dxa"/>
            <w:shd w:val="clear" w:color="auto" w:fill="auto"/>
          </w:tcPr>
          <w:p w14:paraId="70602D41" w14:textId="77777777" w:rsidR="00970BBE" w:rsidRPr="00193A12" w:rsidRDefault="00970BBE" w:rsidP="00A373DE">
            <w:pPr>
              <w:pStyle w:val="ListBullet"/>
              <w:spacing w:before="0" w:line="240" w:lineRule="auto"/>
              <w:ind w:left="352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Documentation of</w:t>
            </w:r>
            <w:r w:rsidRPr="00193A12">
              <w:t xml:space="preserve"> a conceptual </w:t>
            </w:r>
            <w:r>
              <w:t>framework</w:t>
            </w:r>
          </w:p>
          <w:p w14:paraId="1D393541" w14:textId="34B51073" w:rsidR="00970BBE" w:rsidRPr="0037563E" w:rsidRDefault="00970BBE" w:rsidP="00A373DE">
            <w:pPr>
              <w:pStyle w:val="ListBullet"/>
              <w:spacing w:before="0" w:line="240" w:lineRule="auto"/>
              <w:ind w:left="352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Documented evidence that </w:t>
            </w:r>
            <w:r w:rsidRPr="00193A12">
              <w:t>each item measure</w:t>
            </w:r>
            <w:r>
              <w:t>s a single concept</w:t>
            </w:r>
          </w:p>
        </w:tc>
      </w:tr>
      <w:tr w:rsidR="00970BBE" w:rsidRPr="0037563E" w14:paraId="1E047F71" w14:textId="77777777" w:rsidTr="005E5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shd w:val="clear" w:color="auto" w:fill="auto"/>
          </w:tcPr>
          <w:p w14:paraId="00288C9C" w14:textId="676F5B01" w:rsidR="00970BBE" w:rsidRPr="0037563E" w:rsidRDefault="00970BBE" w:rsidP="00A373DE">
            <w:pPr>
              <w:pStyle w:val="ReportTableText"/>
            </w:pPr>
            <w:r w:rsidRPr="00193A12">
              <w:t>Instructions</w:t>
            </w:r>
          </w:p>
        </w:tc>
        <w:tc>
          <w:tcPr>
            <w:tcW w:w="6815" w:type="dxa"/>
            <w:shd w:val="clear" w:color="auto" w:fill="auto"/>
          </w:tcPr>
          <w:p w14:paraId="322B245E" w14:textId="77777777" w:rsidR="00970BBE" w:rsidRDefault="00970BBE" w:rsidP="00A373DE">
            <w:pPr>
              <w:pStyle w:val="ListBullet"/>
              <w:spacing w:before="0" w:line="240" w:lineRule="auto"/>
              <w:ind w:left="352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Documented evidence for patient understanding and consistent interpretation of diary instructions</w:t>
            </w:r>
          </w:p>
          <w:p w14:paraId="7B5243EB" w14:textId="3C1F082F" w:rsidR="00970BBE" w:rsidRPr="0037563E" w:rsidRDefault="00970BBE" w:rsidP="00A373DE">
            <w:pPr>
              <w:pStyle w:val="ListBullet"/>
              <w:spacing w:before="0" w:line="240" w:lineRule="auto"/>
              <w:ind w:left="352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Availability of specific </w:t>
            </w:r>
            <w:r w:rsidRPr="00193A12">
              <w:t xml:space="preserve">instructions </w:t>
            </w:r>
            <w:r>
              <w:t>relevant to the electronic mode of the instrument</w:t>
            </w:r>
          </w:p>
        </w:tc>
      </w:tr>
      <w:tr w:rsidR="00970BBE" w:rsidRPr="0037563E" w14:paraId="2124D33C" w14:textId="77777777" w:rsidTr="005E5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shd w:val="clear" w:color="auto" w:fill="auto"/>
          </w:tcPr>
          <w:p w14:paraId="2D99C946" w14:textId="7A4AA164" w:rsidR="00970BBE" w:rsidRPr="0037563E" w:rsidRDefault="00970BBE" w:rsidP="00A373DE">
            <w:pPr>
              <w:pStyle w:val="ReportTableText"/>
            </w:pPr>
            <w:r w:rsidRPr="00193A12">
              <w:t>Response scale and options</w:t>
            </w:r>
          </w:p>
        </w:tc>
        <w:tc>
          <w:tcPr>
            <w:tcW w:w="6815" w:type="dxa"/>
            <w:shd w:val="clear" w:color="auto" w:fill="auto"/>
          </w:tcPr>
          <w:p w14:paraId="599077E9" w14:textId="77777777" w:rsidR="00970BBE" w:rsidRDefault="00970BBE" w:rsidP="00A373DE">
            <w:pPr>
              <w:pStyle w:val="ListBullet"/>
              <w:spacing w:before="0" w:line="240" w:lineRule="auto"/>
              <w:ind w:left="352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Documented evidence for patient understanding and consistent interpretation of  </w:t>
            </w:r>
            <w:r w:rsidRPr="00193A12">
              <w:t>response</w:t>
            </w:r>
            <w:r>
              <w:t xml:space="preserve"> scale and response</w:t>
            </w:r>
            <w:r w:rsidRPr="00193A12">
              <w:t xml:space="preserve"> options</w:t>
            </w:r>
          </w:p>
          <w:p w14:paraId="165514FE" w14:textId="77777777" w:rsidR="00970BBE" w:rsidRPr="00193A12" w:rsidRDefault="00970BBE" w:rsidP="00A373DE">
            <w:pPr>
              <w:pStyle w:val="ListBullet"/>
              <w:spacing w:before="0" w:line="240" w:lineRule="auto"/>
              <w:ind w:left="352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Documented evidence that the response options</w:t>
            </w:r>
            <w:r w:rsidRPr="00193A12">
              <w:t xml:space="preserve"> fit the target</w:t>
            </w:r>
            <w:r>
              <w:t xml:space="preserve"> concepts</w:t>
            </w:r>
          </w:p>
          <w:p w14:paraId="5913049A" w14:textId="77777777" w:rsidR="00970BBE" w:rsidRPr="00193A12" w:rsidRDefault="00970BBE" w:rsidP="00A373DE">
            <w:pPr>
              <w:pStyle w:val="ListBullet"/>
              <w:spacing w:before="0" w:line="240" w:lineRule="auto"/>
              <w:ind w:left="352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Documented evidence that the response options</w:t>
            </w:r>
            <w:r w:rsidRPr="00193A12">
              <w:t xml:space="preserve"> </w:t>
            </w:r>
            <w:r>
              <w:t>are</w:t>
            </w:r>
            <w:r w:rsidRPr="00193A12">
              <w:t xml:space="preserve"> evenly distributed</w:t>
            </w:r>
          </w:p>
          <w:p w14:paraId="23AC3974" w14:textId="49A467DA" w:rsidR="00970BBE" w:rsidRPr="0037563E" w:rsidRDefault="00970BBE" w:rsidP="00A373DE">
            <w:pPr>
              <w:pStyle w:val="ListBullet"/>
              <w:spacing w:before="0" w:line="240" w:lineRule="auto"/>
              <w:ind w:left="352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Evidence of use of a</w:t>
            </w:r>
            <w:r w:rsidRPr="00193A12">
              <w:t xml:space="preserve"> scale appropriate </w:t>
            </w:r>
            <w:r>
              <w:t>to</w:t>
            </w:r>
            <w:r w:rsidRPr="00193A12">
              <w:t xml:space="preserve"> the response </w:t>
            </w:r>
            <w:r>
              <w:t>options</w:t>
            </w:r>
          </w:p>
        </w:tc>
      </w:tr>
      <w:tr w:rsidR="00970BBE" w:rsidRPr="0037563E" w14:paraId="69E40B1F" w14:textId="77777777" w:rsidTr="005E5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shd w:val="clear" w:color="auto" w:fill="auto"/>
          </w:tcPr>
          <w:p w14:paraId="1CC87233" w14:textId="4A5539D5" w:rsidR="00970BBE" w:rsidRPr="0037563E" w:rsidRDefault="00970BBE" w:rsidP="00970BBE">
            <w:pPr>
              <w:pStyle w:val="ReportTableText"/>
            </w:pPr>
            <w:r w:rsidRPr="00193A12">
              <w:t>Recall period</w:t>
            </w:r>
          </w:p>
        </w:tc>
        <w:tc>
          <w:tcPr>
            <w:tcW w:w="6815" w:type="dxa"/>
            <w:shd w:val="clear" w:color="auto" w:fill="auto"/>
          </w:tcPr>
          <w:p w14:paraId="716427AE" w14:textId="77777777" w:rsidR="00970BBE" w:rsidRPr="00193A12" w:rsidRDefault="00970BBE" w:rsidP="00A373DE">
            <w:pPr>
              <w:pStyle w:val="ListBullet"/>
              <w:spacing w:before="0" w:line="240" w:lineRule="auto"/>
              <w:ind w:left="352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Documented evidence that </w:t>
            </w:r>
            <w:r w:rsidRPr="00193A12">
              <w:t xml:space="preserve">the recall period </w:t>
            </w:r>
            <w:r>
              <w:t xml:space="preserve">is </w:t>
            </w:r>
            <w:r w:rsidRPr="00193A12">
              <w:t>appro</w:t>
            </w:r>
            <w:r>
              <w:t>priate for measurement concepts</w:t>
            </w:r>
          </w:p>
          <w:p w14:paraId="1DB2A802" w14:textId="2A534383" w:rsidR="00970BBE" w:rsidRPr="0037563E" w:rsidRDefault="00970BBE" w:rsidP="00A373DE">
            <w:pPr>
              <w:pStyle w:val="ListBullet"/>
              <w:spacing w:before="0" w:line="240" w:lineRule="auto"/>
              <w:ind w:left="352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Documented evidence that </w:t>
            </w:r>
            <w:r w:rsidRPr="00193A12">
              <w:t xml:space="preserve">the recall period </w:t>
            </w:r>
            <w:r>
              <w:t xml:space="preserve">is </w:t>
            </w:r>
            <w:r w:rsidRPr="00193A12">
              <w:t xml:space="preserve">appropriate for </w:t>
            </w:r>
            <w:r>
              <w:t xml:space="preserve">intended context of use and </w:t>
            </w:r>
            <w:r w:rsidRPr="00193A12">
              <w:t>population</w:t>
            </w:r>
            <w:r>
              <w:t xml:space="preserve"> of use</w:t>
            </w:r>
          </w:p>
        </w:tc>
      </w:tr>
      <w:tr w:rsidR="00970BBE" w:rsidRPr="0037563E" w14:paraId="55CCBC8A" w14:textId="77777777" w:rsidTr="005E5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shd w:val="clear" w:color="auto" w:fill="auto"/>
          </w:tcPr>
          <w:p w14:paraId="6C8B9F84" w14:textId="7411D089" w:rsidR="00970BBE" w:rsidRPr="0037563E" w:rsidRDefault="00970BBE" w:rsidP="00970BBE">
            <w:pPr>
              <w:pStyle w:val="ReportTableText"/>
            </w:pPr>
            <w:r w:rsidRPr="00193A12">
              <w:t>Item wording</w:t>
            </w:r>
          </w:p>
        </w:tc>
        <w:tc>
          <w:tcPr>
            <w:tcW w:w="6815" w:type="dxa"/>
            <w:shd w:val="clear" w:color="auto" w:fill="auto"/>
          </w:tcPr>
          <w:p w14:paraId="41863C86" w14:textId="64AC6E9B" w:rsidR="00970BBE" w:rsidRPr="0037563E" w:rsidRDefault="00970BBE" w:rsidP="00A373DE">
            <w:pPr>
              <w:pStyle w:val="ListBullet"/>
              <w:spacing w:before="0" w:line="240" w:lineRule="auto"/>
              <w:ind w:left="352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Documented evidence for patient understanding and consistent interpretation of items</w:t>
            </w:r>
          </w:p>
        </w:tc>
      </w:tr>
      <w:tr w:rsidR="00970BBE" w:rsidRPr="0037563E" w14:paraId="499ACF3E" w14:textId="77777777" w:rsidTr="005E5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shd w:val="clear" w:color="auto" w:fill="auto"/>
          </w:tcPr>
          <w:p w14:paraId="2A69EE80" w14:textId="3DEBF7E6" w:rsidR="00970BBE" w:rsidRPr="0037563E" w:rsidRDefault="00970BBE" w:rsidP="00970BBE">
            <w:pPr>
              <w:pStyle w:val="ReportTableText"/>
            </w:pPr>
            <w:r w:rsidRPr="00193A12">
              <w:t>Format and layout</w:t>
            </w:r>
          </w:p>
        </w:tc>
        <w:tc>
          <w:tcPr>
            <w:tcW w:w="6815" w:type="dxa"/>
            <w:shd w:val="clear" w:color="auto" w:fill="auto"/>
          </w:tcPr>
          <w:p w14:paraId="45903DAC" w14:textId="1C4603A3" w:rsidR="00970BBE" w:rsidRPr="0037563E" w:rsidRDefault="00970BBE" w:rsidP="00A373DE">
            <w:pPr>
              <w:pStyle w:val="ListBullet"/>
              <w:spacing w:before="0" w:line="240" w:lineRule="auto"/>
              <w:ind w:left="352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Documented evidence that the </w:t>
            </w:r>
            <w:r w:rsidRPr="00193A12">
              <w:t>administration mode</w:t>
            </w:r>
            <w:r>
              <w:t xml:space="preserve"> is</w:t>
            </w:r>
            <w:r w:rsidRPr="00193A12">
              <w:t xml:space="preserve"> sui</w:t>
            </w:r>
            <w:r>
              <w:t>table for the target population</w:t>
            </w:r>
          </w:p>
        </w:tc>
      </w:tr>
      <w:tr w:rsidR="00970BBE" w:rsidRPr="0037563E" w14:paraId="6E79F073" w14:textId="77777777" w:rsidTr="005E5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shd w:val="clear" w:color="auto" w:fill="auto"/>
          </w:tcPr>
          <w:p w14:paraId="530D5C9B" w14:textId="1A8AB35D" w:rsidR="00970BBE" w:rsidRPr="0037563E" w:rsidRDefault="00970BBE" w:rsidP="00970BBE">
            <w:pPr>
              <w:pStyle w:val="ReportTableText"/>
            </w:pPr>
            <w:r w:rsidRPr="00193A12">
              <w:t>Scoring</w:t>
            </w:r>
          </w:p>
        </w:tc>
        <w:tc>
          <w:tcPr>
            <w:tcW w:w="6815" w:type="dxa"/>
            <w:shd w:val="clear" w:color="auto" w:fill="auto"/>
          </w:tcPr>
          <w:p w14:paraId="33CCA973" w14:textId="77777777" w:rsidR="00970BBE" w:rsidRPr="00193A12" w:rsidRDefault="00970BBE" w:rsidP="00A373DE">
            <w:pPr>
              <w:pStyle w:val="ListBullet"/>
              <w:spacing w:before="0" w:line="240" w:lineRule="auto"/>
              <w:ind w:left="352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191E">
              <w:t>Evidence for conceptually relevant scoring at the item level and domain level</w:t>
            </w:r>
          </w:p>
          <w:p w14:paraId="2635869D" w14:textId="4D8D7718" w:rsidR="00970BBE" w:rsidRPr="0037563E" w:rsidRDefault="00970BBE" w:rsidP="00A373DE">
            <w:pPr>
              <w:pStyle w:val="ListBullet"/>
              <w:spacing w:before="0" w:line="240" w:lineRule="auto"/>
              <w:ind w:left="352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Availability</w:t>
            </w:r>
            <w:r w:rsidRPr="000B191E">
              <w:t xml:space="preserve"> of a </w:t>
            </w:r>
            <w:r w:rsidRPr="00193A12">
              <w:t>user m</w:t>
            </w:r>
            <w:r w:rsidRPr="000B191E">
              <w:t xml:space="preserve">anual or scoring guide for consistency in data </w:t>
            </w:r>
            <w:r>
              <w:t>analyses</w:t>
            </w:r>
          </w:p>
        </w:tc>
      </w:tr>
    </w:tbl>
    <w:p w14:paraId="570A6D8D" w14:textId="6EF26283" w:rsidR="00025FFA" w:rsidRDefault="0037563E" w:rsidP="0037563E">
      <w:pPr>
        <w:spacing w:after="480" w:line="276" w:lineRule="auto"/>
        <w:contextualSpacing/>
        <w:rPr>
          <w:rFonts w:ascii="Calibri" w:hAnsi="Calibri" w:cs="Calibri"/>
          <w:sz w:val="18"/>
        </w:rPr>
      </w:pPr>
      <w:r w:rsidRPr="0037563E">
        <w:rPr>
          <w:rFonts w:ascii="Calibri" w:hAnsi="Calibri" w:cs="Calibri"/>
          <w:sz w:val="18"/>
        </w:rPr>
        <w:t>Abbreviations: FDA, Food and Drug Administration; PRO, patient reported outcome</w:t>
      </w:r>
      <w:r w:rsidR="00025FFA">
        <w:rPr>
          <w:rFonts w:ascii="Calibri" w:hAnsi="Calibri" w:cs="Calibri"/>
          <w:sz w:val="18"/>
        </w:rPr>
        <w:br w:type="page"/>
      </w:r>
    </w:p>
    <w:p w14:paraId="224C9A22" w14:textId="6F693972" w:rsidR="003A0FFF" w:rsidRDefault="003A0FFF" w:rsidP="003A0FFF">
      <w:pPr>
        <w:pStyle w:val="Caption"/>
      </w:pPr>
      <w:r>
        <w:lastRenderedPageBreak/>
        <w:t>Table S</w:t>
      </w:r>
      <w:r w:rsidR="00A67610">
        <w:fldChar w:fldCharType="begin"/>
      </w:r>
      <w:r w:rsidR="00A67610">
        <w:instrText xml:space="preserve"> SEQ Table_S \* ARABIC </w:instrText>
      </w:r>
      <w:r w:rsidR="00A67610">
        <w:fldChar w:fldCharType="separate"/>
      </w:r>
      <w:r>
        <w:rPr>
          <w:noProof/>
        </w:rPr>
        <w:t>6</w:t>
      </w:r>
      <w:r w:rsidR="00A67610">
        <w:rPr>
          <w:noProof/>
        </w:rPr>
        <w:fldChar w:fldCharType="end"/>
      </w:r>
      <w:r>
        <w:t xml:space="preserve">: </w:t>
      </w:r>
      <w:r w:rsidRPr="004A040F">
        <w:t>Psychometric review checklist</w:t>
      </w:r>
    </w:p>
    <w:tbl>
      <w:tblPr>
        <w:tblStyle w:val="ReportTable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4598"/>
      </w:tblGrid>
      <w:tr w:rsidR="0037563E" w:rsidRPr="00830147" w14:paraId="6723E10C" w14:textId="77777777" w:rsidTr="005E5F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</w:tcPr>
          <w:p w14:paraId="19F83649" w14:textId="77777777" w:rsidR="0037563E" w:rsidRPr="00830147" w:rsidRDefault="0037563E" w:rsidP="0037563E">
            <w:pPr>
              <w:pStyle w:val="ReportTableText"/>
            </w:pPr>
            <w:r w:rsidRPr="00830147">
              <w:t>Category</w:t>
            </w:r>
          </w:p>
        </w:tc>
        <w:tc>
          <w:tcPr>
            <w:tcW w:w="2268" w:type="dxa"/>
            <w:shd w:val="clear" w:color="auto" w:fill="auto"/>
          </w:tcPr>
          <w:p w14:paraId="62474E5B" w14:textId="77777777" w:rsidR="0037563E" w:rsidRPr="00830147" w:rsidRDefault="0037563E" w:rsidP="0037563E">
            <w:pPr>
              <w:pStyle w:val="ReportTableTex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30147">
              <w:t>Property</w:t>
            </w:r>
          </w:p>
        </w:tc>
        <w:tc>
          <w:tcPr>
            <w:tcW w:w="4598" w:type="dxa"/>
            <w:shd w:val="clear" w:color="auto" w:fill="auto"/>
          </w:tcPr>
          <w:p w14:paraId="6495EFF8" w14:textId="60E21A1D" w:rsidR="0037563E" w:rsidRPr="00830147" w:rsidRDefault="001A0E10" w:rsidP="0037563E">
            <w:pPr>
              <w:pStyle w:val="ReportTableTex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30147">
              <w:t>Definitions</w:t>
            </w:r>
          </w:p>
        </w:tc>
      </w:tr>
      <w:tr w:rsidR="00970BBE" w:rsidRPr="00830147" w14:paraId="7C4283B4" w14:textId="77777777" w:rsidTr="005E5F0E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  <w:shd w:val="clear" w:color="auto" w:fill="auto"/>
          </w:tcPr>
          <w:p w14:paraId="667D6F09" w14:textId="39B47492" w:rsidR="00970BBE" w:rsidRPr="00830147" w:rsidRDefault="00970BBE" w:rsidP="00B925E3">
            <w:pPr>
              <w:pStyle w:val="ReportTableText"/>
            </w:pPr>
            <w:r w:rsidRPr="00830147">
              <w:t>Reliability</w:t>
            </w:r>
            <w:r>
              <w:t xml:space="preserve"> </w:t>
            </w:r>
            <w:r>
              <w:fldChar w:fldCharType="begin"/>
            </w:r>
            <w:r>
              <w:instrText xml:space="preserve"> ADDIN EN.CITE &lt;EndNote&gt;&lt;Cite ExcludeYear="1"&gt;&lt;Author&gt;FDA&lt;/Author&gt;&lt;RecNum&gt;26&lt;/RecNum&gt;&lt;DisplayText&gt;(22)&lt;/DisplayText&gt;&lt;record&gt;&lt;rec-number&gt;26&lt;/rec-number&gt;&lt;foreign-keys&gt;&lt;key app="EN" db-id="p5s00sp5jp9peierv0kxd9v0waw9epvedtss" timestamp="1461763635"&gt;26&lt;/key&gt;&lt;/foreign-keys&gt;&lt;ref-type name="Journal Article"&gt;17&lt;/ref-type&gt;&lt;contributors&gt;&lt;authors&gt;&lt;author&gt;FDA, &lt;/author&gt;&lt;/authors&gt;&lt;/contributors&gt;&lt;titles&gt;&lt;title&gt;Guidance for Industry. Patient-reported outcome measures: use in medical product development to support labeling claims. 2009. Available online at http://www.fda.gov/downloads/Drugs/.../Guidances/UCM193282.pdf. Last accessed: April 2016&lt;/title&gt;&lt;/titles&gt;&lt;dates&gt;&lt;/dates&gt;&lt;urls&gt;&lt;/urls&gt;&lt;/record&gt;&lt;/Cite&gt;&lt;/EndNote&gt;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</w:t>
            </w:r>
            <w:hyperlink w:anchor="_ENREF_22" w:tooltip="FDA,  #26" w:history="1">
              <w:r w:rsidR="00B925E3">
                <w:rPr>
                  <w:noProof/>
                </w:rPr>
                <w:t>22</w:t>
              </w:r>
            </w:hyperlink>
            <w:r>
              <w:rPr>
                <w:noProof/>
              </w:rPr>
              <w:t>)</w:t>
            </w:r>
            <w:r>
              <w:fldChar w:fldCharType="end"/>
            </w:r>
          </w:p>
        </w:tc>
        <w:tc>
          <w:tcPr>
            <w:tcW w:w="2268" w:type="dxa"/>
            <w:shd w:val="clear" w:color="auto" w:fill="auto"/>
          </w:tcPr>
          <w:p w14:paraId="751998C3" w14:textId="77777777" w:rsidR="00970BBE" w:rsidRPr="00830147" w:rsidRDefault="00970BBE" w:rsidP="00A373DE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0147">
              <w:t>Internal (</w:t>
            </w:r>
            <w:r>
              <w:t>C</w:t>
            </w:r>
            <w:r w:rsidRPr="00830147">
              <w:t>ronbach’s α)</w:t>
            </w:r>
          </w:p>
        </w:tc>
        <w:tc>
          <w:tcPr>
            <w:tcW w:w="4598" w:type="dxa"/>
            <w:shd w:val="clear" w:color="auto" w:fill="auto"/>
          </w:tcPr>
          <w:p w14:paraId="720671A4" w14:textId="0B31B2CF" w:rsidR="00970BBE" w:rsidRPr="00830147" w:rsidRDefault="00970BBE" w:rsidP="00A373DE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25C6">
              <w:rPr>
                <w:rFonts w:asciiTheme="minorHAnsi" w:hAnsiTheme="minorHAnsi"/>
              </w:rPr>
              <w:t>Extent to which items within a domain measure the same concept</w:t>
            </w:r>
          </w:p>
        </w:tc>
      </w:tr>
      <w:tr w:rsidR="00970BBE" w:rsidRPr="00830147" w14:paraId="043658E8" w14:textId="77777777" w:rsidTr="005E5F0E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shd w:val="clear" w:color="auto" w:fill="auto"/>
          </w:tcPr>
          <w:p w14:paraId="1EC39C95" w14:textId="77777777" w:rsidR="00970BBE" w:rsidRPr="00830147" w:rsidRDefault="00970BBE" w:rsidP="00A373DE">
            <w:pPr>
              <w:pStyle w:val="ReportTableText"/>
            </w:pPr>
          </w:p>
        </w:tc>
        <w:tc>
          <w:tcPr>
            <w:tcW w:w="2268" w:type="dxa"/>
            <w:shd w:val="clear" w:color="auto" w:fill="auto"/>
          </w:tcPr>
          <w:p w14:paraId="515AD446" w14:textId="77777777" w:rsidR="00970BBE" w:rsidRPr="00830147" w:rsidRDefault="00970BBE" w:rsidP="00A373DE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0147">
              <w:t>External (test-retest)</w:t>
            </w:r>
          </w:p>
        </w:tc>
        <w:tc>
          <w:tcPr>
            <w:tcW w:w="4598" w:type="dxa"/>
            <w:shd w:val="clear" w:color="auto" w:fill="auto"/>
          </w:tcPr>
          <w:p w14:paraId="248E5A99" w14:textId="427379BD" w:rsidR="00970BBE" w:rsidRPr="00830147" w:rsidRDefault="00970BBE" w:rsidP="00A373DE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25C6">
              <w:rPr>
                <w:rFonts w:asciiTheme="minorHAnsi" w:hAnsiTheme="minorHAnsi"/>
              </w:rPr>
              <w:t xml:space="preserve">Stability of scores over time when no change is expected in the concept of interest </w:t>
            </w:r>
          </w:p>
        </w:tc>
      </w:tr>
      <w:tr w:rsidR="00970BBE" w:rsidRPr="00830147" w14:paraId="427AC5BA" w14:textId="77777777" w:rsidTr="005E5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  <w:shd w:val="clear" w:color="auto" w:fill="auto"/>
          </w:tcPr>
          <w:p w14:paraId="33FD6E09" w14:textId="470D68DA" w:rsidR="00970BBE" w:rsidRPr="00830147" w:rsidRDefault="00970BBE" w:rsidP="00B925E3">
            <w:pPr>
              <w:pStyle w:val="ReportTableText"/>
            </w:pPr>
            <w:r w:rsidRPr="00830147">
              <w:t>Criterion validity</w:t>
            </w:r>
            <w:r>
              <w:t xml:space="preserve"> </w:t>
            </w:r>
            <w:r>
              <w:fldChar w:fldCharType="begin"/>
            </w:r>
            <w:r>
              <w:instrText xml:space="preserve"> ADDIN EN.CITE &lt;EndNote&gt;&lt;Cite ExcludeYear="1"&gt;&lt;Author&gt;FDA&lt;/Author&gt;&lt;RecNum&gt;26&lt;/RecNum&gt;&lt;DisplayText&gt;(22)&lt;/DisplayText&gt;&lt;record&gt;&lt;rec-number&gt;26&lt;/rec-number&gt;&lt;foreign-keys&gt;&lt;key app="EN" db-id="p5s00sp5jp9peierv0kxd9v0waw9epvedtss" timestamp="1461763635"&gt;26&lt;/key&gt;&lt;/foreign-keys&gt;&lt;ref-type name="Journal Article"&gt;17&lt;/ref-type&gt;&lt;contributors&gt;&lt;authors&gt;&lt;author&gt;FDA, &lt;/author&gt;&lt;/authors&gt;&lt;/contributors&gt;&lt;titles&gt;&lt;title&gt;Guidance for Industry. Patient-reported outcome measures: use in medical product development to support labeling claims. 2009. Available online at http://www.fda.gov/downloads/Drugs/.../Guidances/UCM193282.pdf. Last accessed: April 2016&lt;/title&gt;&lt;/titles&gt;&lt;dates&gt;&lt;/dates&gt;&lt;urls&gt;&lt;/urls&gt;&lt;/record&gt;&lt;/Cite&gt;&lt;/EndNote&gt;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</w:t>
            </w:r>
            <w:hyperlink w:anchor="_ENREF_22" w:tooltip="FDA,  #26" w:history="1">
              <w:r w:rsidR="00B925E3">
                <w:rPr>
                  <w:noProof/>
                </w:rPr>
                <w:t>22</w:t>
              </w:r>
            </w:hyperlink>
            <w:r>
              <w:rPr>
                <w:noProof/>
              </w:rPr>
              <w:t>)</w:t>
            </w:r>
            <w:r>
              <w:fldChar w:fldCharType="end"/>
            </w:r>
          </w:p>
        </w:tc>
        <w:tc>
          <w:tcPr>
            <w:tcW w:w="2268" w:type="dxa"/>
            <w:shd w:val="clear" w:color="auto" w:fill="auto"/>
          </w:tcPr>
          <w:p w14:paraId="1C731A20" w14:textId="77777777" w:rsidR="00970BBE" w:rsidRPr="00830147" w:rsidRDefault="00970BBE" w:rsidP="00A373DE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0147">
              <w:t>Concurrent</w:t>
            </w:r>
          </w:p>
        </w:tc>
        <w:tc>
          <w:tcPr>
            <w:tcW w:w="4598" w:type="dxa"/>
            <w:shd w:val="clear" w:color="auto" w:fill="auto"/>
          </w:tcPr>
          <w:p w14:paraId="06BE02B6" w14:textId="4C08E13D" w:rsidR="00970BBE" w:rsidRPr="00830147" w:rsidRDefault="00970BBE" w:rsidP="00A373DE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25C6">
              <w:rPr>
                <w:rFonts w:asciiTheme="minorHAnsi" w:hAnsiTheme="minorHAnsi"/>
              </w:rPr>
              <w:t>Strength of correlation with scores of a ‘gold standard’ measure</w:t>
            </w:r>
          </w:p>
        </w:tc>
      </w:tr>
      <w:tr w:rsidR="00970BBE" w:rsidRPr="00830147" w14:paraId="07D18CF7" w14:textId="77777777" w:rsidTr="005E5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shd w:val="clear" w:color="auto" w:fill="auto"/>
          </w:tcPr>
          <w:p w14:paraId="7B004097" w14:textId="77777777" w:rsidR="00970BBE" w:rsidRPr="00830147" w:rsidRDefault="00970BBE" w:rsidP="00A373DE">
            <w:pPr>
              <w:pStyle w:val="ReportTableText"/>
            </w:pPr>
          </w:p>
        </w:tc>
        <w:tc>
          <w:tcPr>
            <w:tcW w:w="2268" w:type="dxa"/>
            <w:shd w:val="clear" w:color="auto" w:fill="auto"/>
          </w:tcPr>
          <w:p w14:paraId="53BAE0C2" w14:textId="77777777" w:rsidR="00970BBE" w:rsidRPr="00830147" w:rsidRDefault="00970BBE" w:rsidP="00A373DE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0147">
              <w:t>Predictive</w:t>
            </w:r>
          </w:p>
        </w:tc>
        <w:tc>
          <w:tcPr>
            <w:tcW w:w="4598" w:type="dxa"/>
            <w:shd w:val="clear" w:color="auto" w:fill="auto"/>
          </w:tcPr>
          <w:p w14:paraId="434D4EB7" w14:textId="54978EE6" w:rsidR="00970BBE" w:rsidRPr="00830147" w:rsidRDefault="00970BBE" w:rsidP="00A373DE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25C6">
              <w:rPr>
                <w:rFonts w:asciiTheme="minorHAnsi" w:hAnsiTheme="minorHAnsi"/>
              </w:rPr>
              <w:t>Accuracy of prediction of scores of a ‘gold standard’ measure</w:t>
            </w:r>
          </w:p>
        </w:tc>
      </w:tr>
      <w:tr w:rsidR="00970BBE" w:rsidRPr="00830147" w14:paraId="6CCD74FF" w14:textId="77777777" w:rsidTr="005E5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  <w:shd w:val="clear" w:color="auto" w:fill="auto"/>
          </w:tcPr>
          <w:p w14:paraId="0D1981FA" w14:textId="1C087CC3" w:rsidR="00970BBE" w:rsidRPr="00830147" w:rsidRDefault="00970BBE" w:rsidP="00B925E3">
            <w:pPr>
              <w:pStyle w:val="ReportTableText"/>
            </w:pPr>
            <w:r w:rsidRPr="00830147">
              <w:t>Construct validity</w:t>
            </w:r>
            <w:r>
              <w:t xml:space="preserve"> </w:t>
            </w:r>
            <w:r>
              <w:fldChar w:fldCharType="begin"/>
            </w:r>
            <w:r>
              <w:instrText xml:space="preserve"> ADDIN EN.CITE &lt;EndNote&gt;&lt;Cite ExcludeYear="1"&gt;&lt;Author&gt;FDA&lt;/Author&gt;&lt;RecNum&gt;26&lt;/RecNum&gt;&lt;DisplayText&gt;(22)&lt;/DisplayText&gt;&lt;record&gt;&lt;rec-number&gt;26&lt;/rec-number&gt;&lt;foreign-keys&gt;&lt;key app="EN" db-id="p5s00sp5jp9peierv0kxd9v0waw9epvedtss" timestamp="1461763635"&gt;26&lt;/key&gt;&lt;/foreign-keys&gt;&lt;ref-type name="Journal Article"&gt;17&lt;/ref-type&gt;&lt;contributors&gt;&lt;authors&gt;&lt;author&gt;FDA, &lt;/author&gt;&lt;/authors&gt;&lt;/contributors&gt;&lt;titles&gt;&lt;title&gt;Guidance for Industry. Patient-reported outcome measures: use in medical product development to support labeling claims. 2009. Available online at http://www.fda.gov/downloads/Drugs/.../Guidances/UCM193282.pdf. Last accessed: April 2016&lt;/title&gt;&lt;/titles&gt;&lt;dates&gt;&lt;/dates&gt;&lt;urls&gt;&lt;/urls&gt;&lt;/record&gt;&lt;/Cite&gt;&lt;/EndNote&gt;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</w:t>
            </w:r>
            <w:hyperlink w:anchor="_ENREF_22" w:tooltip="FDA,  #26" w:history="1">
              <w:r w:rsidR="00B925E3">
                <w:rPr>
                  <w:noProof/>
                </w:rPr>
                <w:t>22</w:t>
              </w:r>
            </w:hyperlink>
            <w:r>
              <w:rPr>
                <w:noProof/>
              </w:rPr>
              <w:t>)</w:t>
            </w:r>
            <w:r>
              <w:fldChar w:fldCharType="end"/>
            </w:r>
          </w:p>
        </w:tc>
        <w:tc>
          <w:tcPr>
            <w:tcW w:w="2268" w:type="dxa"/>
            <w:shd w:val="clear" w:color="auto" w:fill="auto"/>
          </w:tcPr>
          <w:p w14:paraId="269C07AC" w14:textId="1A64AB53" w:rsidR="00970BBE" w:rsidRPr="00830147" w:rsidRDefault="00970BBE" w:rsidP="00A373DE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0147">
              <w:t>Convergent</w:t>
            </w:r>
            <w:r>
              <w:t>/ divergent</w:t>
            </w:r>
          </w:p>
        </w:tc>
        <w:tc>
          <w:tcPr>
            <w:tcW w:w="4598" w:type="dxa"/>
            <w:shd w:val="clear" w:color="auto" w:fill="auto"/>
          </w:tcPr>
          <w:p w14:paraId="4ADF1FA2" w14:textId="41076C4C" w:rsidR="00970BBE" w:rsidRPr="00830147" w:rsidRDefault="00970BBE" w:rsidP="00A373DE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25C6">
              <w:rPr>
                <w:rFonts w:asciiTheme="minorHAnsi" w:hAnsiTheme="minorHAnsi"/>
              </w:rPr>
              <w:t xml:space="preserve">Evidence that relationships among items, domains, and concepts conform to a priori hypotheses concerning logical relationships that should exist with measures of related concepts </w:t>
            </w:r>
          </w:p>
        </w:tc>
      </w:tr>
      <w:tr w:rsidR="00970BBE" w:rsidRPr="00830147" w14:paraId="35C7CA11" w14:textId="77777777" w:rsidTr="005E5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shd w:val="clear" w:color="auto" w:fill="auto"/>
          </w:tcPr>
          <w:p w14:paraId="7797EB75" w14:textId="77777777" w:rsidR="00970BBE" w:rsidRPr="00830147" w:rsidRDefault="00970BBE" w:rsidP="00A373DE">
            <w:pPr>
              <w:pStyle w:val="ReportTableText"/>
            </w:pPr>
          </w:p>
        </w:tc>
        <w:tc>
          <w:tcPr>
            <w:tcW w:w="2268" w:type="dxa"/>
            <w:shd w:val="clear" w:color="auto" w:fill="auto"/>
          </w:tcPr>
          <w:p w14:paraId="1A30CF95" w14:textId="77777777" w:rsidR="00970BBE" w:rsidRPr="00830147" w:rsidRDefault="00970BBE" w:rsidP="00A373DE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0147">
              <w:t>Structural</w:t>
            </w:r>
          </w:p>
        </w:tc>
        <w:tc>
          <w:tcPr>
            <w:tcW w:w="4598" w:type="dxa"/>
            <w:shd w:val="clear" w:color="auto" w:fill="auto"/>
          </w:tcPr>
          <w:p w14:paraId="5D984624" w14:textId="27FD544C" w:rsidR="00970BBE" w:rsidRPr="00830147" w:rsidRDefault="00970BBE" w:rsidP="00A373DE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25C6">
              <w:rPr>
                <w:rFonts w:asciiTheme="minorHAnsi" w:hAnsiTheme="minorHAnsi"/>
              </w:rPr>
              <w:t xml:space="preserve">Structure of the instrument determined as hypothesised </w:t>
            </w:r>
          </w:p>
        </w:tc>
      </w:tr>
      <w:tr w:rsidR="00970BBE" w:rsidRPr="00830147" w14:paraId="0C324A19" w14:textId="77777777" w:rsidTr="005E5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shd w:val="clear" w:color="auto" w:fill="auto"/>
          </w:tcPr>
          <w:p w14:paraId="4C9FB2BC" w14:textId="77777777" w:rsidR="00970BBE" w:rsidRPr="00830147" w:rsidRDefault="00970BBE" w:rsidP="00A373DE">
            <w:pPr>
              <w:pStyle w:val="ReportTableText"/>
            </w:pPr>
          </w:p>
        </w:tc>
        <w:tc>
          <w:tcPr>
            <w:tcW w:w="2268" w:type="dxa"/>
            <w:shd w:val="clear" w:color="auto" w:fill="auto"/>
          </w:tcPr>
          <w:p w14:paraId="2598B7DB" w14:textId="77777777" w:rsidR="00970BBE" w:rsidRPr="00830147" w:rsidRDefault="00970BBE" w:rsidP="00A373DE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0147">
              <w:t>Known-groups</w:t>
            </w:r>
          </w:p>
        </w:tc>
        <w:tc>
          <w:tcPr>
            <w:tcW w:w="4598" w:type="dxa"/>
            <w:shd w:val="clear" w:color="auto" w:fill="auto"/>
          </w:tcPr>
          <w:p w14:paraId="6ED21310" w14:textId="23D136DE" w:rsidR="00970BBE" w:rsidRPr="00830147" w:rsidRDefault="00970BBE" w:rsidP="00A373DE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25C6">
              <w:rPr>
                <w:rFonts w:asciiTheme="minorHAnsi" w:hAnsiTheme="minorHAnsi"/>
                <w:szCs w:val="20"/>
              </w:rPr>
              <w:t xml:space="preserve">Degree to which the PRO instrument can distinguish among groups hypothesized </w:t>
            </w:r>
            <w:r w:rsidRPr="00D225C6">
              <w:rPr>
                <w:rFonts w:asciiTheme="minorHAnsi" w:hAnsiTheme="minorHAnsi"/>
                <w:i/>
                <w:iCs/>
                <w:szCs w:val="20"/>
              </w:rPr>
              <w:t xml:space="preserve">a priori </w:t>
            </w:r>
            <w:r>
              <w:rPr>
                <w:rFonts w:asciiTheme="minorHAnsi" w:hAnsiTheme="minorHAnsi"/>
                <w:szCs w:val="20"/>
              </w:rPr>
              <w:t>to be different</w:t>
            </w:r>
          </w:p>
        </w:tc>
      </w:tr>
      <w:tr w:rsidR="00970BBE" w:rsidRPr="00830147" w14:paraId="526109F5" w14:textId="77777777" w:rsidTr="005E5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  <w:shd w:val="clear" w:color="auto" w:fill="auto"/>
          </w:tcPr>
          <w:p w14:paraId="0051492C" w14:textId="4565FC37" w:rsidR="00970BBE" w:rsidRPr="00830147" w:rsidRDefault="00970BBE" w:rsidP="00B925E3">
            <w:pPr>
              <w:pStyle w:val="ReportTableText"/>
            </w:pPr>
            <w:r w:rsidRPr="00830147">
              <w:t>Ability to detect change</w:t>
            </w:r>
            <w:r>
              <w:t xml:space="preserve"> </w:t>
            </w:r>
            <w:r>
              <w:fldChar w:fldCharType="begin"/>
            </w:r>
            <w:r>
              <w:instrText xml:space="preserve"> ADDIN EN.CITE &lt;EndNote&gt;&lt;Cite ExcludeYear="1"&gt;&lt;Author&gt;FDA&lt;/Author&gt;&lt;RecNum&gt;26&lt;/RecNum&gt;&lt;DisplayText&gt;(22)&lt;/DisplayText&gt;&lt;record&gt;&lt;rec-number&gt;26&lt;/rec-number&gt;&lt;foreign-keys&gt;&lt;key app="EN" db-id="p5s00sp5jp9peierv0kxd9v0waw9epvedtss" timestamp="1461763635"&gt;26&lt;/key&gt;&lt;/foreign-keys&gt;&lt;ref-type name="Journal Article"&gt;17&lt;/ref-type&gt;&lt;contributors&gt;&lt;authors&gt;&lt;author&gt;FDA, &lt;/author&gt;&lt;/authors&gt;&lt;/contributors&gt;&lt;titles&gt;&lt;title&gt;Guidance for Industry. Patient-reported outcome measures: use in medical product development to support labeling claims. 2009. Available online at http://www.fda.gov/downloads/Drugs/.../Guidances/UCM193282.pdf. Last accessed: April 2016&lt;/title&gt;&lt;/titles&gt;&lt;dates&gt;&lt;/dates&gt;&lt;urls&gt;&lt;/urls&gt;&lt;/record&gt;&lt;/Cite&gt;&lt;/EndNote&gt;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</w:t>
            </w:r>
            <w:hyperlink w:anchor="_ENREF_22" w:tooltip="FDA,  #26" w:history="1">
              <w:r w:rsidR="00B925E3">
                <w:rPr>
                  <w:noProof/>
                </w:rPr>
                <w:t>22</w:t>
              </w:r>
            </w:hyperlink>
            <w:r>
              <w:rPr>
                <w:noProof/>
              </w:rPr>
              <w:t>)</w:t>
            </w:r>
            <w:r>
              <w:fldChar w:fldCharType="end"/>
            </w:r>
          </w:p>
        </w:tc>
        <w:tc>
          <w:tcPr>
            <w:tcW w:w="2268" w:type="dxa"/>
            <w:shd w:val="clear" w:color="auto" w:fill="auto"/>
          </w:tcPr>
          <w:p w14:paraId="4970D747" w14:textId="566DAFEE" w:rsidR="00970BBE" w:rsidRPr="00830147" w:rsidRDefault="00970BBE" w:rsidP="00A373DE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0147">
              <w:t>Responsiveness</w:t>
            </w:r>
            <w:r>
              <w:t>/ sensitivity</w:t>
            </w:r>
          </w:p>
        </w:tc>
        <w:tc>
          <w:tcPr>
            <w:tcW w:w="4598" w:type="dxa"/>
            <w:shd w:val="clear" w:color="auto" w:fill="auto"/>
          </w:tcPr>
          <w:p w14:paraId="08FFA4C7" w14:textId="2D70C762" w:rsidR="00970BBE" w:rsidRPr="00830147" w:rsidRDefault="00970BBE" w:rsidP="00A373DE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25C6">
              <w:rPr>
                <w:rFonts w:asciiTheme="minorHAnsi" w:hAnsiTheme="minorHAnsi"/>
                <w:szCs w:val="20"/>
              </w:rPr>
              <w:t>Evidence that a PRO instrument can identify differences in scores over</w:t>
            </w:r>
            <w:r>
              <w:rPr>
                <w:rFonts w:asciiTheme="minorHAnsi" w:hAnsiTheme="minorHAnsi"/>
                <w:szCs w:val="20"/>
              </w:rPr>
              <w:t xml:space="preserve"> time in individuals or groups </w:t>
            </w:r>
            <w:r w:rsidRPr="00D225C6">
              <w:rPr>
                <w:rFonts w:asciiTheme="minorHAnsi" w:hAnsiTheme="minorHAnsi"/>
                <w:szCs w:val="20"/>
              </w:rPr>
              <w:t>who have changed with respect to the measurement concept</w:t>
            </w:r>
            <w:r>
              <w:rPr>
                <w:szCs w:val="20"/>
              </w:rPr>
              <w:t xml:space="preserve"> </w:t>
            </w:r>
          </w:p>
        </w:tc>
      </w:tr>
      <w:tr w:rsidR="00970BBE" w:rsidRPr="008071F4" w14:paraId="0F8CD86B" w14:textId="77777777" w:rsidTr="005E5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shd w:val="clear" w:color="auto" w:fill="auto"/>
          </w:tcPr>
          <w:p w14:paraId="6FC7E786" w14:textId="77777777" w:rsidR="00970BBE" w:rsidRPr="00830147" w:rsidRDefault="00970BBE" w:rsidP="00A373DE">
            <w:pPr>
              <w:pStyle w:val="ReportTableText"/>
            </w:pPr>
          </w:p>
        </w:tc>
        <w:tc>
          <w:tcPr>
            <w:tcW w:w="2268" w:type="dxa"/>
            <w:shd w:val="clear" w:color="auto" w:fill="auto"/>
          </w:tcPr>
          <w:p w14:paraId="6309F29E" w14:textId="3773A4D2" w:rsidR="00970BBE" w:rsidRPr="00830147" w:rsidRDefault="002F236A" w:rsidP="00A373DE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Clinically</w:t>
            </w:r>
            <w:r w:rsidR="00970BBE" w:rsidRPr="00830147">
              <w:t xml:space="preserve"> important differences (</w:t>
            </w:r>
            <w:r w:rsidR="00970BBE">
              <w:t>CID</w:t>
            </w:r>
            <w:r w:rsidR="00970BBE" w:rsidRPr="00830147">
              <w:t>)</w:t>
            </w:r>
          </w:p>
        </w:tc>
        <w:tc>
          <w:tcPr>
            <w:tcW w:w="4598" w:type="dxa"/>
            <w:shd w:val="clear" w:color="auto" w:fill="auto"/>
          </w:tcPr>
          <w:p w14:paraId="70BB6973" w14:textId="77777777" w:rsidR="00970BBE" w:rsidRDefault="00970BBE" w:rsidP="00A373DE">
            <w:pPr>
              <w:spacing w:before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Group-level change: the difference in scores between 2 treatment groups that can be considered clinically relevant</w:t>
            </w:r>
          </w:p>
          <w:p w14:paraId="0FAD89D1" w14:textId="60C94DA5" w:rsidR="00970BBE" w:rsidRPr="00830147" w:rsidRDefault="00970BBE" w:rsidP="00A373DE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Individual level change: the amount of change a patient would have to report to indicate that a relevant treatment benefit has bene experienced</w:t>
            </w:r>
          </w:p>
        </w:tc>
      </w:tr>
    </w:tbl>
    <w:p w14:paraId="40679F90" w14:textId="0D603E98" w:rsidR="00860544" w:rsidRDefault="00860544" w:rsidP="00860544">
      <w:pPr>
        <w:pStyle w:val="Caption"/>
      </w:pPr>
    </w:p>
    <w:p w14:paraId="3E2A1CEA" w14:textId="2DB69D2F" w:rsidR="003A0FFF" w:rsidRDefault="003A0FFF" w:rsidP="003A0FFF">
      <w:pPr>
        <w:pStyle w:val="Caption"/>
      </w:pPr>
      <w:r>
        <w:t>Table S</w:t>
      </w:r>
      <w:r w:rsidR="00A67610">
        <w:fldChar w:fldCharType="begin"/>
      </w:r>
      <w:r w:rsidR="00A67610">
        <w:instrText xml:space="preserve"> SEQ Table_S \* ARABIC </w:instrText>
      </w:r>
      <w:r w:rsidR="00A67610">
        <w:fldChar w:fldCharType="separate"/>
      </w:r>
      <w:r>
        <w:rPr>
          <w:noProof/>
        </w:rPr>
        <w:t>7</w:t>
      </w:r>
      <w:r w:rsidR="00A67610">
        <w:rPr>
          <w:noProof/>
        </w:rPr>
        <w:fldChar w:fldCharType="end"/>
      </w:r>
      <w:r>
        <w:t xml:space="preserve">: </w:t>
      </w:r>
      <w:r w:rsidRPr="00890F5A">
        <w:t>Checklist of practical considerations</w:t>
      </w:r>
    </w:p>
    <w:tbl>
      <w:tblPr>
        <w:tblStyle w:val="ReportTable"/>
        <w:tblW w:w="0" w:type="auto"/>
        <w:tblLook w:val="04A0" w:firstRow="1" w:lastRow="0" w:firstColumn="1" w:lastColumn="0" w:noHBand="0" w:noVBand="1"/>
      </w:tblPr>
      <w:tblGrid>
        <w:gridCol w:w="2235"/>
        <w:gridCol w:w="7007"/>
      </w:tblGrid>
      <w:tr w:rsidR="00860544" w:rsidRPr="00E704A3" w14:paraId="66708EF8" w14:textId="77777777" w:rsidTr="005E5F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62611FB1" w14:textId="77777777" w:rsidR="00860544" w:rsidRPr="00E704A3" w:rsidRDefault="00860544" w:rsidP="00427BF4">
            <w:pPr>
              <w:pStyle w:val="ReportBodyText"/>
            </w:pPr>
            <w:r w:rsidRPr="00E704A3">
              <w:t>Category</w:t>
            </w:r>
          </w:p>
        </w:tc>
        <w:tc>
          <w:tcPr>
            <w:tcW w:w="7007" w:type="dxa"/>
            <w:shd w:val="clear" w:color="auto" w:fill="auto"/>
          </w:tcPr>
          <w:p w14:paraId="4309B4F9" w14:textId="77777777" w:rsidR="00860544" w:rsidRPr="00E704A3" w:rsidRDefault="00860544" w:rsidP="00427BF4">
            <w:pPr>
              <w:pStyle w:val="Report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704A3">
              <w:t>Example questions</w:t>
            </w:r>
          </w:p>
        </w:tc>
      </w:tr>
      <w:tr w:rsidR="00860544" w:rsidRPr="00E704A3" w14:paraId="56A0A111" w14:textId="77777777" w:rsidTr="005E5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0729AA1F" w14:textId="77777777" w:rsidR="00860544" w:rsidRPr="00E704A3" w:rsidRDefault="00860544" w:rsidP="00427BF4">
            <w:pPr>
              <w:pStyle w:val="ReportBodyText"/>
            </w:pPr>
            <w:r w:rsidRPr="00E704A3">
              <w:t>Cross-cultural feasibility</w:t>
            </w:r>
          </w:p>
        </w:tc>
        <w:tc>
          <w:tcPr>
            <w:tcW w:w="7007" w:type="dxa"/>
            <w:shd w:val="clear" w:color="auto" w:fill="auto"/>
          </w:tcPr>
          <w:p w14:paraId="64701B8F" w14:textId="77777777" w:rsidR="00860544" w:rsidRPr="00E704A3" w:rsidRDefault="00860544" w:rsidP="00A373DE">
            <w:pPr>
              <w:pStyle w:val="ReportBodyText"/>
              <w:numPr>
                <w:ilvl w:val="0"/>
                <w:numId w:val="30"/>
              </w:numPr>
              <w:spacing w:before="0" w:line="240" w:lineRule="auto"/>
              <w:ind w:left="357" w:hanging="35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4A3">
              <w:t>Is the instrument available in different languages and cultural adaptations?</w:t>
            </w:r>
          </w:p>
          <w:p w14:paraId="3BDE34E9" w14:textId="77777777" w:rsidR="00860544" w:rsidRPr="00E704A3" w:rsidRDefault="00860544" w:rsidP="00A373DE">
            <w:pPr>
              <w:pStyle w:val="ReportBodyText"/>
              <w:numPr>
                <w:ilvl w:val="0"/>
                <w:numId w:val="30"/>
              </w:numPr>
              <w:spacing w:before="0" w:line="240" w:lineRule="auto"/>
              <w:ind w:left="357" w:hanging="35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4A3">
              <w:t>Are these translations validated appropriately?</w:t>
            </w:r>
          </w:p>
        </w:tc>
      </w:tr>
      <w:tr w:rsidR="00860544" w14:paraId="5A9A3637" w14:textId="77777777" w:rsidTr="005E5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6B4FDB85" w14:textId="75E0F00F" w:rsidR="00860544" w:rsidRPr="00E704A3" w:rsidRDefault="00384044" w:rsidP="00427BF4">
            <w:pPr>
              <w:pStyle w:val="ReportBodyText"/>
            </w:pPr>
            <w:r>
              <w:t>Patient</w:t>
            </w:r>
            <w:r w:rsidR="00860544" w:rsidRPr="00E704A3">
              <w:t xml:space="preserve"> burden</w:t>
            </w:r>
          </w:p>
        </w:tc>
        <w:tc>
          <w:tcPr>
            <w:tcW w:w="7007" w:type="dxa"/>
            <w:shd w:val="clear" w:color="auto" w:fill="auto"/>
          </w:tcPr>
          <w:p w14:paraId="72A26218" w14:textId="77777777" w:rsidR="00860544" w:rsidRPr="00E704A3" w:rsidRDefault="00860544" w:rsidP="00A373DE">
            <w:pPr>
              <w:pStyle w:val="ReportBodyText"/>
              <w:numPr>
                <w:ilvl w:val="0"/>
                <w:numId w:val="31"/>
              </w:numPr>
              <w:spacing w:before="0" w:line="240" w:lineRule="auto"/>
              <w:ind w:left="357" w:hanging="35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4A3">
              <w:t>Are there any implications for patient burden due to the length of the instrument?</w:t>
            </w:r>
          </w:p>
        </w:tc>
      </w:tr>
      <w:tr w:rsidR="00860544" w14:paraId="1AE0CD06" w14:textId="77777777" w:rsidTr="005E5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691ED3CA" w14:textId="77777777" w:rsidR="00860544" w:rsidRPr="00E704A3" w:rsidRDefault="00860544" w:rsidP="00427BF4">
            <w:pPr>
              <w:pStyle w:val="ReportBodyText"/>
            </w:pPr>
            <w:r>
              <w:t>Format</w:t>
            </w:r>
          </w:p>
        </w:tc>
        <w:tc>
          <w:tcPr>
            <w:tcW w:w="7007" w:type="dxa"/>
            <w:shd w:val="clear" w:color="auto" w:fill="auto"/>
          </w:tcPr>
          <w:p w14:paraId="5EAFD73B" w14:textId="77777777" w:rsidR="00860544" w:rsidRPr="00E704A3" w:rsidRDefault="00860544" w:rsidP="00A373DE">
            <w:pPr>
              <w:pStyle w:val="ReportBodyText"/>
              <w:numPr>
                <w:ilvl w:val="0"/>
                <w:numId w:val="31"/>
              </w:numPr>
              <w:spacing w:before="0" w:line="240" w:lineRule="auto"/>
              <w:ind w:left="357" w:hanging="35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Does the instrument need to be completed using pen and paper, or is there an electronic version available?</w:t>
            </w:r>
          </w:p>
        </w:tc>
      </w:tr>
    </w:tbl>
    <w:p w14:paraId="56CA331A" w14:textId="0C0C2332" w:rsidR="009A798E" w:rsidRPr="00D13247" w:rsidRDefault="009A798E" w:rsidP="009A798E"/>
    <w:sectPr w:rsidR="009A798E" w:rsidRPr="00D13247" w:rsidSect="0037563E"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9A5CEB" w14:textId="77777777" w:rsidR="00A909C8" w:rsidRDefault="00A909C8">
      <w:pPr>
        <w:spacing w:line="240" w:lineRule="auto"/>
      </w:pPr>
      <w:r>
        <w:separator/>
      </w:r>
    </w:p>
  </w:endnote>
  <w:endnote w:type="continuationSeparator" w:id="0">
    <w:p w14:paraId="2ADB681C" w14:textId="77777777" w:rsidR="00A909C8" w:rsidRDefault="00A909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13A7B1" w14:textId="77777777" w:rsidR="00A909C8" w:rsidRDefault="00A909C8" w:rsidP="00427BF4">
    <w:pPr>
      <w:pStyle w:val="Footer"/>
    </w:pPr>
    <w:r w:rsidRPr="00BF7BA9">
      <w:t>Abacus International, 6 Talisman Business Centre, Bicester, OX26 6HR, UK. Tel: +44 (0)1869 241281</w:t>
    </w:r>
  </w:p>
  <w:p w14:paraId="4714D69D" w14:textId="77777777" w:rsidR="00A909C8" w:rsidRDefault="00A909C8" w:rsidP="00427BF4">
    <w:pPr>
      <w:pStyle w:val="Footer"/>
    </w:pPr>
  </w:p>
  <w:p w14:paraId="057A306A" w14:textId="77777777" w:rsidR="00A909C8" w:rsidRPr="00BF7BA9" w:rsidRDefault="00A909C8" w:rsidP="00427B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A44FC1" w14:textId="77777777" w:rsidR="00A909C8" w:rsidRDefault="00A909C8">
      <w:pPr>
        <w:spacing w:line="240" w:lineRule="auto"/>
      </w:pPr>
      <w:r>
        <w:separator/>
      </w:r>
    </w:p>
  </w:footnote>
  <w:footnote w:type="continuationSeparator" w:id="0">
    <w:p w14:paraId="7A1679BA" w14:textId="77777777" w:rsidR="00A909C8" w:rsidRDefault="00A909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1EC0BD" w14:textId="77777777" w:rsidR="00A909C8" w:rsidRDefault="00A909C8">
    <w:pPr>
      <w:pStyle w:val="Header"/>
    </w:pPr>
    <w:r w:rsidRPr="00664225"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04716D77" wp14:editId="303EE2D2">
          <wp:simplePos x="0" y="0"/>
          <wp:positionH relativeFrom="column">
            <wp:posOffset>3027045</wp:posOffset>
          </wp:positionH>
          <wp:positionV relativeFrom="paragraph">
            <wp:posOffset>-189865</wp:posOffset>
          </wp:positionV>
          <wp:extent cx="1323340" cy="480060"/>
          <wp:effectExtent l="0" t="0" r="0" b="0"/>
          <wp:wrapNone/>
          <wp:docPr id="13" name="Picture 13" descr="C:\Users\gurbaniak\Desktop\DRG 2011 ALL Logos\DRg-FINAL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4" descr="C:\Users\gurbaniak\Desktop\DRG 2011 ALL Logos\DRg-FINAL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4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4225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0AFCAE2C" wp14:editId="7A7A00B1">
          <wp:simplePos x="0" y="0"/>
          <wp:positionH relativeFrom="column">
            <wp:posOffset>4512945</wp:posOffset>
          </wp:positionH>
          <wp:positionV relativeFrom="paragraph">
            <wp:posOffset>-165735</wp:posOffset>
          </wp:positionV>
          <wp:extent cx="1201420" cy="435610"/>
          <wp:effectExtent l="0" t="0" r="0" b="254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3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4356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4225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CFEC8A" wp14:editId="357980CF">
              <wp:simplePos x="0" y="0"/>
              <wp:positionH relativeFrom="column">
                <wp:posOffset>4441352</wp:posOffset>
              </wp:positionH>
              <wp:positionV relativeFrom="paragraph">
                <wp:posOffset>-194310</wp:posOffset>
              </wp:positionV>
              <wp:extent cx="0" cy="454025"/>
              <wp:effectExtent l="0" t="0" r="19050" b="22225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4025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0C9840" id="Straight Connector 8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9.7pt,-15.3pt" to="349.7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" strokecolor="gray [1629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2963F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673C0C"/>
    <w:multiLevelType w:val="hybridMultilevel"/>
    <w:tmpl w:val="96FA79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E03843"/>
    <w:multiLevelType w:val="hybridMultilevel"/>
    <w:tmpl w:val="595ECD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5033D"/>
    <w:multiLevelType w:val="hybridMultilevel"/>
    <w:tmpl w:val="D318D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72F7E"/>
    <w:multiLevelType w:val="hybridMultilevel"/>
    <w:tmpl w:val="638A23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38213B"/>
    <w:multiLevelType w:val="hybridMultilevel"/>
    <w:tmpl w:val="8AE05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27AD6"/>
    <w:multiLevelType w:val="hybridMultilevel"/>
    <w:tmpl w:val="602CF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F5523"/>
    <w:multiLevelType w:val="hybridMultilevel"/>
    <w:tmpl w:val="950C56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D35BA"/>
    <w:multiLevelType w:val="multilevel"/>
    <w:tmpl w:val="9C202792"/>
    <w:styleLink w:val="ReportHeadings"/>
    <w:lvl w:ilvl="0">
      <w:start w:val="1"/>
      <w:numFmt w:val="decimal"/>
      <w:pStyle w:val="ReportHeading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ReportHeading2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ReportHeading3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ReportHeading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none"/>
      <w:pStyle w:val="Report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Report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67" w:hanging="567"/>
      </w:pPr>
      <w:rPr>
        <w:rFonts w:hint="default"/>
      </w:rPr>
    </w:lvl>
  </w:abstractNum>
  <w:abstractNum w:abstractNumId="9" w15:restartNumberingAfterBreak="0">
    <w:nsid w:val="262518AB"/>
    <w:multiLevelType w:val="hybridMultilevel"/>
    <w:tmpl w:val="2D706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44D31"/>
    <w:multiLevelType w:val="hybridMultilevel"/>
    <w:tmpl w:val="0CB82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210D8"/>
    <w:multiLevelType w:val="multilevel"/>
    <w:tmpl w:val="B11638E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1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135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19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3" w:hanging="283"/>
      </w:pPr>
      <w:rPr>
        <w:rFonts w:ascii="Courier New" w:hAnsi="Courier New" w:hint="default"/>
      </w:rPr>
    </w:lvl>
    <w:lvl w:ilvl="5">
      <w:start w:val="1"/>
      <w:numFmt w:val="none"/>
      <w:lvlText w:val=""/>
      <w:lvlJc w:val="left"/>
      <w:pPr>
        <w:ind w:left="1987" w:hanging="286"/>
      </w:pPr>
      <w:rPr>
        <w:rFonts w:hint="default"/>
      </w:rPr>
    </w:lvl>
    <w:lvl w:ilvl="6">
      <w:start w:val="1"/>
      <w:numFmt w:val="none"/>
      <w:lvlText w:val="%7"/>
      <w:lvlJc w:val="left"/>
      <w:pPr>
        <w:ind w:left="2271" w:hanging="283"/>
      </w:pPr>
      <w:rPr>
        <w:rFonts w:hint="default"/>
      </w:rPr>
    </w:lvl>
    <w:lvl w:ilvl="7">
      <w:start w:val="1"/>
      <w:numFmt w:val="none"/>
      <w:lvlText w:val="%8"/>
      <w:lvlJc w:val="left"/>
      <w:pPr>
        <w:ind w:left="2555" w:hanging="283"/>
      </w:pPr>
      <w:rPr>
        <w:rFonts w:hint="default"/>
      </w:rPr>
    </w:lvl>
    <w:lvl w:ilvl="8">
      <w:start w:val="1"/>
      <w:numFmt w:val="none"/>
      <w:lvlText w:val="%9"/>
      <w:lvlJc w:val="left"/>
      <w:pPr>
        <w:ind w:left="2839" w:hanging="283"/>
      </w:pPr>
      <w:rPr>
        <w:rFonts w:hint="default"/>
      </w:rPr>
    </w:lvl>
  </w:abstractNum>
  <w:abstractNum w:abstractNumId="12" w15:restartNumberingAfterBreak="0">
    <w:nsid w:val="302C31CA"/>
    <w:multiLevelType w:val="hybridMultilevel"/>
    <w:tmpl w:val="ACEC4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F3139"/>
    <w:multiLevelType w:val="hybridMultilevel"/>
    <w:tmpl w:val="0DC6A40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0171C"/>
    <w:multiLevelType w:val="hybridMultilevel"/>
    <w:tmpl w:val="A860EC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4E1D7A"/>
    <w:multiLevelType w:val="hybridMultilevel"/>
    <w:tmpl w:val="1B42F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125BF8"/>
    <w:multiLevelType w:val="multilevel"/>
    <w:tmpl w:val="B11638E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1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135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19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3" w:hanging="283"/>
      </w:pPr>
      <w:rPr>
        <w:rFonts w:ascii="Courier New" w:hAnsi="Courier New" w:hint="default"/>
      </w:rPr>
    </w:lvl>
    <w:lvl w:ilvl="5">
      <w:start w:val="1"/>
      <w:numFmt w:val="none"/>
      <w:lvlText w:val=""/>
      <w:lvlJc w:val="left"/>
      <w:pPr>
        <w:ind w:left="1987" w:hanging="286"/>
      </w:pPr>
      <w:rPr>
        <w:rFonts w:hint="default"/>
      </w:rPr>
    </w:lvl>
    <w:lvl w:ilvl="6">
      <w:start w:val="1"/>
      <w:numFmt w:val="none"/>
      <w:lvlText w:val="%7"/>
      <w:lvlJc w:val="left"/>
      <w:pPr>
        <w:ind w:left="2271" w:hanging="283"/>
      </w:pPr>
      <w:rPr>
        <w:rFonts w:hint="default"/>
      </w:rPr>
    </w:lvl>
    <w:lvl w:ilvl="7">
      <w:start w:val="1"/>
      <w:numFmt w:val="none"/>
      <w:lvlText w:val="%8"/>
      <w:lvlJc w:val="left"/>
      <w:pPr>
        <w:ind w:left="2555" w:hanging="283"/>
      </w:pPr>
      <w:rPr>
        <w:rFonts w:hint="default"/>
      </w:rPr>
    </w:lvl>
    <w:lvl w:ilvl="8">
      <w:start w:val="1"/>
      <w:numFmt w:val="none"/>
      <w:lvlText w:val="%9"/>
      <w:lvlJc w:val="left"/>
      <w:pPr>
        <w:ind w:left="2839" w:hanging="283"/>
      </w:pPr>
      <w:rPr>
        <w:rFonts w:hint="default"/>
      </w:rPr>
    </w:lvl>
  </w:abstractNum>
  <w:abstractNum w:abstractNumId="17" w15:restartNumberingAfterBreak="0">
    <w:nsid w:val="3CE97574"/>
    <w:multiLevelType w:val="multilevel"/>
    <w:tmpl w:val="092054EE"/>
    <w:numStyleLink w:val="ListBullets"/>
  </w:abstractNum>
  <w:abstractNum w:abstractNumId="18" w15:restartNumberingAfterBreak="0">
    <w:nsid w:val="3D757971"/>
    <w:multiLevelType w:val="hybridMultilevel"/>
    <w:tmpl w:val="84786A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762114"/>
    <w:multiLevelType w:val="hybridMultilevel"/>
    <w:tmpl w:val="887A5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153AA2"/>
    <w:multiLevelType w:val="hybridMultilevel"/>
    <w:tmpl w:val="2E32A9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708372B"/>
    <w:multiLevelType w:val="multilevel"/>
    <w:tmpl w:val="092054EE"/>
    <w:styleLink w:val="ListBullets"/>
    <w:lvl w:ilvl="0">
      <w:start w:val="1"/>
      <w:numFmt w:val="bullet"/>
      <w:pStyle w:val="List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ind w:left="851" w:hanging="283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135" w:hanging="283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1419" w:hanging="283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1703" w:hanging="283"/>
      </w:pPr>
      <w:rPr>
        <w:rFonts w:ascii="Courier New" w:hAnsi="Courier New" w:hint="default"/>
      </w:rPr>
    </w:lvl>
    <w:lvl w:ilvl="5">
      <w:start w:val="1"/>
      <w:numFmt w:val="none"/>
      <w:lvlText w:val=""/>
      <w:lvlJc w:val="left"/>
      <w:pPr>
        <w:ind w:left="1987" w:hanging="286"/>
      </w:pPr>
      <w:rPr>
        <w:rFonts w:hint="default"/>
      </w:rPr>
    </w:lvl>
    <w:lvl w:ilvl="6">
      <w:start w:val="1"/>
      <w:numFmt w:val="none"/>
      <w:lvlText w:val="%7"/>
      <w:lvlJc w:val="left"/>
      <w:pPr>
        <w:ind w:left="2271" w:hanging="283"/>
      </w:pPr>
      <w:rPr>
        <w:rFonts w:hint="default"/>
      </w:rPr>
    </w:lvl>
    <w:lvl w:ilvl="7">
      <w:start w:val="1"/>
      <w:numFmt w:val="none"/>
      <w:lvlText w:val="%8"/>
      <w:lvlJc w:val="left"/>
      <w:pPr>
        <w:ind w:left="2555" w:hanging="283"/>
      </w:pPr>
      <w:rPr>
        <w:rFonts w:hint="default"/>
      </w:rPr>
    </w:lvl>
    <w:lvl w:ilvl="8">
      <w:start w:val="1"/>
      <w:numFmt w:val="none"/>
      <w:lvlText w:val="%9"/>
      <w:lvlJc w:val="left"/>
      <w:pPr>
        <w:ind w:left="2839" w:hanging="283"/>
      </w:pPr>
      <w:rPr>
        <w:rFonts w:hint="default"/>
      </w:rPr>
    </w:lvl>
  </w:abstractNum>
  <w:abstractNum w:abstractNumId="22" w15:restartNumberingAfterBreak="0">
    <w:nsid w:val="4A457969"/>
    <w:multiLevelType w:val="hybridMultilevel"/>
    <w:tmpl w:val="EA4E6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68471B"/>
    <w:multiLevelType w:val="hybridMultilevel"/>
    <w:tmpl w:val="0F127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E21420"/>
    <w:multiLevelType w:val="hybridMultilevel"/>
    <w:tmpl w:val="AA2E1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852459"/>
    <w:multiLevelType w:val="hybridMultilevel"/>
    <w:tmpl w:val="50C4C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CD08A3"/>
    <w:multiLevelType w:val="hybridMultilevel"/>
    <w:tmpl w:val="8D86C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786EC2"/>
    <w:multiLevelType w:val="hybridMultilevel"/>
    <w:tmpl w:val="A15CF1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1A27EC0"/>
    <w:multiLevelType w:val="hybridMultilevel"/>
    <w:tmpl w:val="C0367C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33C6AC8"/>
    <w:multiLevelType w:val="hybridMultilevel"/>
    <w:tmpl w:val="922C4278"/>
    <w:lvl w:ilvl="0" w:tplc="44ECA1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CE93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AA28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CA5C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50F3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227C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E415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8ACF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3860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6EC7042"/>
    <w:multiLevelType w:val="hybridMultilevel"/>
    <w:tmpl w:val="D1E4D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324B73"/>
    <w:multiLevelType w:val="hybridMultilevel"/>
    <w:tmpl w:val="735E4E76"/>
    <w:lvl w:ilvl="0" w:tplc="0809000F">
      <w:start w:val="1"/>
      <w:numFmt w:val="decimal"/>
      <w:lvlText w:val="%1."/>
      <w:lvlJc w:val="lef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 w15:restartNumberingAfterBreak="0">
    <w:nsid w:val="614E36B6"/>
    <w:multiLevelType w:val="hybridMultilevel"/>
    <w:tmpl w:val="5498B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8667C0"/>
    <w:multiLevelType w:val="multilevel"/>
    <w:tmpl w:val="9C202792"/>
    <w:numStyleLink w:val="ReportHeadings"/>
  </w:abstractNum>
  <w:abstractNum w:abstractNumId="34" w15:restartNumberingAfterBreak="0">
    <w:nsid w:val="67FD1C67"/>
    <w:multiLevelType w:val="hybridMultilevel"/>
    <w:tmpl w:val="AF1409A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A3E292B"/>
    <w:multiLevelType w:val="hybridMultilevel"/>
    <w:tmpl w:val="0658A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FC0D3E"/>
    <w:multiLevelType w:val="hybridMultilevel"/>
    <w:tmpl w:val="15BE6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D5384E"/>
    <w:multiLevelType w:val="hybridMultilevel"/>
    <w:tmpl w:val="9BAE0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9F2234"/>
    <w:multiLevelType w:val="hybridMultilevel"/>
    <w:tmpl w:val="BCDA68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BEC5AF6"/>
    <w:multiLevelType w:val="hybridMultilevel"/>
    <w:tmpl w:val="AF96A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AF2A0F"/>
    <w:multiLevelType w:val="hybridMultilevel"/>
    <w:tmpl w:val="72967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63574">
      <w:numFmt w:val="bullet"/>
      <w:lvlText w:val="•"/>
      <w:lvlJc w:val="left"/>
      <w:pPr>
        <w:ind w:left="3240" w:hanging="720"/>
      </w:pPr>
      <w:rPr>
        <w:rFonts w:ascii="Calibri" w:eastAsiaTheme="minorHAnsi" w:hAnsi="Calibri" w:cstheme="minorBid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420E62"/>
    <w:multiLevelType w:val="hybridMultilevel"/>
    <w:tmpl w:val="0B4A8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5"/>
  </w:num>
  <w:num w:numId="3">
    <w:abstractNumId w:val="3"/>
  </w:num>
  <w:num w:numId="4">
    <w:abstractNumId w:val="10"/>
  </w:num>
  <w:num w:numId="5">
    <w:abstractNumId w:val="22"/>
  </w:num>
  <w:num w:numId="6">
    <w:abstractNumId w:val="18"/>
  </w:num>
  <w:num w:numId="7">
    <w:abstractNumId w:val="15"/>
  </w:num>
  <w:num w:numId="8">
    <w:abstractNumId w:val="26"/>
  </w:num>
  <w:num w:numId="9">
    <w:abstractNumId w:val="13"/>
  </w:num>
  <w:num w:numId="10">
    <w:abstractNumId w:val="36"/>
  </w:num>
  <w:num w:numId="11">
    <w:abstractNumId w:val="24"/>
  </w:num>
  <w:num w:numId="12">
    <w:abstractNumId w:val="31"/>
  </w:num>
  <w:num w:numId="13">
    <w:abstractNumId w:val="40"/>
  </w:num>
  <w:num w:numId="14">
    <w:abstractNumId w:val="7"/>
  </w:num>
  <w:num w:numId="15">
    <w:abstractNumId w:val="6"/>
  </w:num>
  <w:num w:numId="16">
    <w:abstractNumId w:val="5"/>
  </w:num>
  <w:num w:numId="17">
    <w:abstractNumId w:val="32"/>
  </w:num>
  <w:num w:numId="18">
    <w:abstractNumId w:val="30"/>
  </w:num>
  <w:num w:numId="19">
    <w:abstractNumId w:val="41"/>
  </w:num>
  <w:num w:numId="20">
    <w:abstractNumId w:val="37"/>
  </w:num>
  <w:num w:numId="21">
    <w:abstractNumId w:val="34"/>
  </w:num>
  <w:num w:numId="22">
    <w:abstractNumId w:val="11"/>
  </w:num>
  <w:num w:numId="23">
    <w:abstractNumId w:val="21"/>
  </w:num>
  <w:num w:numId="24">
    <w:abstractNumId w:val="17"/>
  </w:num>
  <w:num w:numId="25">
    <w:abstractNumId w:val="17"/>
  </w:num>
  <w:num w:numId="26">
    <w:abstractNumId w:val="17"/>
  </w:num>
  <w:num w:numId="27">
    <w:abstractNumId w:val="19"/>
  </w:num>
  <w:num w:numId="28">
    <w:abstractNumId w:val="8"/>
  </w:num>
  <w:num w:numId="29">
    <w:abstractNumId w:val="33"/>
    <w:lvlOverride w:ilvl="0">
      <w:lvl w:ilvl="0">
        <w:start w:val="1"/>
        <w:numFmt w:val="decimal"/>
        <w:pStyle w:val="ReportHeading1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pStyle w:val="ReportHeading2"/>
        <w:lvlText w:val="%1.%2."/>
        <w:lvlJc w:val="left"/>
        <w:pPr>
          <w:ind w:left="851" w:hanging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ReportHeading3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ReportHeading4"/>
        <w:lvlText w:val="%1.%2.%3.%4."/>
        <w:lvlJc w:val="left"/>
        <w:pPr>
          <w:tabs>
            <w:tab w:val="num" w:pos="851"/>
          </w:tabs>
          <w:ind w:left="851" w:hanging="851"/>
        </w:pPr>
        <w:rPr>
          <w:rFonts w:hint="default"/>
        </w:rPr>
      </w:lvl>
    </w:lvlOverride>
    <w:lvlOverride w:ilvl="4">
      <w:lvl w:ilvl="4">
        <w:start w:val="1"/>
        <w:numFmt w:val="none"/>
        <w:pStyle w:val="ReportHeading5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pStyle w:val="ReportHeading6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</w:num>
  <w:num w:numId="30">
    <w:abstractNumId w:val="28"/>
  </w:num>
  <w:num w:numId="31">
    <w:abstractNumId w:val="38"/>
  </w:num>
  <w:num w:numId="32">
    <w:abstractNumId w:val="16"/>
  </w:num>
  <w:num w:numId="33">
    <w:abstractNumId w:val="0"/>
  </w:num>
  <w:num w:numId="34">
    <w:abstractNumId w:val="29"/>
  </w:num>
  <w:num w:numId="35">
    <w:abstractNumId w:val="2"/>
  </w:num>
  <w:num w:numId="36">
    <w:abstractNumId w:val="25"/>
  </w:num>
  <w:num w:numId="37">
    <w:abstractNumId w:val="20"/>
  </w:num>
  <w:num w:numId="38">
    <w:abstractNumId w:val="4"/>
  </w:num>
  <w:num w:numId="39">
    <w:abstractNumId w:val="14"/>
  </w:num>
  <w:num w:numId="40">
    <w:abstractNumId w:val="27"/>
  </w:num>
  <w:num w:numId="41">
    <w:abstractNumId w:val="1"/>
  </w:num>
  <w:num w:numId="42">
    <w:abstractNumId w:val="12"/>
  </w:num>
  <w:num w:numId="43">
    <w:abstractNumId w:val="39"/>
  </w:num>
  <w:num w:numId="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 - footnotes modifi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p5s00sp5jp9peierv0kxd9v0waw9epvedtss&quot;&gt;Ferring_infertility PROs_manuscript -Saved&lt;record-ids&gt;&lt;item&gt;1&lt;/item&gt;&lt;item&gt;2&lt;/item&gt;&lt;item&gt;4&lt;/item&gt;&lt;item&gt;5&lt;/item&gt;&lt;item&gt;6&lt;/item&gt;&lt;item&gt;7&lt;/item&gt;&lt;item&gt;9&lt;/item&gt;&lt;item&gt;10&lt;/item&gt;&lt;item&gt;11&lt;/item&gt;&lt;item&gt;12&lt;/item&gt;&lt;item&gt;14&lt;/item&gt;&lt;item&gt;15&lt;/item&gt;&lt;item&gt;16&lt;/item&gt;&lt;item&gt;19&lt;/item&gt;&lt;item&gt;20&lt;/item&gt;&lt;item&gt;21&lt;/item&gt;&lt;item&gt;22&lt;/item&gt;&lt;item&gt;23&lt;/item&gt;&lt;item&gt;26&lt;/item&gt;&lt;item&gt;27&lt;/item&gt;&lt;item&gt;28&lt;/item&gt;&lt;item&gt;29&lt;/item&gt;&lt;item&gt;30&lt;/item&gt;&lt;item&gt;31&lt;/item&gt;&lt;item&gt;37&lt;/item&gt;&lt;item&gt;39&lt;/item&gt;&lt;item&gt;40&lt;/item&gt;&lt;item&gt;41&lt;/item&gt;&lt;item&gt;42&lt;/item&gt;&lt;item&gt;44&lt;/item&gt;&lt;item&gt;45&lt;/item&gt;&lt;item&gt;53&lt;/item&gt;&lt;item&gt;54&lt;/item&gt;&lt;item&gt;55&lt;/item&gt;&lt;item&gt;62&lt;/item&gt;&lt;item&gt;63&lt;/item&gt;&lt;item&gt;65&lt;/item&gt;&lt;item&gt;66&lt;/item&gt;&lt;item&gt;67&lt;/item&gt;&lt;item&gt;77&lt;/item&gt;&lt;item&gt;78&lt;/item&gt;&lt;item&gt;79&lt;/item&gt;&lt;item&gt;80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7&lt;/item&gt;&lt;item&gt;98&lt;/item&gt;&lt;item&gt;100&lt;/item&gt;&lt;item&gt;101&lt;/item&gt;&lt;item&gt;102&lt;/item&gt;&lt;item&gt;104&lt;/item&gt;&lt;item&gt;105&lt;/item&gt;&lt;item&gt;106&lt;/item&gt;&lt;item&gt;107&lt;/item&gt;&lt;/record-ids&gt;&lt;/item&gt;&lt;/Libraries&gt;"/>
  </w:docVars>
  <w:rsids>
    <w:rsidRoot w:val="00A414C0"/>
    <w:rsid w:val="0000261E"/>
    <w:rsid w:val="000109C4"/>
    <w:rsid w:val="00011628"/>
    <w:rsid w:val="00014FF3"/>
    <w:rsid w:val="00015889"/>
    <w:rsid w:val="00020A56"/>
    <w:rsid w:val="00025FFA"/>
    <w:rsid w:val="00027866"/>
    <w:rsid w:val="00032C9D"/>
    <w:rsid w:val="000341BF"/>
    <w:rsid w:val="0004263D"/>
    <w:rsid w:val="00043E00"/>
    <w:rsid w:val="00044ACC"/>
    <w:rsid w:val="00045296"/>
    <w:rsid w:val="0004569D"/>
    <w:rsid w:val="00045DDB"/>
    <w:rsid w:val="000474D3"/>
    <w:rsid w:val="000475FC"/>
    <w:rsid w:val="00051701"/>
    <w:rsid w:val="000530A4"/>
    <w:rsid w:val="00053F3D"/>
    <w:rsid w:val="00055E4E"/>
    <w:rsid w:val="00056A3F"/>
    <w:rsid w:val="00062575"/>
    <w:rsid w:val="0006757F"/>
    <w:rsid w:val="00074851"/>
    <w:rsid w:val="000816C2"/>
    <w:rsid w:val="0008203B"/>
    <w:rsid w:val="00082C7F"/>
    <w:rsid w:val="00082F8A"/>
    <w:rsid w:val="00084862"/>
    <w:rsid w:val="00086C2F"/>
    <w:rsid w:val="00087361"/>
    <w:rsid w:val="00093120"/>
    <w:rsid w:val="00095396"/>
    <w:rsid w:val="000A1743"/>
    <w:rsid w:val="000A587E"/>
    <w:rsid w:val="000B0523"/>
    <w:rsid w:val="000B498A"/>
    <w:rsid w:val="000C20FE"/>
    <w:rsid w:val="000C4E5A"/>
    <w:rsid w:val="000D0680"/>
    <w:rsid w:val="000D097D"/>
    <w:rsid w:val="000D29C3"/>
    <w:rsid w:val="000D2A53"/>
    <w:rsid w:val="000D628A"/>
    <w:rsid w:val="000D7563"/>
    <w:rsid w:val="000D7626"/>
    <w:rsid w:val="000E2DC2"/>
    <w:rsid w:val="000E4511"/>
    <w:rsid w:val="000E566E"/>
    <w:rsid w:val="000E6213"/>
    <w:rsid w:val="000E6FA1"/>
    <w:rsid w:val="000E70F6"/>
    <w:rsid w:val="000F26CF"/>
    <w:rsid w:val="000F2A71"/>
    <w:rsid w:val="000F3133"/>
    <w:rsid w:val="00100C32"/>
    <w:rsid w:val="00112CC5"/>
    <w:rsid w:val="00114C4B"/>
    <w:rsid w:val="00115E1F"/>
    <w:rsid w:val="00124275"/>
    <w:rsid w:val="001249FD"/>
    <w:rsid w:val="00127ED1"/>
    <w:rsid w:val="00130DB5"/>
    <w:rsid w:val="00133186"/>
    <w:rsid w:val="00133910"/>
    <w:rsid w:val="00133CE4"/>
    <w:rsid w:val="00136FF1"/>
    <w:rsid w:val="0013737A"/>
    <w:rsid w:val="00143C73"/>
    <w:rsid w:val="001442A6"/>
    <w:rsid w:val="00144625"/>
    <w:rsid w:val="00145A44"/>
    <w:rsid w:val="00151736"/>
    <w:rsid w:val="001527AB"/>
    <w:rsid w:val="00154F69"/>
    <w:rsid w:val="00161591"/>
    <w:rsid w:val="00162F58"/>
    <w:rsid w:val="00165CD2"/>
    <w:rsid w:val="0017595B"/>
    <w:rsid w:val="0017725F"/>
    <w:rsid w:val="00180E93"/>
    <w:rsid w:val="001821B0"/>
    <w:rsid w:val="001839C1"/>
    <w:rsid w:val="00184F59"/>
    <w:rsid w:val="0019088A"/>
    <w:rsid w:val="00192832"/>
    <w:rsid w:val="00195C50"/>
    <w:rsid w:val="00196729"/>
    <w:rsid w:val="001A078B"/>
    <w:rsid w:val="001A0E10"/>
    <w:rsid w:val="001B0C6A"/>
    <w:rsid w:val="001B17BD"/>
    <w:rsid w:val="001B3118"/>
    <w:rsid w:val="001B62AC"/>
    <w:rsid w:val="001C1D6F"/>
    <w:rsid w:val="001D5F69"/>
    <w:rsid w:val="001D65B7"/>
    <w:rsid w:val="001D75AA"/>
    <w:rsid w:val="001E02DF"/>
    <w:rsid w:val="001E0C30"/>
    <w:rsid w:val="001E19D8"/>
    <w:rsid w:val="001E4DE3"/>
    <w:rsid w:val="001E582F"/>
    <w:rsid w:val="001F399B"/>
    <w:rsid w:val="001F46A3"/>
    <w:rsid w:val="001F491F"/>
    <w:rsid w:val="001F6A1B"/>
    <w:rsid w:val="001F6AE0"/>
    <w:rsid w:val="002006D3"/>
    <w:rsid w:val="00201D70"/>
    <w:rsid w:val="0020333B"/>
    <w:rsid w:val="00203AC8"/>
    <w:rsid w:val="00205EE6"/>
    <w:rsid w:val="00207501"/>
    <w:rsid w:val="002134C0"/>
    <w:rsid w:val="00214ABD"/>
    <w:rsid w:val="00214E84"/>
    <w:rsid w:val="00216DC1"/>
    <w:rsid w:val="0022192D"/>
    <w:rsid w:val="00227F4B"/>
    <w:rsid w:val="00234A1C"/>
    <w:rsid w:val="002364EA"/>
    <w:rsid w:val="00236589"/>
    <w:rsid w:val="00237694"/>
    <w:rsid w:val="00241397"/>
    <w:rsid w:val="002443FE"/>
    <w:rsid w:val="0024549B"/>
    <w:rsid w:val="00245E99"/>
    <w:rsid w:val="002470F2"/>
    <w:rsid w:val="00255390"/>
    <w:rsid w:val="002661A0"/>
    <w:rsid w:val="0026652A"/>
    <w:rsid w:val="00266F08"/>
    <w:rsid w:val="00272EAD"/>
    <w:rsid w:val="00275060"/>
    <w:rsid w:val="00275701"/>
    <w:rsid w:val="00280F5D"/>
    <w:rsid w:val="00286F79"/>
    <w:rsid w:val="00287CFC"/>
    <w:rsid w:val="00293B89"/>
    <w:rsid w:val="002953F3"/>
    <w:rsid w:val="0029587F"/>
    <w:rsid w:val="00296AEE"/>
    <w:rsid w:val="002A5A7A"/>
    <w:rsid w:val="002A647F"/>
    <w:rsid w:val="002B2C52"/>
    <w:rsid w:val="002B3C2D"/>
    <w:rsid w:val="002B54D9"/>
    <w:rsid w:val="002B6F47"/>
    <w:rsid w:val="002C08F1"/>
    <w:rsid w:val="002C4CB8"/>
    <w:rsid w:val="002C5CE2"/>
    <w:rsid w:val="002D082C"/>
    <w:rsid w:val="002D190E"/>
    <w:rsid w:val="002D2DA1"/>
    <w:rsid w:val="002D7878"/>
    <w:rsid w:val="002E553A"/>
    <w:rsid w:val="002E5B38"/>
    <w:rsid w:val="002E61C5"/>
    <w:rsid w:val="002F0F67"/>
    <w:rsid w:val="002F236A"/>
    <w:rsid w:val="002F2844"/>
    <w:rsid w:val="002F3A0E"/>
    <w:rsid w:val="002F5D9B"/>
    <w:rsid w:val="002F6F44"/>
    <w:rsid w:val="003029FC"/>
    <w:rsid w:val="00304CFB"/>
    <w:rsid w:val="003064EF"/>
    <w:rsid w:val="00307A49"/>
    <w:rsid w:val="00312A8F"/>
    <w:rsid w:val="0031315C"/>
    <w:rsid w:val="00320458"/>
    <w:rsid w:val="00321860"/>
    <w:rsid w:val="003222B7"/>
    <w:rsid w:val="00336076"/>
    <w:rsid w:val="00336A67"/>
    <w:rsid w:val="00337380"/>
    <w:rsid w:val="00337B64"/>
    <w:rsid w:val="0034340A"/>
    <w:rsid w:val="00346C5A"/>
    <w:rsid w:val="00346F1B"/>
    <w:rsid w:val="003503C5"/>
    <w:rsid w:val="003507D9"/>
    <w:rsid w:val="00350C3E"/>
    <w:rsid w:val="00350F26"/>
    <w:rsid w:val="00353562"/>
    <w:rsid w:val="003601DC"/>
    <w:rsid w:val="003645E9"/>
    <w:rsid w:val="00366C76"/>
    <w:rsid w:val="00367198"/>
    <w:rsid w:val="003713D8"/>
    <w:rsid w:val="0037563E"/>
    <w:rsid w:val="00380FBA"/>
    <w:rsid w:val="00384044"/>
    <w:rsid w:val="00384831"/>
    <w:rsid w:val="00386901"/>
    <w:rsid w:val="00390184"/>
    <w:rsid w:val="00392484"/>
    <w:rsid w:val="00392696"/>
    <w:rsid w:val="003A0FFF"/>
    <w:rsid w:val="003A1022"/>
    <w:rsid w:val="003A4065"/>
    <w:rsid w:val="003A53DF"/>
    <w:rsid w:val="003B217A"/>
    <w:rsid w:val="003B3429"/>
    <w:rsid w:val="003B3565"/>
    <w:rsid w:val="003C390A"/>
    <w:rsid w:val="003C6134"/>
    <w:rsid w:val="003C7C34"/>
    <w:rsid w:val="003D045D"/>
    <w:rsid w:val="003D20A9"/>
    <w:rsid w:val="003D61CB"/>
    <w:rsid w:val="003D685C"/>
    <w:rsid w:val="003E2D12"/>
    <w:rsid w:val="003F07ED"/>
    <w:rsid w:val="003F0BDD"/>
    <w:rsid w:val="003F1EC1"/>
    <w:rsid w:val="003F7C3B"/>
    <w:rsid w:val="00400FEE"/>
    <w:rsid w:val="00401018"/>
    <w:rsid w:val="004011E0"/>
    <w:rsid w:val="0040199F"/>
    <w:rsid w:val="00404DFD"/>
    <w:rsid w:val="004112A9"/>
    <w:rsid w:val="00412DF5"/>
    <w:rsid w:val="00416C7E"/>
    <w:rsid w:val="00417ED2"/>
    <w:rsid w:val="004204F6"/>
    <w:rsid w:val="004246CE"/>
    <w:rsid w:val="0042642F"/>
    <w:rsid w:val="00427A8B"/>
    <w:rsid w:val="00427BF4"/>
    <w:rsid w:val="0043086E"/>
    <w:rsid w:val="00431178"/>
    <w:rsid w:val="00431ADD"/>
    <w:rsid w:val="00433D2C"/>
    <w:rsid w:val="0043620B"/>
    <w:rsid w:val="004374DF"/>
    <w:rsid w:val="004401BD"/>
    <w:rsid w:val="00440477"/>
    <w:rsid w:val="00444771"/>
    <w:rsid w:val="00445268"/>
    <w:rsid w:val="00445ADE"/>
    <w:rsid w:val="0045331D"/>
    <w:rsid w:val="0045348F"/>
    <w:rsid w:val="0045418E"/>
    <w:rsid w:val="004603E3"/>
    <w:rsid w:val="0046160A"/>
    <w:rsid w:val="00463E5F"/>
    <w:rsid w:val="004644F3"/>
    <w:rsid w:val="00464E23"/>
    <w:rsid w:val="00471511"/>
    <w:rsid w:val="00473389"/>
    <w:rsid w:val="00482302"/>
    <w:rsid w:val="004826A0"/>
    <w:rsid w:val="004840DF"/>
    <w:rsid w:val="004843D1"/>
    <w:rsid w:val="00484461"/>
    <w:rsid w:val="004846BE"/>
    <w:rsid w:val="0048763C"/>
    <w:rsid w:val="00490EA0"/>
    <w:rsid w:val="004A27CE"/>
    <w:rsid w:val="004A44A7"/>
    <w:rsid w:val="004A5204"/>
    <w:rsid w:val="004A5AEE"/>
    <w:rsid w:val="004A7443"/>
    <w:rsid w:val="004B13A9"/>
    <w:rsid w:val="004B1987"/>
    <w:rsid w:val="004B3E14"/>
    <w:rsid w:val="004B49B2"/>
    <w:rsid w:val="004B4ACE"/>
    <w:rsid w:val="004B50CC"/>
    <w:rsid w:val="004B6E50"/>
    <w:rsid w:val="004C5CA6"/>
    <w:rsid w:val="004C606D"/>
    <w:rsid w:val="004C7EC4"/>
    <w:rsid w:val="004D20F8"/>
    <w:rsid w:val="004D252C"/>
    <w:rsid w:val="004D2789"/>
    <w:rsid w:val="004D3C8F"/>
    <w:rsid w:val="004E1764"/>
    <w:rsid w:val="004E1F63"/>
    <w:rsid w:val="004E42CA"/>
    <w:rsid w:val="004F0F9D"/>
    <w:rsid w:val="005029DC"/>
    <w:rsid w:val="00504A02"/>
    <w:rsid w:val="00510A89"/>
    <w:rsid w:val="0052023E"/>
    <w:rsid w:val="00525A15"/>
    <w:rsid w:val="00526ED7"/>
    <w:rsid w:val="005316F7"/>
    <w:rsid w:val="00532312"/>
    <w:rsid w:val="00540F00"/>
    <w:rsid w:val="00541CB3"/>
    <w:rsid w:val="00541FE5"/>
    <w:rsid w:val="0054453E"/>
    <w:rsid w:val="005502D7"/>
    <w:rsid w:val="0055030B"/>
    <w:rsid w:val="00555C16"/>
    <w:rsid w:val="005605B3"/>
    <w:rsid w:val="005605BC"/>
    <w:rsid w:val="005741A3"/>
    <w:rsid w:val="00574F87"/>
    <w:rsid w:val="00575A85"/>
    <w:rsid w:val="00575C6A"/>
    <w:rsid w:val="005774A6"/>
    <w:rsid w:val="00577944"/>
    <w:rsid w:val="00580678"/>
    <w:rsid w:val="005808EE"/>
    <w:rsid w:val="00586BBE"/>
    <w:rsid w:val="00590EE3"/>
    <w:rsid w:val="005A0227"/>
    <w:rsid w:val="005A3E5D"/>
    <w:rsid w:val="005C10E3"/>
    <w:rsid w:val="005C16D5"/>
    <w:rsid w:val="005C3D5A"/>
    <w:rsid w:val="005C7989"/>
    <w:rsid w:val="005D2746"/>
    <w:rsid w:val="005D2866"/>
    <w:rsid w:val="005D2E1D"/>
    <w:rsid w:val="005D3157"/>
    <w:rsid w:val="005D4269"/>
    <w:rsid w:val="005D4D0C"/>
    <w:rsid w:val="005D5ADD"/>
    <w:rsid w:val="005D6942"/>
    <w:rsid w:val="005E02C2"/>
    <w:rsid w:val="005E036D"/>
    <w:rsid w:val="005E0BCE"/>
    <w:rsid w:val="005E5355"/>
    <w:rsid w:val="005E5F0E"/>
    <w:rsid w:val="005E73C1"/>
    <w:rsid w:val="005E748C"/>
    <w:rsid w:val="005F425E"/>
    <w:rsid w:val="00600725"/>
    <w:rsid w:val="0060567F"/>
    <w:rsid w:val="0061078B"/>
    <w:rsid w:val="006107A9"/>
    <w:rsid w:val="00613A67"/>
    <w:rsid w:val="00615BBE"/>
    <w:rsid w:val="00616665"/>
    <w:rsid w:val="00622269"/>
    <w:rsid w:val="006228E8"/>
    <w:rsid w:val="0062378B"/>
    <w:rsid w:val="0062409F"/>
    <w:rsid w:val="00625651"/>
    <w:rsid w:val="00627EAF"/>
    <w:rsid w:val="00630B81"/>
    <w:rsid w:val="00632F04"/>
    <w:rsid w:val="006331BA"/>
    <w:rsid w:val="00634208"/>
    <w:rsid w:val="00641FF9"/>
    <w:rsid w:val="00643CE9"/>
    <w:rsid w:val="00650944"/>
    <w:rsid w:val="00652053"/>
    <w:rsid w:val="00653D13"/>
    <w:rsid w:val="006548F2"/>
    <w:rsid w:val="0065514D"/>
    <w:rsid w:val="00660447"/>
    <w:rsid w:val="00663950"/>
    <w:rsid w:val="00664267"/>
    <w:rsid w:val="00664ACC"/>
    <w:rsid w:val="00664BE5"/>
    <w:rsid w:val="00665B4D"/>
    <w:rsid w:val="006679C9"/>
    <w:rsid w:val="00671DD1"/>
    <w:rsid w:val="00673236"/>
    <w:rsid w:val="00673B03"/>
    <w:rsid w:val="0067428F"/>
    <w:rsid w:val="00675141"/>
    <w:rsid w:val="00675816"/>
    <w:rsid w:val="00675836"/>
    <w:rsid w:val="006760EA"/>
    <w:rsid w:val="006779C1"/>
    <w:rsid w:val="00681641"/>
    <w:rsid w:val="00683DCB"/>
    <w:rsid w:val="00684250"/>
    <w:rsid w:val="0068479A"/>
    <w:rsid w:val="00685363"/>
    <w:rsid w:val="00686EA0"/>
    <w:rsid w:val="006871C0"/>
    <w:rsid w:val="00693760"/>
    <w:rsid w:val="006A2388"/>
    <w:rsid w:val="006B15FB"/>
    <w:rsid w:val="006B50FB"/>
    <w:rsid w:val="006B6CA3"/>
    <w:rsid w:val="006B6CFA"/>
    <w:rsid w:val="006C46E3"/>
    <w:rsid w:val="006C78A1"/>
    <w:rsid w:val="006C79D8"/>
    <w:rsid w:val="006D2C7D"/>
    <w:rsid w:val="006D3BB8"/>
    <w:rsid w:val="006E1285"/>
    <w:rsid w:val="006E55EE"/>
    <w:rsid w:val="006F2B46"/>
    <w:rsid w:val="006F3DE9"/>
    <w:rsid w:val="006F4CB9"/>
    <w:rsid w:val="006F7A39"/>
    <w:rsid w:val="0070036B"/>
    <w:rsid w:val="00702A6A"/>
    <w:rsid w:val="00703260"/>
    <w:rsid w:val="00703782"/>
    <w:rsid w:val="007038C5"/>
    <w:rsid w:val="00703E84"/>
    <w:rsid w:val="00710862"/>
    <w:rsid w:val="00710C1D"/>
    <w:rsid w:val="007124E9"/>
    <w:rsid w:val="0072024C"/>
    <w:rsid w:val="00720707"/>
    <w:rsid w:val="00721166"/>
    <w:rsid w:val="007231B2"/>
    <w:rsid w:val="007237ED"/>
    <w:rsid w:val="00730505"/>
    <w:rsid w:val="0073264C"/>
    <w:rsid w:val="00733698"/>
    <w:rsid w:val="00733D59"/>
    <w:rsid w:val="00733FBC"/>
    <w:rsid w:val="00735569"/>
    <w:rsid w:val="0073691F"/>
    <w:rsid w:val="00737821"/>
    <w:rsid w:val="007379BA"/>
    <w:rsid w:val="00737D5A"/>
    <w:rsid w:val="007412A0"/>
    <w:rsid w:val="00742840"/>
    <w:rsid w:val="00742906"/>
    <w:rsid w:val="007431FF"/>
    <w:rsid w:val="007469EE"/>
    <w:rsid w:val="00746B63"/>
    <w:rsid w:val="00750A5A"/>
    <w:rsid w:val="007517A5"/>
    <w:rsid w:val="0075231F"/>
    <w:rsid w:val="00753B82"/>
    <w:rsid w:val="00754549"/>
    <w:rsid w:val="00756105"/>
    <w:rsid w:val="007626A5"/>
    <w:rsid w:val="0076439E"/>
    <w:rsid w:val="00764949"/>
    <w:rsid w:val="00766461"/>
    <w:rsid w:val="00766481"/>
    <w:rsid w:val="00766965"/>
    <w:rsid w:val="007678C4"/>
    <w:rsid w:val="00770005"/>
    <w:rsid w:val="0077339B"/>
    <w:rsid w:val="00773A10"/>
    <w:rsid w:val="007742AC"/>
    <w:rsid w:val="007805D4"/>
    <w:rsid w:val="00781305"/>
    <w:rsid w:val="00783BF4"/>
    <w:rsid w:val="00785A27"/>
    <w:rsid w:val="007903D0"/>
    <w:rsid w:val="0079125F"/>
    <w:rsid w:val="007943AB"/>
    <w:rsid w:val="007A1525"/>
    <w:rsid w:val="007A3A22"/>
    <w:rsid w:val="007A3F9F"/>
    <w:rsid w:val="007A4789"/>
    <w:rsid w:val="007A4C4C"/>
    <w:rsid w:val="007A5AC8"/>
    <w:rsid w:val="007A760B"/>
    <w:rsid w:val="007A7F41"/>
    <w:rsid w:val="007B0AA1"/>
    <w:rsid w:val="007B5E87"/>
    <w:rsid w:val="007B6D28"/>
    <w:rsid w:val="007B70D3"/>
    <w:rsid w:val="007B74EA"/>
    <w:rsid w:val="007C147F"/>
    <w:rsid w:val="007C5E10"/>
    <w:rsid w:val="007C671A"/>
    <w:rsid w:val="007D1D77"/>
    <w:rsid w:val="007D3F7F"/>
    <w:rsid w:val="007D56BB"/>
    <w:rsid w:val="007D659C"/>
    <w:rsid w:val="007E0A64"/>
    <w:rsid w:val="007E2057"/>
    <w:rsid w:val="007E30E9"/>
    <w:rsid w:val="007E3BDB"/>
    <w:rsid w:val="007E4016"/>
    <w:rsid w:val="007E599E"/>
    <w:rsid w:val="007E6281"/>
    <w:rsid w:val="007E68B8"/>
    <w:rsid w:val="007E7D80"/>
    <w:rsid w:val="007F1A7F"/>
    <w:rsid w:val="007F274F"/>
    <w:rsid w:val="007F32E5"/>
    <w:rsid w:val="007F42B5"/>
    <w:rsid w:val="00800044"/>
    <w:rsid w:val="00803168"/>
    <w:rsid w:val="00804A71"/>
    <w:rsid w:val="00810841"/>
    <w:rsid w:val="00811116"/>
    <w:rsid w:val="008125C5"/>
    <w:rsid w:val="008132FB"/>
    <w:rsid w:val="00814B23"/>
    <w:rsid w:val="0082135E"/>
    <w:rsid w:val="008213DB"/>
    <w:rsid w:val="00824878"/>
    <w:rsid w:val="00826C4A"/>
    <w:rsid w:val="00831CCE"/>
    <w:rsid w:val="0083289E"/>
    <w:rsid w:val="008357F8"/>
    <w:rsid w:val="00835A11"/>
    <w:rsid w:val="00835B98"/>
    <w:rsid w:val="00837771"/>
    <w:rsid w:val="00837ED4"/>
    <w:rsid w:val="0084314F"/>
    <w:rsid w:val="00843690"/>
    <w:rsid w:val="008446B2"/>
    <w:rsid w:val="008465B2"/>
    <w:rsid w:val="00846708"/>
    <w:rsid w:val="00846DA2"/>
    <w:rsid w:val="00846E57"/>
    <w:rsid w:val="00847684"/>
    <w:rsid w:val="00847804"/>
    <w:rsid w:val="00856D08"/>
    <w:rsid w:val="00860544"/>
    <w:rsid w:val="008632E6"/>
    <w:rsid w:val="00864834"/>
    <w:rsid w:val="00867674"/>
    <w:rsid w:val="008679A0"/>
    <w:rsid w:val="00870B6F"/>
    <w:rsid w:val="00870FDF"/>
    <w:rsid w:val="00872346"/>
    <w:rsid w:val="00872E44"/>
    <w:rsid w:val="00874699"/>
    <w:rsid w:val="00874F5B"/>
    <w:rsid w:val="008765FF"/>
    <w:rsid w:val="00881ABA"/>
    <w:rsid w:val="00882EA2"/>
    <w:rsid w:val="00884A63"/>
    <w:rsid w:val="00885A59"/>
    <w:rsid w:val="0088622C"/>
    <w:rsid w:val="00887C11"/>
    <w:rsid w:val="008901D7"/>
    <w:rsid w:val="00890BFB"/>
    <w:rsid w:val="008933EC"/>
    <w:rsid w:val="0089537F"/>
    <w:rsid w:val="00895FFF"/>
    <w:rsid w:val="00896EA0"/>
    <w:rsid w:val="008A002D"/>
    <w:rsid w:val="008A1F61"/>
    <w:rsid w:val="008A285B"/>
    <w:rsid w:val="008A2ACE"/>
    <w:rsid w:val="008A36D7"/>
    <w:rsid w:val="008A4B31"/>
    <w:rsid w:val="008A5D8B"/>
    <w:rsid w:val="008A6429"/>
    <w:rsid w:val="008B273B"/>
    <w:rsid w:val="008B7B69"/>
    <w:rsid w:val="008C2C82"/>
    <w:rsid w:val="008C3A6C"/>
    <w:rsid w:val="008C64E0"/>
    <w:rsid w:val="008C666A"/>
    <w:rsid w:val="008D2083"/>
    <w:rsid w:val="008D52F6"/>
    <w:rsid w:val="008E1C9B"/>
    <w:rsid w:val="008E30C4"/>
    <w:rsid w:val="008E3C0E"/>
    <w:rsid w:val="008E4659"/>
    <w:rsid w:val="008E6526"/>
    <w:rsid w:val="008E7FE0"/>
    <w:rsid w:val="008F0446"/>
    <w:rsid w:val="008F1C5B"/>
    <w:rsid w:val="008F1E91"/>
    <w:rsid w:val="00904407"/>
    <w:rsid w:val="009163BB"/>
    <w:rsid w:val="00917BCA"/>
    <w:rsid w:val="00922983"/>
    <w:rsid w:val="00923CD2"/>
    <w:rsid w:val="00925A78"/>
    <w:rsid w:val="00926915"/>
    <w:rsid w:val="00926B35"/>
    <w:rsid w:val="00927D3F"/>
    <w:rsid w:val="00930B28"/>
    <w:rsid w:val="00931BBA"/>
    <w:rsid w:val="00932EA5"/>
    <w:rsid w:val="00936FD4"/>
    <w:rsid w:val="00937C72"/>
    <w:rsid w:val="00940575"/>
    <w:rsid w:val="00940677"/>
    <w:rsid w:val="009438BD"/>
    <w:rsid w:val="00943F40"/>
    <w:rsid w:val="0094597B"/>
    <w:rsid w:val="00950231"/>
    <w:rsid w:val="00951B34"/>
    <w:rsid w:val="009525AA"/>
    <w:rsid w:val="00954B64"/>
    <w:rsid w:val="009572FE"/>
    <w:rsid w:val="009606C8"/>
    <w:rsid w:val="009619A0"/>
    <w:rsid w:val="00963C92"/>
    <w:rsid w:val="00963E7D"/>
    <w:rsid w:val="009640DA"/>
    <w:rsid w:val="009648DF"/>
    <w:rsid w:val="00970385"/>
    <w:rsid w:val="00970BBE"/>
    <w:rsid w:val="009716DE"/>
    <w:rsid w:val="0097401A"/>
    <w:rsid w:val="00974220"/>
    <w:rsid w:val="009772D1"/>
    <w:rsid w:val="00982A19"/>
    <w:rsid w:val="009846B9"/>
    <w:rsid w:val="00986792"/>
    <w:rsid w:val="0099046F"/>
    <w:rsid w:val="009916D9"/>
    <w:rsid w:val="00992E21"/>
    <w:rsid w:val="009A2C9D"/>
    <w:rsid w:val="009A3160"/>
    <w:rsid w:val="009A6EFB"/>
    <w:rsid w:val="009A798E"/>
    <w:rsid w:val="009B29D5"/>
    <w:rsid w:val="009B2AFA"/>
    <w:rsid w:val="009B351D"/>
    <w:rsid w:val="009B5C4D"/>
    <w:rsid w:val="009B7A38"/>
    <w:rsid w:val="009C0084"/>
    <w:rsid w:val="009C02BB"/>
    <w:rsid w:val="009C1227"/>
    <w:rsid w:val="009C566D"/>
    <w:rsid w:val="009C67D7"/>
    <w:rsid w:val="009D035B"/>
    <w:rsid w:val="009E0576"/>
    <w:rsid w:val="009E2615"/>
    <w:rsid w:val="009E266E"/>
    <w:rsid w:val="009E6A50"/>
    <w:rsid w:val="009F1646"/>
    <w:rsid w:val="009F3484"/>
    <w:rsid w:val="009F7608"/>
    <w:rsid w:val="00A0226E"/>
    <w:rsid w:val="00A03A5C"/>
    <w:rsid w:val="00A03B3F"/>
    <w:rsid w:val="00A11DFD"/>
    <w:rsid w:val="00A12ED8"/>
    <w:rsid w:val="00A15545"/>
    <w:rsid w:val="00A15A63"/>
    <w:rsid w:val="00A274DE"/>
    <w:rsid w:val="00A305E3"/>
    <w:rsid w:val="00A3193A"/>
    <w:rsid w:val="00A31F4B"/>
    <w:rsid w:val="00A373DE"/>
    <w:rsid w:val="00A41485"/>
    <w:rsid w:val="00A414C0"/>
    <w:rsid w:val="00A4607D"/>
    <w:rsid w:val="00A47359"/>
    <w:rsid w:val="00A50698"/>
    <w:rsid w:val="00A51D4C"/>
    <w:rsid w:val="00A525ED"/>
    <w:rsid w:val="00A56076"/>
    <w:rsid w:val="00A64669"/>
    <w:rsid w:val="00A65A3A"/>
    <w:rsid w:val="00A66E9B"/>
    <w:rsid w:val="00A670FC"/>
    <w:rsid w:val="00A67610"/>
    <w:rsid w:val="00A67E2E"/>
    <w:rsid w:val="00A707CB"/>
    <w:rsid w:val="00A71B3B"/>
    <w:rsid w:val="00A77A0C"/>
    <w:rsid w:val="00A84F11"/>
    <w:rsid w:val="00A84FD3"/>
    <w:rsid w:val="00A856EA"/>
    <w:rsid w:val="00A909C8"/>
    <w:rsid w:val="00A91625"/>
    <w:rsid w:val="00A967D2"/>
    <w:rsid w:val="00A978FE"/>
    <w:rsid w:val="00AA1B5C"/>
    <w:rsid w:val="00AA2520"/>
    <w:rsid w:val="00AA7341"/>
    <w:rsid w:val="00AB0D91"/>
    <w:rsid w:val="00AB18E2"/>
    <w:rsid w:val="00AB2A5C"/>
    <w:rsid w:val="00AB7372"/>
    <w:rsid w:val="00AB7BB3"/>
    <w:rsid w:val="00AC078A"/>
    <w:rsid w:val="00AC146A"/>
    <w:rsid w:val="00AC76A8"/>
    <w:rsid w:val="00AC7AB1"/>
    <w:rsid w:val="00AD7187"/>
    <w:rsid w:val="00AE3965"/>
    <w:rsid w:val="00AE5EA7"/>
    <w:rsid w:val="00AE6907"/>
    <w:rsid w:val="00AE7A11"/>
    <w:rsid w:val="00AF1240"/>
    <w:rsid w:val="00AF484C"/>
    <w:rsid w:val="00AF76C2"/>
    <w:rsid w:val="00AF7BB7"/>
    <w:rsid w:val="00B00CFE"/>
    <w:rsid w:val="00B01DF2"/>
    <w:rsid w:val="00B030BF"/>
    <w:rsid w:val="00B07160"/>
    <w:rsid w:val="00B07602"/>
    <w:rsid w:val="00B1188F"/>
    <w:rsid w:val="00B11C98"/>
    <w:rsid w:val="00B134D2"/>
    <w:rsid w:val="00B1365D"/>
    <w:rsid w:val="00B1638D"/>
    <w:rsid w:val="00B1764D"/>
    <w:rsid w:val="00B21269"/>
    <w:rsid w:val="00B2203B"/>
    <w:rsid w:val="00B25AD5"/>
    <w:rsid w:val="00B2619A"/>
    <w:rsid w:val="00B34537"/>
    <w:rsid w:val="00B41784"/>
    <w:rsid w:val="00B44243"/>
    <w:rsid w:val="00B445FA"/>
    <w:rsid w:val="00B47013"/>
    <w:rsid w:val="00B5059B"/>
    <w:rsid w:val="00B53A0E"/>
    <w:rsid w:val="00B54C92"/>
    <w:rsid w:val="00B57C90"/>
    <w:rsid w:val="00B60BAF"/>
    <w:rsid w:val="00B632BD"/>
    <w:rsid w:val="00B647B6"/>
    <w:rsid w:val="00B64DAD"/>
    <w:rsid w:val="00B6712C"/>
    <w:rsid w:val="00B675D3"/>
    <w:rsid w:val="00B678E2"/>
    <w:rsid w:val="00B7256D"/>
    <w:rsid w:val="00B83792"/>
    <w:rsid w:val="00B925E3"/>
    <w:rsid w:val="00B9316A"/>
    <w:rsid w:val="00B953B3"/>
    <w:rsid w:val="00BA1285"/>
    <w:rsid w:val="00BA2748"/>
    <w:rsid w:val="00BA6671"/>
    <w:rsid w:val="00BB6C55"/>
    <w:rsid w:val="00BC5C93"/>
    <w:rsid w:val="00BD139B"/>
    <w:rsid w:val="00BD1A34"/>
    <w:rsid w:val="00BD474B"/>
    <w:rsid w:val="00BE0852"/>
    <w:rsid w:val="00BE3799"/>
    <w:rsid w:val="00BE3F3E"/>
    <w:rsid w:val="00BE7BE0"/>
    <w:rsid w:val="00BF2311"/>
    <w:rsid w:val="00BF3D02"/>
    <w:rsid w:val="00BF483E"/>
    <w:rsid w:val="00C0481B"/>
    <w:rsid w:val="00C05CBA"/>
    <w:rsid w:val="00C05F5F"/>
    <w:rsid w:val="00C065A4"/>
    <w:rsid w:val="00C10A03"/>
    <w:rsid w:val="00C15CE2"/>
    <w:rsid w:val="00C171AD"/>
    <w:rsid w:val="00C17D74"/>
    <w:rsid w:val="00C20D09"/>
    <w:rsid w:val="00C2223B"/>
    <w:rsid w:val="00C22992"/>
    <w:rsid w:val="00C269B7"/>
    <w:rsid w:val="00C30F57"/>
    <w:rsid w:val="00C32D45"/>
    <w:rsid w:val="00C33A14"/>
    <w:rsid w:val="00C37B04"/>
    <w:rsid w:val="00C4107D"/>
    <w:rsid w:val="00C43516"/>
    <w:rsid w:val="00C445C9"/>
    <w:rsid w:val="00C47848"/>
    <w:rsid w:val="00C47D06"/>
    <w:rsid w:val="00C5468F"/>
    <w:rsid w:val="00C57EE6"/>
    <w:rsid w:val="00C627A4"/>
    <w:rsid w:val="00C62DF9"/>
    <w:rsid w:val="00C630AF"/>
    <w:rsid w:val="00C631A8"/>
    <w:rsid w:val="00C64F1C"/>
    <w:rsid w:val="00C67E3E"/>
    <w:rsid w:val="00C72D85"/>
    <w:rsid w:val="00C74925"/>
    <w:rsid w:val="00C76A22"/>
    <w:rsid w:val="00C77B68"/>
    <w:rsid w:val="00C805CC"/>
    <w:rsid w:val="00C8145A"/>
    <w:rsid w:val="00C820F0"/>
    <w:rsid w:val="00C85155"/>
    <w:rsid w:val="00C8599F"/>
    <w:rsid w:val="00C90D04"/>
    <w:rsid w:val="00C924B9"/>
    <w:rsid w:val="00C9392F"/>
    <w:rsid w:val="00C95011"/>
    <w:rsid w:val="00C96E98"/>
    <w:rsid w:val="00CA1A15"/>
    <w:rsid w:val="00CA2517"/>
    <w:rsid w:val="00CA5932"/>
    <w:rsid w:val="00CA6CD6"/>
    <w:rsid w:val="00CA71E4"/>
    <w:rsid w:val="00CB1619"/>
    <w:rsid w:val="00CC7D0F"/>
    <w:rsid w:val="00CD0BD5"/>
    <w:rsid w:val="00CD1BF5"/>
    <w:rsid w:val="00CD1E34"/>
    <w:rsid w:val="00CD4EB2"/>
    <w:rsid w:val="00CD5C02"/>
    <w:rsid w:val="00CE64A0"/>
    <w:rsid w:val="00CF4575"/>
    <w:rsid w:val="00CF7F37"/>
    <w:rsid w:val="00D0002C"/>
    <w:rsid w:val="00D01003"/>
    <w:rsid w:val="00D03DD0"/>
    <w:rsid w:val="00D04317"/>
    <w:rsid w:val="00D11600"/>
    <w:rsid w:val="00D13247"/>
    <w:rsid w:val="00D13547"/>
    <w:rsid w:val="00D145A6"/>
    <w:rsid w:val="00D1593A"/>
    <w:rsid w:val="00D161C8"/>
    <w:rsid w:val="00D200B9"/>
    <w:rsid w:val="00D211DE"/>
    <w:rsid w:val="00D21BB9"/>
    <w:rsid w:val="00D22A77"/>
    <w:rsid w:val="00D268A3"/>
    <w:rsid w:val="00D27505"/>
    <w:rsid w:val="00D31DD6"/>
    <w:rsid w:val="00D34742"/>
    <w:rsid w:val="00D368A1"/>
    <w:rsid w:val="00D46D9D"/>
    <w:rsid w:val="00D47AA4"/>
    <w:rsid w:val="00D47DCA"/>
    <w:rsid w:val="00D50D7A"/>
    <w:rsid w:val="00D5494F"/>
    <w:rsid w:val="00D57F74"/>
    <w:rsid w:val="00D66972"/>
    <w:rsid w:val="00D728D8"/>
    <w:rsid w:val="00D80668"/>
    <w:rsid w:val="00D8148C"/>
    <w:rsid w:val="00D8288C"/>
    <w:rsid w:val="00D8394B"/>
    <w:rsid w:val="00D84F20"/>
    <w:rsid w:val="00D851B0"/>
    <w:rsid w:val="00D87B45"/>
    <w:rsid w:val="00D904ED"/>
    <w:rsid w:val="00D90E1C"/>
    <w:rsid w:val="00D95985"/>
    <w:rsid w:val="00DA382A"/>
    <w:rsid w:val="00DA4ADB"/>
    <w:rsid w:val="00DB19FF"/>
    <w:rsid w:val="00DB76E7"/>
    <w:rsid w:val="00DB7B3F"/>
    <w:rsid w:val="00DC15B1"/>
    <w:rsid w:val="00DC68C9"/>
    <w:rsid w:val="00DD0EB5"/>
    <w:rsid w:val="00DD343F"/>
    <w:rsid w:val="00DD4106"/>
    <w:rsid w:val="00DD51E7"/>
    <w:rsid w:val="00DE79E3"/>
    <w:rsid w:val="00DF3A9F"/>
    <w:rsid w:val="00E023A9"/>
    <w:rsid w:val="00E04174"/>
    <w:rsid w:val="00E05E60"/>
    <w:rsid w:val="00E115FF"/>
    <w:rsid w:val="00E11C34"/>
    <w:rsid w:val="00E13EAF"/>
    <w:rsid w:val="00E14DAF"/>
    <w:rsid w:val="00E21937"/>
    <w:rsid w:val="00E308F8"/>
    <w:rsid w:val="00E30BFA"/>
    <w:rsid w:val="00E32A33"/>
    <w:rsid w:val="00E33D20"/>
    <w:rsid w:val="00E357A5"/>
    <w:rsid w:val="00E3639E"/>
    <w:rsid w:val="00E40FF3"/>
    <w:rsid w:val="00E45F86"/>
    <w:rsid w:val="00E5628D"/>
    <w:rsid w:val="00E565D9"/>
    <w:rsid w:val="00E611C6"/>
    <w:rsid w:val="00E63B7D"/>
    <w:rsid w:val="00E63C4D"/>
    <w:rsid w:val="00E65024"/>
    <w:rsid w:val="00E66BC7"/>
    <w:rsid w:val="00E7648C"/>
    <w:rsid w:val="00E801F7"/>
    <w:rsid w:val="00E85492"/>
    <w:rsid w:val="00E854FF"/>
    <w:rsid w:val="00E85E13"/>
    <w:rsid w:val="00E96D75"/>
    <w:rsid w:val="00EA25CA"/>
    <w:rsid w:val="00EA4DFB"/>
    <w:rsid w:val="00EA5097"/>
    <w:rsid w:val="00EB09B9"/>
    <w:rsid w:val="00EB2C1D"/>
    <w:rsid w:val="00EB3A41"/>
    <w:rsid w:val="00EB414B"/>
    <w:rsid w:val="00EB5BB6"/>
    <w:rsid w:val="00EC0149"/>
    <w:rsid w:val="00EC09E4"/>
    <w:rsid w:val="00EC77B7"/>
    <w:rsid w:val="00EC7B42"/>
    <w:rsid w:val="00ED2676"/>
    <w:rsid w:val="00ED5FAC"/>
    <w:rsid w:val="00ED6DFE"/>
    <w:rsid w:val="00EE3A4B"/>
    <w:rsid w:val="00EE6886"/>
    <w:rsid w:val="00EF0167"/>
    <w:rsid w:val="00EF0AED"/>
    <w:rsid w:val="00EF1CAA"/>
    <w:rsid w:val="00EF20E2"/>
    <w:rsid w:val="00EF410D"/>
    <w:rsid w:val="00EF5406"/>
    <w:rsid w:val="00EF6C22"/>
    <w:rsid w:val="00F00B17"/>
    <w:rsid w:val="00F00F25"/>
    <w:rsid w:val="00F016F4"/>
    <w:rsid w:val="00F023BF"/>
    <w:rsid w:val="00F037DD"/>
    <w:rsid w:val="00F05903"/>
    <w:rsid w:val="00F060E3"/>
    <w:rsid w:val="00F0663B"/>
    <w:rsid w:val="00F11E18"/>
    <w:rsid w:val="00F15020"/>
    <w:rsid w:val="00F17FC5"/>
    <w:rsid w:val="00F20B48"/>
    <w:rsid w:val="00F25AFE"/>
    <w:rsid w:val="00F3051B"/>
    <w:rsid w:val="00F34AF0"/>
    <w:rsid w:val="00F3632E"/>
    <w:rsid w:val="00F43211"/>
    <w:rsid w:val="00F479E9"/>
    <w:rsid w:val="00F47C35"/>
    <w:rsid w:val="00F530B4"/>
    <w:rsid w:val="00F5360B"/>
    <w:rsid w:val="00F55090"/>
    <w:rsid w:val="00F55CDA"/>
    <w:rsid w:val="00F56706"/>
    <w:rsid w:val="00F609FF"/>
    <w:rsid w:val="00F6390B"/>
    <w:rsid w:val="00F65A19"/>
    <w:rsid w:val="00F67439"/>
    <w:rsid w:val="00F71223"/>
    <w:rsid w:val="00F72041"/>
    <w:rsid w:val="00F723DE"/>
    <w:rsid w:val="00F77733"/>
    <w:rsid w:val="00F80867"/>
    <w:rsid w:val="00F83989"/>
    <w:rsid w:val="00F83EC3"/>
    <w:rsid w:val="00F857EA"/>
    <w:rsid w:val="00F9246E"/>
    <w:rsid w:val="00F92D7B"/>
    <w:rsid w:val="00F95FDF"/>
    <w:rsid w:val="00F96FB2"/>
    <w:rsid w:val="00FA0DD1"/>
    <w:rsid w:val="00FA2F8F"/>
    <w:rsid w:val="00FA41EF"/>
    <w:rsid w:val="00FA7216"/>
    <w:rsid w:val="00FB06AF"/>
    <w:rsid w:val="00FB3091"/>
    <w:rsid w:val="00FB5D0E"/>
    <w:rsid w:val="00FB6FE2"/>
    <w:rsid w:val="00FC0886"/>
    <w:rsid w:val="00FC207D"/>
    <w:rsid w:val="00FC3214"/>
    <w:rsid w:val="00FC5525"/>
    <w:rsid w:val="00FC65BC"/>
    <w:rsid w:val="00FD16E6"/>
    <w:rsid w:val="00FD1B38"/>
    <w:rsid w:val="00FD601C"/>
    <w:rsid w:val="00FF2D94"/>
    <w:rsid w:val="00FF4785"/>
    <w:rsid w:val="00FF6B0D"/>
    <w:rsid w:val="00FF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4B92E"/>
  <w15:docId w15:val="{8DE6409F-0999-4E5C-A077-5A97C6F19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" w:unhideWhenUsed="1"/>
    <w:lsdException w:name="footer" w:semiHidden="1" w:uiPriority="9" w:unhideWhenUsed="1"/>
    <w:lsdException w:name="index heading" w:semiHidden="1" w:unhideWhenUsed="1"/>
    <w:lsdException w:name="caption" w:semiHidden="1" w:uiPriority="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/>
    <w:lsdException w:name="List Bullet 3" w:semiHidden="1" w:uiPriority="1" w:unhideWhenUsed="1"/>
    <w:lsdException w:name="List Bullet 4" w:semiHidden="1" w:uiPriority="1" w:unhideWhenUsed="1"/>
    <w:lsdException w:name="List Bullet 5" w:semiHidden="1" w:uiPriority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A1C"/>
    <w:pPr>
      <w:spacing w:after="0" w:line="48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4549B"/>
    <w:pPr>
      <w:keepNext/>
      <w:keepLines/>
      <w:spacing w:before="480"/>
      <w:outlineLvl w:val="0"/>
    </w:pPr>
    <w:rPr>
      <w:rFonts w:ascii="Calibri" w:eastAsiaTheme="majorEastAsia" w:hAnsi="Calibr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5060"/>
    <w:pPr>
      <w:keepNext/>
      <w:keepLines/>
      <w:spacing w:before="120" w:after="120" w:line="276" w:lineRule="auto"/>
      <w:outlineLvl w:val="1"/>
    </w:pPr>
    <w:rPr>
      <w:rFonts w:ascii="Calibri" w:eastAsiaTheme="majorEastAsia" w:hAnsi="Calibr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5060"/>
    <w:pPr>
      <w:keepNext/>
      <w:keepLines/>
      <w:spacing w:before="120" w:after="120" w:line="276" w:lineRule="auto"/>
      <w:outlineLvl w:val="2"/>
    </w:pPr>
    <w:rPr>
      <w:rFonts w:ascii="Calibri" w:eastAsiaTheme="majorEastAsia" w:hAnsi="Calibri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C5E10"/>
    <w:pPr>
      <w:keepNext/>
      <w:keepLines/>
      <w:spacing w:before="180"/>
      <w:outlineLvl w:val="3"/>
    </w:pPr>
    <w:rPr>
      <w:rFonts w:ascii="Calibri" w:eastAsiaTheme="majorEastAsia" w:hAnsi="Calibri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24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24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EB41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414B"/>
    <w:rPr>
      <w:sz w:val="20"/>
      <w:szCs w:val="20"/>
    </w:rPr>
  </w:style>
  <w:style w:type="character" w:styleId="CommentReference">
    <w:name w:val="annotation reference"/>
    <w:semiHidden/>
    <w:rsid w:val="00EB414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1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14B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3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390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4549B"/>
    <w:rPr>
      <w:rFonts w:ascii="Calibri" w:eastAsiaTheme="majorEastAsia" w:hAnsi="Calibr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5060"/>
    <w:rPr>
      <w:rFonts w:ascii="Calibri" w:eastAsiaTheme="majorEastAsia" w:hAnsi="Calibri" w:cstheme="majorBidi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F00F25"/>
    <w:pPr>
      <w:ind w:left="720"/>
      <w:contextualSpacing/>
    </w:pPr>
  </w:style>
  <w:style w:type="paragraph" w:styleId="NoSpacing">
    <w:name w:val="No Spacing"/>
    <w:uiPriority w:val="1"/>
    <w:qFormat/>
    <w:rsid w:val="00F00F2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967D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A760B"/>
    <w:rPr>
      <w:color w:val="800080" w:themeColor="followedHyperlink"/>
      <w:u w:val="single"/>
    </w:rPr>
  </w:style>
  <w:style w:type="paragraph" w:customStyle="1" w:styleId="ReportBodyText">
    <w:name w:val="Report Body Text"/>
    <w:basedOn w:val="Normal"/>
    <w:link w:val="ReportBodyTextChar"/>
    <w:qFormat/>
    <w:rsid w:val="00D47AA4"/>
    <w:pPr>
      <w:spacing w:before="180"/>
    </w:pPr>
    <w:rPr>
      <w:rFonts w:ascii="Calibri" w:hAnsi="Calibri" w:cs="Calibri"/>
    </w:rPr>
  </w:style>
  <w:style w:type="character" w:customStyle="1" w:styleId="ReportBodyTextChar">
    <w:name w:val="Report Body Text Char"/>
    <w:basedOn w:val="DefaultParagraphFont"/>
    <w:link w:val="ReportBodyText"/>
    <w:rsid w:val="00D47AA4"/>
    <w:rPr>
      <w:rFonts w:ascii="Calibri" w:hAnsi="Calibri" w:cs="Calibri"/>
    </w:rPr>
  </w:style>
  <w:style w:type="paragraph" w:customStyle="1" w:styleId="EndNoteBibliographyTitle">
    <w:name w:val="EndNote Bibliography Title"/>
    <w:basedOn w:val="Normal"/>
    <w:link w:val="EndNoteBibliographyTitleChar"/>
    <w:rsid w:val="008E1C9B"/>
    <w:pPr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E1C9B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E1C9B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E1C9B"/>
    <w:rPr>
      <w:rFonts w:ascii="Calibri" w:hAnsi="Calibri"/>
      <w:noProof/>
      <w:lang w:val="en-US"/>
    </w:rPr>
  </w:style>
  <w:style w:type="paragraph" w:styleId="NormalWeb">
    <w:name w:val="Normal (Web)"/>
    <w:basedOn w:val="Normal"/>
    <w:uiPriority w:val="99"/>
    <w:semiHidden/>
    <w:unhideWhenUsed/>
    <w:rsid w:val="00D22A77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75060"/>
    <w:rPr>
      <w:rFonts w:ascii="Calibri" w:eastAsiaTheme="majorEastAsia" w:hAnsi="Calibri" w:cstheme="majorBidi"/>
      <w:b/>
      <w:szCs w:val="24"/>
    </w:rPr>
  </w:style>
  <w:style w:type="table" w:customStyle="1" w:styleId="ReportTable">
    <w:name w:val="Report_Table"/>
    <w:basedOn w:val="TableNormal"/>
    <w:uiPriority w:val="99"/>
    <w:rsid w:val="00887C11"/>
    <w:pPr>
      <w:spacing w:before="60" w:after="60" w:line="240" w:lineRule="auto"/>
      <w:jc w:val="center"/>
    </w:pPr>
    <w:rPr>
      <w:rFonts w:ascii="Calibri" w:hAnsi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Theme="minorHAnsi" w:hAnsiTheme="minorHAnsi"/>
        <w:b/>
        <w:sz w:val="20"/>
      </w:rPr>
      <w:tblPr/>
      <w:tcPr>
        <w:shd w:val="clear" w:color="auto" w:fill="CFD1D2"/>
      </w:tcPr>
    </w:tblStylePr>
    <w:tblStylePr w:type="firstCol">
      <w:pPr>
        <w:jc w:val="left"/>
      </w:pPr>
      <w:rPr>
        <w:rFonts w:asciiTheme="minorHAnsi" w:hAnsiTheme="minorHAnsi"/>
        <w:sz w:val="20"/>
      </w:rPr>
    </w:tblStylePr>
  </w:style>
  <w:style w:type="paragraph" w:styleId="Caption">
    <w:name w:val="caption"/>
    <w:aliases w:val="Bayer Caption,IB Caption,Medical Caption"/>
    <w:basedOn w:val="Normal"/>
    <w:next w:val="ReportBodyText"/>
    <w:link w:val="CaptionChar"/>
    <w:uiPriority w:val="8"/>
    <w:unhideWhenUsed/>
    <w:qFormat/>
    <w:rsid w:val="007A1525"/>
    <w:pPr>
      <w:keepNext/>
      <w:spacing w:before="180" w:line="240" w:lineRule="auto"/>
    </w:pPr>
    <w:rPr>
      <w:rFonts w:ascii="Calibri" w:hAnsi="Calibri"/>
      <w:b/>
      <w:bCs/>
      <w:color w:val="000000" w:themeColor="text1"/>
      <w:sz w:val="20"/>
      <w:szCs w:val="18"/>
    </w:rPr>
  </w:style>
  <w:style w:type="paragraph" w:styleId="ListBullet">
    <w:name w:val="List Bullet"/>
    <w:basedOn w:val="ReportBodyText"/>
    <w:uiPriority w:val="1"/>
    <w:unhideWhenUsed/>
    <w:qFormat/>
    <w:rsid w:val="00CD1E34"/>
    <w:pPr>
      <w:numPr>
        <w:numId w:val="24"/>
      </w:numPr>
      <w:spacing w:before="120"/>
    </w:pPr>
  </w:style>
  <w:style w:type="paragraph" w:styleId="ListBullet2">
    <w:name w:val="List Bullet 2"/>
    <w:basedOn w:val="ListBullet"/>
    <w:uiPriority w:val="1"/>
    <w:unhideWhenUsed/>
    <w:rsid w:val="00CD1E34"/>
    <w:pPr>
      <w:numPr>
        <w:ilvl w:val="1"/>
      </w:numPr>
      <w:ind w:hanging="284"/>
    </w:pPr>
  </w:style>
  <w:style w:type="paragraph" w:styleId="ListBullet3">
    <w:name w:val="List Bullet 3"/>
    <w:basedOn w:val="ListBullet"/>
    <w:uiPriority w:val="1"/>
    <w:unhideWhenUsed/>
    <w:rsid w:val="00CD1E34"/>
    <w:pPr>
      <w:numPr>
        <w:ilvl w:val="2"/>
      </w:numPr>
      <w:ind w:hanging="284"/>
    </w:pPr>
  </w:style>
  <w:style w:type="paragraph" w:styleId="ListBullet4">
    <w:name w:val="List Bullet 4"/>
    <w:basedOn w:val="ListBullet"/>
    <w:uiPriority w:val="1"/>
    <w:unhideWhenUsed/>
    <w:rsid w:val="00CD1E34"/>
    <w:pPr>
      <w:numPr>
        <w:ilvl w:val="3"/>
      </w:numPr>
      <w:ind w:left="1418" w:hanging="284"/>
    </w:pPr>
  </w:style>
  <w:style w:type="paragraph" w:styleId="ListBullet5">
    <w:name w:val="List Bullet 5"/>
    <w:basedOn w:val="ListBullet"/>
    <w:uiPriority w:val="1"/>
    <w:unhideWhenUsed/>
    <w:rsid w:val="00CD1E34"/>
    <w:pPr>
      <w:numPr>
        <w:ilvl w:val="4"/>
      </w:numPr>
      <w:ind w:left="1702" w:hanging="284"/>
    </w:pPr>
  </w:style>
  <w:style w:type="paragraph" w:customStyle="1" w:styleId="ReportTableFootnote">
    <w:name w:val="Report Table Footnote"/>
    <w:basedOn w:val="ReportBodyText"/>
    <w:next w:val="ReportBodyText"/>
    <w:link w:val="ReportTableFootnoteChar"/>
    <w:uiPriority w:val="3"/>
    <w:qFormat/>
    <w:rsid w:val="000D628A"/>
    <w:pPr>
      <w:spacing w:before="60" w:line="240" w:lineRule="auto"/>
      <w:contextualSpacing/>
    </w:pPr>
    <w:rPr>
      <w:sz w:val="18"/>
    </w:rPr>
  </w:style>
  <w:style w:type="character" w:customStyle="1" w:styleId="ReportTableFootnoteChar">
    <w:name w:val="Report Table Footnote Char"/>
    <w:basedOn w:val="ReportBodyTextChar"/>
    <w:link w:val="ReportTableFootnote"/>
    <w:uiPriority w:val="3"/>
    <w:rsid w:val="000D628A"/>
    <w:rPr>
      <w:rFonts w:ascii="Calibri" w:hAnsi="Calibri" w:cs="Calibri"/>
      <w:sz w:val="18"/>
    </w:rPr>
  </w:style>
  <w:style w:type="numbering" w:customStyle="1" w:styleId="ListBullets">
    <w:name w:val="List Bullets"/>
    <w:uiPriority w:val="99"/>
    <w:rsid w:val="00CD1E34"/>
    <w:pPr>
      <w:numPr>
        <w:numId w:val="23"/>
      </w:numPr>
    </w:pPr>
  </w:style>
  <w:style w:type="paragraph" w:customStyle="1" w:styleId="ReportTableText">
    <w:name w:val="Report Table Text"/>
    <w:basedOn w:val="ReportBodyText"/>
    <w:link w:val="ReportTableTextChar"/>
    <w:uiPriority w:val="3"/>
    <w:qFormat/>
    <w:rsid w:val="00770005"/>
    <w:pPr>
      <w:spacing w:before="0" w:line="240" w:lineRule="auto"/>
    </w:pPr>
  </w:style>
  <w:style w:type="character" w:customStyle="1" w:styleId="CaptionChar">
    <w:name w:val="Caption Char"/>
    <w:aliases w:val="Bayer Caption Char,IB Caption Char,Medical Caption Char"/>
    <w:basedOn w:val="DefaultParagraphFont"/>
    <w:link w:val="Caption"/>
    <w:uiPriority w:val="8"/>
    <w:locked/>
    <w:rsid w:val="007A1525"/>
    <w:rPr>
      <w:rFonts w:ascii="Calibri" w:hAnsi="Calibri"/>
      <w:b/>
      <w:bCs/>
      <w:color w:val="000000" w:themeColor="text1"/>
      <w:sz w:val="20"/>
      <w:szCs w:val="18"/>
    </w:rPr>
  </w:style>
  <w:style w:type="character" w:customStyle="1" w:styleId="ReportTableTextChar">
    <w:name w:val="Report Table Text Char"/>
    <w:basedOn w:val="ReportBodyTextChar"/>
    <w:link w:val="ReportTableText"/>
    <w:uiPriority w:val="3"/>
    <w:rsid w:val="00770005"/>
    <w:rPr>
      <w:rFonts w:ascii="Calibri" w:hAnsi="Calibri" w:cs="Calibri"/>
    </w:rPr>
  </w:style>
  <w:style w:type="paragraph" w:customStyle="1" w:styleId="ReportHeading1">
    <w:name w:val="Report Heading 1"/>
    <w:basedOn w:val="Heading1"/>
    <w:next w:val="ReportBodyText"/>
    <w:link w:val="ReportHeading1Char"/>
    <w:qFormat/>
    <w:rsid w:val="00D13247"/>
    <w:pPr>
      <w:numPr>
        <w:numId w:val="29"/>
      </w:numPr>
      <w:spacing w:after="240" w:line="276" w:lineRule="auto"/>
    </w:pPr>
    <w:rPr>
      <w:color w:val="732876"/>
      <w:sz w:val="32"/>
    </w:rPr>
  </w:style>
  <w:style w:type="character" w:customStyle="1" w:styleId="ReportHeading1Char">
    <w:name w:val="Report Heading 1 Char"/>
    <w:basedOn w:val="Heading1Char"/>
    <w:link w:val="ReportHeading1"/>
    <w:rsid w:val="00D13247"/>
    <w:rPr>
      <w:rFonts w:ascii="Calibri" w:eastAsiaTheme="majorEastAsia" w:hAnsi="Calibri" w:cstheme="majorBidi"/>
      <w:b/>
      <w:bCs/>
      <w:color w:val="732876"/>
      <w:sz w:val="32"/>
      <w:szCs w:val="28"/>
    </w:rPr>
  </w:style>
  <w:style w:type="paragraph" w:customStyle="1" w:styleId="ReportHeading2">
    <w:name w:val="Report Heading 2"/>
    <w:basedOn w:val="Heading2"/>
    <w:next w:val="ReportBodyText"/>
    <w:link w:val="ReportHeading2Char"/>
    <w:qFormat/>
    <w:rsid w:val="00D13247"/>
    <w:pPr>
      <w:numPr>
        <w:ilvl w:val="1"/>
        <w:numId w:val="29"/>
      </w:numPr>
      <w:spacing w:before="240" w:after="180"/>
      <w:jc w:val="both"/>
    </w:pPr>
    <w:rPr>
      <w:color w:val="000000" w:themeColor="text1"/>
      <w:sz w:val="28"/>
    </w:rPr>
  </w:style>
  <w:style w:type="paragraph" w:customStyle="1" w:styleId="ReportHeading3">
    <w:name w:val="Report Heading 3"/>
    <w:basedOn w:val="Heading3"/>
    <w:next w:val="ReportBodyText"/>
    <w:qFormat/>
    <w:rsid w:val="00D13247"/>
    <w:pPr>
      <w:numPr>
        <w:ilvl w:val="2"/>
        <w:numId w:val="29"/>
      </w:numPr>
      <w:spacing w:before="240" w:after="180"/>
    </w:pPr>
    <w:rPr>
      <w:bCs/>
      <w:color w:val="000000" w:themeColor="text1"/>
      <w:sz w:val="24"/>
      <w:szCs w:val="22"/>
    </w:rPr>
  </w:style>
  <w:style w:type="paragraph" w:customStyle="1" w:styleId="ReportHeading4">
    <w:name w:val="Report Heading 4"/>
    <w:basedOn w:val="Heading4"/>
    <w:next w:val="ReportBodyText"/>
    <w:link w:val="ReportHeading4Char"/>
    <w:qFormat/>
    <w:rsid w:val="00D13247"/>
    <w:pPr>
      <w:numPr>
        <w:ilvl w:val="3"/>
        <w:numId w:val="29"/>
      </w:numPr>
      <w:tabs>
        <w:tab w:val="clear" w:pos="851"/>
      </w:tabs>
      <w:spacing w:before="240" w:after="180" w:line="276" w:lineRule="auto"/>
      <w:ind w:left="4680" w:hanging="360"/>
    </w:pPr>
    <w:rPr>
      <w:b/>
      <w:bCs/>
      <w:color w:val="000000" w:themeColor="text1"/>
    </w:rPr>
  </w:style>
  <w:style w:type="paragraph" w:customStyle="1" w:styleId="ReportHeading5">
    <w:name w:val="Report Heading 5"/>
    <w:basedOn w:val="Heading5"/>
    <w:next w:val="ReportBodyText"/>
    <w:link w:val="ReportHeading5Char"/>
    <w:qFormat/>
    <w:rsid w:val="00D13247"/>
    <w:pPr>
      <w:numPr>
        <w:ilvl w:val="4"/>
        <w:numId w:val="29"/>
      </w:numPr>
      <w:spacing w:before="240" w:after="180" w:line="276" w:lineRule="auto"/>
      <w:ind w:left="5400" w:hanging="360"/>
    </w:pPr>
    <w:rPr>
      <w:rFonts w:ascii="Calibri" w:hAnsi="Calibri"/>
      <w:b/>
      <w:color w:val="000000"/>
    </w:rPr>
  </w:style>
  <w:style w:type="numbering" w:customStyle="1" w:styleId="ReportHeadings">
    <w:name w:val="Report Headings"/>
    <w:uiPriority w:val="99"/>
    <w:rsid w:val="00D13247"/>
    <w:pPr>
      <w:numPr>
        <w:numId w:val="28"/>
      </w:numPr>
    </w:pPr>
  </w:style>
  <w:style w:type="paragraph" w:customStyle="1" w:styleId="ReportHeading6">
    <w:name w:val="Report Heading 6"/>
    <w:basedOn w:val="Heading6"/>
    <w:next w:val="ReportBodyText"/>
    <w:qFormat/>
    <w:rsid w:val="00D13247"/>
    <w:pPr>
      <w:numPr>
        <w:ilvl w:val="5"/>
        <w:numId w:val="29"/>
      </w:numPr>
      <w:spacing w:before="240" w:after="180" w:line="276" w:lineRule="auto"/>
      <w:ind w:left="6120" w:hanging="180"/>
    </w:pPr>
    <w:rPr>
      <w:rFonts w:ascii="Calibri" w:hAnsi="Calibri"/>
      <w:i/>
      <w:iCs/>
      <w:color w:val="9C719D"/>
    </w:rPr>
  </w:style>
  <w:style w:type="character" w:customStyle="1" w:styleId="Heading4Char">
    <w:name w:val="Heading 4 Char"/>
    <w:basedOn w:val="DefaultParagraphFont"/>
    <w:link w:val="Heading4"/>
    <w:uiPriority w:val="9"/>
    <w:rsid w:val="007C5E10"/>
    <w:rPr>
      <w:rFonts w:ascii="Calibri" w:eastAsiaTheme="majorEastAsia" w:hAnsi="Calibri" w:cstheme="majorBid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24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2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eportHeading4Char">
    <w:name w:val="Report Heading 4 Char"/>
    <w:basedOn w:val="Heading4Char"/>
    <w:link w:val="ReportHeading4"/>
    <w:rsid w:val="006871C0"/>
    <w:rPr>
      <w:rFonts w:ascii="Calibri" w:eastAsiaTheme="majorEastAsia" w:hAnsi="Calibri" w:cstheme="majorBidi"/>
      <w:b/>
      <w:bCs/>
      <w:i/>
      <w:iCs/>
      <w:color w:val="000000" w:themeColor="text1"/>
    </w:rPr>
  </w:style>
  <w:style w:type="character" w:customStyle="1" w:styleId="ReportHeading5Char">
    <w:name w:val="Report Heading 5 Char"/>
    <w:basedOn w:val="Heading5Char"/>
    <w:link w:val="ReportHeading5"/>
    <w:rsid w:val="006871C0"/>
    <w:rPr>
      <w:rFonts w:ascii="Calibri" w:eastAsiaTheme="majorEastAsia" w:hAnsi="Calibri" w:cstheme="majorBidi"/>
      <w:b/>
      <w:color w:val="000000"/>
    </w:rPr>
  </w:style>
  <w:style w:type="paragraph" w:styleId="Header">
    <w:name w:val="header"/>
    <w:basedOn w:val="Normal"/>
    <w:link w:val="HeaderChar"/>
    <w:uiPriority w:val="9"/>
    <w:unhideWhenUsed/>
    <w:rsid w:val="007C671A"/>
    <w:pPr>
      <w:tabs>
        <w:tab w:val="center" w:pos="4513"/>
        <w:tab w:val="right" w:pos="9026"/>
      </w:tabs>
      <w:spacing w:line="240" w:lineRule="auto"/>
    </w:pPr>
    <w:rPr>
      <w:rFonts w:ascii="Calibri" w:hAnsi="Calibri"/>
      <w:color w:val="595959" w:themeColor="text1" w:themeTint="A6"/>
      <w:sz w:val="20"/>
    </w:rPr>
  </w:style>
  <w:style w:type="character" w:customStyle="1" w:styleId="HeaderChar">
    <w:name w:val="Header Char"/>
    <w:basedOn w:val="DefaultParagraphFont"/>
    <w:link w:val="Header"/>
    <w:uiPriority w:val="9"/>
    <w:rsid w:val="007C671A"/>
    <w:rPr>
      <w:rFonts w:ascii="Calibri" w:hAnsi="Calibri"/>
      <w:color w:val="595959" w:themeColor="text1" w:themeTint="A6"/>
      <w:sz w:val="20"/>
    </w:rPr>
  </w:style>
  <w:style w:type="paragraph" w:styleId="Footer">
    <w:name w:val="footer"/>
    <w:basedOn w:val="Normal"/>
    <w:link w:val="FooterChar"/>
    <w:uiPriority w:val="9"/>
    <w:unhideWhenUsed/>
    <w:rsid w:val="007C671A"/>
    <w:pPr>
      <w:pBdr>
        <w:top w:val="single" w:sz="12" w:space="1" w:color="A6A6A6"/>
      </w:pBdr>
      <w:tabs>
        <w:tab w:val="center" w:pos="4513"/>
        <w:tab w:val="right" w:pos="9026"/>
      </w:tabs>
      <w:spacing w:line="240" w:lineRule="auto"/>
      <w:jc w:val="center"/>
    </w:pPr>
    <w:rPr>
      <w:rFonts w:ascii="Calibri" w:hAnsi="Calibri" w:cstheme="minorHAnsi"/>
      <w:color w:val="595959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"/>
    <w:rsid w:val="007C671A"/>
    <w:rPr>
      <w:rFonts w:ascii="Calibri" w:hAnsi="Calibri" w:cstheme="minorHAnsi"/>
      <w:color w:val="595959"/>
      <w:sz w:val="20"/>
      <w:szCs w:val="20"/>
    </w:rPr>
  </w:style>
  <w:style w:type="character" w:customStyle="1" w:styleId="ReportHeading2Char">
    <w:name w:val="Report Heading 2 Char"/>
    <w:basedOn w:val="Heading2Char"/>
    <w:link w:val="ReportHeading2"/>
    <w:rsid w:val="00860544"/>
    <w:rPr>
      <w:rFonts w:ascii="Calibri" w:eastAsiaTheme="majorEastAsia" w:hAnsi="Calibri" w:cstheme="majorBidi"/>
      <w:b/>
      <w:bCs/>
      <w:color w:val="000000" w:themeColor="text1"/>
      <w:sz w:val="28"/>
      <w:szCs w:val="26"/>
    </w:rPr>
  </w:style>
  <w:style w:type="paragraph" w:customStyle="1" w:styleId="ReportSummaryBoxHeading">
    <w:name w:val="Report Summary Box Heading"/>
    <w:basedOn w:val="ReportBodyText"/>
    <w:uiPriority w:val="3"/>
    <w:rsid w:val="001F399B"/>
    <w:pPr>
      <w:spacing w:before="60" w:after="120" w:line="276" w:lineRule="auto"/>
    </w:pPr>
    <w:rPr>
      <w:b/>
      <w:i/>
    </w:rPr>
  </w:style>
  <w:style w:type="paragraph" w:customStyle="1" w:styleId="xl145">
    <w:name w:val="xl145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46">
    <w:name w:val="xl146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47">
    <w:name w:val="xl147"/>
    <w:basedOn w:val="Normal"/>
    <w:rsid w:val="00B57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GB"/>
    </w:rPr>
  </w:style>
  <w:style w:type="paragraph" w:customStyle="1" w:styleId="xl148">
    <w:name w:val="xl148"/>
    <w:basedOn w:val="Normal"/>
    <w:rsid w:val="00B57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49">
    <w:name w:val="xl149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50">
    <w:name w:val="xl150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51">
    <w:name w:val="xl151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52">
    <w:name w:val="xl152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53">
    <w:name w:val="xl153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54">
    <w:name w:val="xl154"/>
    <w:basedOn w:val="Normal"/>
    <w:rsid w:val="00B57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30A0"/>
      <w:sz w:val="24"/>
      <w:szCs w:val="24"/>
      <w:lang w:eastAsia="en-GB"/>
    </w:rPr>
  </w:style>
  <w:style w:type="paragraph" w:customStyle="1" w:styleId="xl155">
    <w:name w:val="xl155"/>
    <w:basedOn w:val="Normal"/>
    <w:rsid w:val="00B57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56">
    <w:name w:val="xl156"/>
    <w:basedOn w:val="Normal"/>
    <w:rsid w:val="00B57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2D050"/>
      <w:sz w:val="24"/>
      <w:szCs w:val="24"/>
      <w:lang w:eastAsia="en-GB"/>
    </w:rPr>
  </w:style>
  <w:style w:type="paragraph" w:customStyle="1" w:styleId="xl157">
    <w:name w:val="xl157"/>
    <w:basedOn w:val="Normal"/>
    <w:rsid w:val="00B57C9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58">
    <w:name w:val="xl158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xl159">
    <w:name w:val="xl159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xl160">
    <w:name w:val="xl160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xl161">
    <w:name w:val="xl161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hd w:val="clear" w:color="000000" w:fill="C0504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xl162">
    <w:name w:val="xl162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hd w:val="clear" w:color="000000" w:fill="9BBB5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xl163">
    <w:name w:val="xl163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hd w:val="clear" w:color="000000" w:fill="8064A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xl164">
    <w:name w:val="xl164"/>
    <w:basedOn w:val="Normal"/>
    <w:rsid w:val="00B57C9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65">
    <w:name w:val="xl165"/>
    <w:basedOn w:val="Normal"/>
    <w:rsid w:val="00B57C90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66">
    <w:name w:val="xl166"/>
    <w:basedOn w:val="Normal"/>
    <w:rsid w:val="00B57C9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67">
    <w:name w:val="xl167"/>
    <w:basedOn w:val="Normal"/>
    <w:rsid w:val="00B57C9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GB"/>
    </w:rPr>
  </w:style>
  <w:style w:type="paragraph" w:customStyle="1" w:styleId="xl168">
    <w:name w:val="xl168"/>
    <w:basedOn w:val="Normal"/>
    <w:rsid w:val="00B57C9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30A0"/>
      <w:sz w:val="24"/>
      <w:szCs w:val="24"/>
      <w:lang w:eastAsia="en-GB"/>
    </w:rPr>
  </w:style>
  <w:style w:type="paragraph" w:customStyle="1" w:styleId="xl169">
    <w:name w:val="xl169"/>
    <w:basedOn w:val="Normal"/>
    <w:rsid w:val="00B57C90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70">
    <w:name w:val="xl170"/>
    <w:basedOn w:val="Normal"/>
    <w:rsid w:val="00B57C90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71">
    <w:name w:val="xl171"/>
    <w:basedOn w:val="Normal"/>
    <w:rsid w:val="00B57C90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72">
    <w:name w:val="xl172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976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1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25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7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209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7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65089-0C7F-415D-A0D9-956FDCD7D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Alesso, Sonia</dc:creator>
  <cp:lastModifiedBy>Aldhouse, Natalie</cp:lastModifiedBy>
  <cp:revision>3</cp:revision>
  <cp:lastPrinted>2016-06-09T10:52:00Z</cp:lastPrinted>
  <dcterms:created xsi:type="dcterms:W3CDTF">2016-08-10T13:04:00Z</dcterms:created>
  <dcterms:modified xsi:type="dcterms:W3CDTF">2016-08-10T13:11:00Z</dcterms:modified>
</cp:coreProperties>
</file>