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3C2BA" w14:textId="698ADF8C" w:rsidR="009C75CD" w:rsidRPr="00BE6F68" w:rsidRDefault="007E0173" w:rsidP="00BF3020">
      <w:pPr>
        <w:spacing w:line="480" w:lineRule="auto"/>
        <w:rPr>
          <w:rFonts w:asciiTheme="minorHAnsi" w:hAnsiTheme="minorHAnsi"/>
          <w:b/>
        </w:rPr>
      </w:pPr>
      <w:r w:rsidRPr="00BE6F68">
        <w:rPr>
          <w:rFonts w:asciiTheme="minorHAnsi" w:hAnsiTheme="minorHAnsi"/>
          <w:b/>
        </w:rPr>
        <w:t>Additional file</w:t>
      </w:r>
      <w:r w:rsidR="00853892" w:rsidRPr="00BE6F68">
        <w:rPr>
          <w:rFonts w:asciiTheme="minorHAnsi" w:hAnsiTheme="minorHAnsi"/>
          <w:b/>
        </w:rPr>
        <w:t xml:space="preserve"> 2</w:t>
      </w:r>
      <w:r w:rsidRPr="00BE6F68">
        <w:rPr>
          <w:rFonts w:asciiTheme="minorHAnsi" w:hAnsiTheme="minorHAnsi"/>
          <w:b/>
        </w:rPr>
        <w:t>.</w:t>
      </w:r>
      <w:r w:rsidR="009C75CD" w:rsidRPr="00BE6F68">
        <w:rPr>
          <w:rFonts w:asciiTheme="minorHAnsi" w:hAnsiTheme="minorHAnsi"/>
          <w:b/>
        </w:rPr>
        <w:t xml:space="preserve"> Details of psychometric strategy</w:t>
      </w:r>
    </w:p>
    <w:p w14:paraId="1C36B525" w14:textId="63414D4F" w:rsidR="00741325" w:rsidRPr="00BE6F68" w:rsidRDefault="00EF3D0A" w:rsidP="00BF3020">
      <w:pPr>
        <w:spacing w:line="480" w:lineRule="auto"/>
        <w:rPr>
          <w:rFonts w:asciiTheme="minorHAnsi" w:hAnsiTheme="minorHAnsi"/>
          <w:b/>
        </w:rPr>
      </w:pPr>
      <w:r>
        <w:rPr>
          <w:rFonts w:asciiTheme="minorHAnsi" w:hAnsiTheme="minorHAnsi"/>
          <w:b/>
        </w:rPr>
        <w:t>Additional file</w:t>
      </w:r>
      <w:r w:rsidR="009C75CD" w:rsidRPr="00BE6F68">
        <w:rPr>
          <w:rFonts w:asciiTheme="minorHAnsi" w:hAnsiTheme="minorHAnsi"/>
          <w:b/>
        </w:rPr>
        <w:t xml:space="preserve"> 2</w:t>
      </w:r>
      <w:r w:rsidR="00741325" w:rsidRPr="00BE6F68">
        <w:rPr>
          <w:rFonts w:asciiTheme="minorHAnsi" w:hAnsiTheme="minorHAnsi"/>
          <w:b/>
        </w:rPr>
        <w:t>a</w:t>
      </w:r>
      <w:r w:rsidR="00ED1D1A" w:rsidRPr="00BE6F68">
        <w:rPr>
          <w:rFonts w:asciiTheme="minorHAnsi" w:hAnsiTheme="minorHAnsi"/>
          <w:b/>
        </w:rPr>
        <w:t xml:space="preserve">. </w:t>
      </w:r>
      <w:r w:rsidR="00741325" w:rsidRPr="00BE6F68">
        <w:rPr>
          <w:rFonts w:asciiTheme="minorHAnsi" w:hAnsiTheme="minorHAnsi"/>
          <w:b/>
        </w:rPr>
        <w:t>Further notes on</w:t>
      </w:r>
      <w:r w:rsidR="009C75CD" w:rsidRPr="00BE6F68">
        <w:rPr>
          <w:rFonts w:asciiTheme="minorHAnsi" w:hAnsiTheme="minorHAnsi"/>
          <w:b/>
        </w:rPr>
        <w:t xml:space="preserve"> optimising precision and factor solution by scaling item response levels</w:t>
      </w:r>
    </w:p>
    <w:p w14:paraId="1A662A64" w14:textId="4CC2487F" w:rsidR="00E341EB" w:rsidRPr="00BE6F68" w:rsidRDefault="00741325" w:rsidP="00BF3020">
      <w:pPr>
        <w:spacing w:line="480" w:lineRule="auto"/>
        <w:jc w:val="both"/>
        <w:rPr>
          <w:rFonts w:asciiTheme="minorHAnsi" w:hAnsiTheme="minorHAnsi"/>
        </w:rPr>
      </w:pPr>
      <w:r w:rsidRPr="00BE6F68">
        <w:rPr>
          <w:rFonts w:asciiTheme="minorHAnsi" w:hAnsiTheme="minorHAnsi"/>
        </w:rPr>
        <w:t xml:space="preserve">Unless the number of data points is very large (here </w:t>
      </w:r>
      <w:r w:rsidR="009C75CD" w:rsidRPr="00BE6F68">
        <w:rPr>
          <w:rFonts w:asciiTheme="minorHAnsi" w:hAnsiTheme="minorHAnsi"/>
        </w:rPr>
        <w:t xml:space="preserve">it is </w:t>
      </w:r>
      <w:r w:rsidRPr="00BE6F68">
        <w:rPr>
          <w:rFonts w:asciiTheme="minorHAnsi" w:hAnsiTheme="minorHAnsi"/>
        </w:rPr>
        <w:t>sufficient at 120)</w:t>
      </w:r>
      <w:r w:rsidR="009C75CD" w:rsidRPr="00BE6F68">
        <w:rPr>
          <w:rFonts w:asciiTheme="minorHAnsi" w:hAnsiTheme="minorHAnsi"/>
        </w:rPr>
        <w:t>,</w:t>
      </w:r>
      <w:r w:rsidRPr="00BE6F68">
        <w:rPr>
          <w:rFonts w:asciiTheme="minorHAnsi" w:hAnsiTheme="minorHAnsi"/>
        </w:rPr>
        <w:t xml:space="preserve"> the decision to use scaled values may be uncertain or ma</w:t>
      </w:r>
      <w:r w:rsidR="00BE6F68">
        <w:rPr>
          <w:rFonts w:asciiTheme="minorHAnsi" w:hAnsiTheme="minorHAnsi"/>
        </w:rPr>
        <w:t>rginal. This is because scaling</w:t>
      </w:r>
      <w:r w:rsidRPr="00BE6F68">
        <w:rPr>
          <w:rFonts w:asciiTheme="minorHAnsi" w:hAnsiTheme="minorHAnsi"/>
        </w:rPr>
        <w:t xml:space="preserve"> with only a small sample can introduce some roughness as seen for example where values are shared between adjacent response levels (eg </w:t>
      </w:r>
      <w:r w:rsidR="009C75CD" w:rsidRPr="00BE6F68">
        <w:rPr>
          <w:rFonts w:asciiTheme="minorHAnsi" w:hAnsiTheme="minorHAnsi"/>
        </w:rPr>
        <w:t>in Table 2</w:t>
      </w:r>
      <w:r w:rsidR="00BE6F68">
        <w:rPr>
          <w:rFonts w:asciiTheme="minorHAnsi" w:hAnsiTheme="minorHAnsi"/>
        </w:rPr>
        <w:t>,</w:t>
      </w:r>
      <w:r w:rsidR="009C75CD" w:rsidRPr="00BE6F68">
        <w:rPr>
          <w:rFonts w:asciiTheme="minorHAnsi" w:hAnsiTheme="minorHAnsi"/>
        </w:rPr>
        <w:t xml:space="preserve"> </w:t>
      </w:r>
      <w:r w:rsidRPr="00BE6F68">
        <w:rPr>
          <w:rFonts w:asciiTheme="minorHAnsi" w:hAnsiTheme="minorHAnsi"/>
        </w:rPr>
        <w:t xml:space="preserve">levels 2 and 3 for item 1). Roughness can result from necessity of pooling categories due to rarity of use of a </w:t>
      </w:r>
      <w:proofErr w:type="gramStart"/>
      <w:r w:rsidRPr="00BE6F68">
        <w:rPr>
          <w:rFonts w:asciiTheme="minorHAnsi" w:hAnsiTheme="minorHAnsi"/>
        </w:rPr>
        <w:t>particular level</w:t>
      </w:r>
      <w:proofErr w:type="gramEnd"/>
      <w:r w:rsidRPr="00BE6F68">
        <w:rPr>
          <w:rFonts w:asciiTheme="minorHAnsi" w:hAnsiTheme="minorHAnsi"/>
        </w:rPr>
        <w:t xml:space="preserve"> (as in this example)</w:t>
      </w:r>
      <w:r w:rsidR="009C75CD" w:rsidRPr="00BE6F68">
        <w:rPr>
          <w:rFonts w:asciiTheme="minorHAnsi" w:hAnsiTheme="minorHAnsi"/>
        </w:rPr>
        <w:t>,</w:t>
      </w:r>
      <w:r w:rsidRPr="00BE6F68">
        <w:rPr>
          <w:rFonts w:asciiTheme="minorHAnsi" w:hAnsiTheme="minorHAnsi"/>
        </w:rPr>
        <w:t xml:space="preserve"> which having a large N can </w:t>
      </w:r>
      <w:r w:rsidR="009C75CD" w:rsidRPr="00BE6F68">
        <w:rPr>
          <w:rFonts w:asciiTheme="minorHAnsi" w:hAnsiTheme="minorHAnsi"/>
        </w:rPr>
        <w:t>eventual</w:t>
      </w:r>
      <w:r w:rsidR="00C940F9" w:rsidRPr="00BE6F68">
        <w:rPr>
          <w:rFonts w:asciiTheme="minorHAnsi" w:hAnsiTheme="minorHAnsi"/>
        </w:rPr>
        <w:t>l</w:t>
      </w:r>
      <w:r w:rsidR="009C75CD" w:rsidRPr="00BE6F68">
        <w:rPr>
          <w:rFonts w:asciiTheme="minorHAnsi" w:hAnsiTheme="minorHAnsi"/>
        </w:rPr>
        <w:t xml:space="preserve">y </w:t>
      </w:r>
      <w:r w:rsidRPr="00BE6F68">
        <w:rPr>
          <w:rFonts w:asciiTheme="minorHAnsi" w:hAnsiTheme="minorHAnsi"/>
        </w:rPr>
        <w:t xml:space="preserve">overcome. Such roughness, due to imprecision of estimation in an only medium-sized sample, can nevertheless be more than offset by the elimination of the systematic scale distortion introduced by </w:t>
      </w:r>
      <w:r w:rsidR="009C75CD" w:rsidRPr="00BE6F68">
        <w:rPr>
          <w:rFonts w:asciiTheme="minorHAnsi" w:hAnsiTheme="minorHAnsi"/>
        </w:rPr>
        <w:t xml:space="preserve">the usual incorrect practice of </w:t>
      </w:r>
      <w:r w:rsidRPr="00BE6F68">
        <w:rPr>
          <w:rFonts w:asciiTheme="minorHAnsi" w:hAnsiTheme="minorHAnsi"/>
        </w:rPr>
        <w:t xml:space="preserve">taking response </w:t>
      </w:r>
      <w:r w:rsidR="009C75CD" w:rsidRPr="00BE6F68">
        <w:rPr>
          <w:rFonts w:asciiTheme="minorHAnsi" w:hAnsiTheme="minorHAnsi"/>
        </w:rPr>
        <w:t xml:space="preserve">data-entry </w:t>
      </w:r>
      <w:r w:rsidRPr="00BE6F68">
        <w:rPr>
          <w:rFonts w:asciiTheme="minorHAnsi" w:hAnsiTheme="minorHAnsi"/>
        </w:rPr>
        <w:t xml:space="preserve">codes </w:t>
      </w:r>
      <w:r w:rsidR="009C75CD" w:rsidRPr="00BE6F68">
        <w:rPr>
          <w:rFonts w:asciiTheme="minorHAnsi" w:hAnsiTheme="minorHAnsi"/>
        </w:rPr>
        <w:t xml:space="preserve">1, 2, 3 </w:t>
      </w:r>
      <w:proofErr w:type="spellStart"/>
      <w:r w:rsidR="009C75CD" w:rsidRPr="00BE6F68">
        <w:rPr>
          <w:rFonts w:asciiTheme="minorHAnsi" w:hAnsiTheme="minorHAnsi"/>
        </w:rPr>
        <w:t>etc</w:t>
      </w:r>
      <w:proofErr w:type="spellEnd"/>
      <w:r w:rsidR="009C75CD" w:rsidRPr="00BE6F68">
        <w:rPr>
          <w:rFonts w:asciiTheme="minorHAnsi" w:hAnsiTheme="minorHAnsi"/>
        </w:rPr>
        <w:t xml:space="preserve"> </w:t>
      </w:r>
      <w:r w:rsidRPr="00BE6F68">
        <w:rPr>
          <w:rFonts w:asciiTheme="minorHAnsi" w:hAnsiTheme="minorHAnsi"/>
        </w:rPr>
        <w:t xml:space="preserve">at face-value, as </w:t>
      </w:r>
      <w:r w:rsidR="009C75CD" w:rsidRPr="00BE6F68">
        <w:rPr>
          <w:rFonts w:asciiTheme="minorHAnsi" w:hAnsiTheme="minorHAnsi"/>
        </w:rPr>
        <w:t xml:space="preserve">is illustrated </w:t>
      </w:r>
      <w:r w:rsidRPr="00BE6F68">
        <w:rPr>
          <w:rFonts w:asciiTheme="minorHAnsi" w:hAnsiTheme="minorHAnsi"/>
        </w:rPr>
        <w:t xml:space="preserve">for </w:t>
      </w:r>
      <w:r w:rsidR="009C75CD" w:rsidRPr="00BE6F68">
        <w:rPr>
          <w:rFonts w:asciiTheme="minorHAnsi" w:hAnsiTheme="minorHAnsi"/>
        </w:rPr>
        <w:t xml:space="preserve">the </w:t>
      </w:r>
      <w:r w:rsidRPr="00BE6F68">
        <w:rPr>
          <w:rFonts w:asciiTheme="minorHAnsi" w:hAnsiTheme="minorHAnsi"/>
        </w:rPr>
        <w:t>response levels 4 and 5 in the main text, for choice of factor solution. Table</w:t>
      </w:r>
      <w:r w:rsidR="009C75CD" w:rsidRPr="00BE6F68">
        <w:rPr>
          <w:rFonts w:asciiTheme="minorHAnsi" w:hAnsiTheme="minorHAnsi"/>
        </w:rPr>
        <w:t xml:space="preserve"> 2</w:t>
      </w:r>
      <w:r w:rsidRPr="00BE6F68">
        <w:rPr>
          <w:rFonts w:asciiTheme="minorHAnsi" w:hAnsiTheme="minorHAnsi"/>
        </w:rPr>
        <w:t xml:space="preserve"> shows that only </w:t>
      </w:r>
      <w:r w:rsidR="009C75CD" w:rsidRPr="00BE6F68">
        <w:rPr>
          <w:rFonts w:asciiTheme="minorHAnsi" w:hAnsiTheme="minorHAnsi"/>
        </w:rPr>
        <w:t xml:space="preserve">three out of twelve </w:t>
      </w:r>
      <w:r w:rsidRPr="00BE6F68">
        <w:rPr>
          <w:rFonts w:asciiTheme="minorHAnsi" w:hAnsiTheme="minorHAnsi"/>
        </w:rPr>
        <w:t xml:space="preserve">items </w:t>
      </w:r>
      <w:r w:rsidR="009C75CD" w:rsidRPr="00BE6F68">
        <w:rPr>
          <w:rFonts w:asciiTheme="minorHAnsi" w:hAnsiTheme="minorHAnsi"/>
        </w:rPr>
        <w:t>(</w:t>
      </w:r>
      <w:r w:rsidRPr="00BE6F68">
        <w:rPr>
          <w:rFonts w:asciiTheme="minorHAnsi" w:hAnsiTheme="minorHAnsi"/>
        </w:rPr>
        <w:t>4</w:t>
      </w:r>
      <w:r w:rsidR="009C75CD" w:rsidRPr="00BE6F68">
        <w:rPr>
          <w:rFonts w:asciiTheme="minorHAnsi" w:hAnsiTheme="minorHAnsi"/>
        </w:rPr>
        <w:t>, 6</w:t>
      </w:r>
      <w:r w:rsidRPr="00BE6F68">
        <w:rPr>
          <w:rFonts w:asciiTheme="minorHAnsi" w:hAnsiTheme="minorHAnsi"/>
        </w:rPr>
        <w:t xml:space="preserve"> and 12</w:t>
      </w:r>
      <w:r w:rsidR="009C75CD" w:rsidRPr="00BE6F68">
        <w:rPr>
          <w:rFonts w:asciiTheme="minorHAnsi" w:hAnsiTheme="minorHAnsi"/>
        </w:rPr>
        <w:t>)</w:t>
      </w:r>
      <w:r w:rsidRPr="00BE6F68">
        <w:rPr>
          <w:rFonts w:asciiTheme="minorHAnsi" w:hAnsiTheme="minorHAnsi"/>
        </w:rPr>
        <w:t xml:space="preserve"> achieve substantial differentiation in the total between the response levels of ‘4’ </w:t>
      </w:r>
      <w:r w:rsidR="009C75CD" w:rsidRPr="00BE6F68">
        <w:rPr>
          <w:rFonts w:asciiTheme="minorHAnsi" w:hAnsiTheme="minorHAnsi"/>
        </w:rPr>
        <w:t>and ‘5’; for the other 9, the</w:t>
      </w:r>
      <w:r w:rsidRPr="00BE6F68">
        <w:rPr>
          <w:rFonts w:asciiTheme="minorHAnsi" w:hAnsiTheme="minorHAnsi"/>
        </w:rPr>
        <w:t xml:space="preserve"> differentiation is </w:t>
      </w:r>
      <w:proofErr w:type="gramStart"/>
      <w:r w:rsidRPr="00BE6F68">
        <w:rPr>
          <w:rFonts w:asciiTheme="minorHAnsi" w:hAnsiTheme="minorHAnsi"/>
        </w:rPr>
        <w:t>more slight</w:t>
      </w:r>
      <w:proofErr w:type="gramEnd"/>
      <w:r w:rsidRPr="00BE6F68">
        <w:rPr>
          <w:rFonts w:asciiTheme="minorHAnsi" w:hAnsiTheme="minorHAnsi"/>
        </w:rPr>
        <w:t xml:space="preserve"> here than for the other steps between response levels</w:t>
      </w:r>
      <w:r w:rsidR="009C75CD" w:rsidRPr="00BE6F68">
        <w:rPr>
          <w:rFonts w:asciiTheme="minorHAnsi" w:hAnsiTheme="minorHAnsi"/>
        </w:rPr>
        <w:t>, and even flattened or reversed</w:t>
      </w:r>
      <w:r w:rsidRPr="00BE6F68">
        <w:rPr>
          <w:rFonts w:asciiTheme="minorHAnsi" w:hAnsiTheme="minorHAnsi"/>
        </w:rPr>
        <w:t>. Further violations of the face-value integer response level coding</w:t>
      </w:r>
      <w:r w:rsidR="00234254">
        <w:rPr>
          <w:rFonts w:asciiTheme="minorHAnsi" w:hAnsiTheme="minorHAnsi"/>
        </w:rPr>
        <w:t>,</w:t>
      </w:r>
      <w:r w:rsidRPr="00BE6F68">
        <w:rPr>
          <w:rFonts w:asciiTheme="minorHAnsi" w:hAnsiTheme="minorHAnsi"/>
        </w:rPr>
        <w:t xml:space="preserve"> which it is inefficient to ignore are seen. The extreme dichotomisation of item 9 is necessary because of extreme skew of the distribution of response levels, and a plateau at the lower end, as in item 2 and to some extent in items 4, 5, and 7. Adopting the scaled values for response levels</w:t>
      </w:r>
      <w:r w:rsidR="00C940F9" w:rsidRPr="00BE6F68">
        <w:rPr>
          <w:rFonts w:asciiTheme="minorHAnsi" w:hAnsiTheme="minorHAnsi"/>
        </w:rPr>
        <w:t xml:space="preserve"> </w:t>
      </w:r>
      <w:r w:rsidRPr="00BE6F68">
        <w:rPr>
          <w:rFonts w:asciiTheme="minorHAnsi" w:hAnsiTheme="minorHAnsi"/>
        </w:rPr>
        <w:t>turns this evident difference between items to efficient use</w:t>
      </w:r>
      <w:r w:rsidR="00C940F9" w:rsidRPr="00BE6F68">
        <w:rPr>
          <w:rFonts w:asciiTheme="minorHAnsi" w:hAnsiTheme="minorHAnsi"/>
        </w:rPr>
        <w:t>, as patterning replaces roughness with increasing sample size</w:t>
      </w:r>
      <w:r w:rsidRPr="00BE6F68">
        <w:rPr>
          <w:rFonts w:asciiTheme="minorHAnsi" w:hAnsiTheme="minorHAnsi"/>
        </w:rPr>
        <w:t>.</w:t>
      </w:r>
      <w:r w:rsidR="009C75CD" w:rsidRPr="00BE6F68">
        <w:rPr>
          <w:rFonts w:asciiTheme="minorHAnsi" w:hAnsiTheme="minorHAnsi"/>
        </w:rPr>
        <w:t xml:space="preserve"> </w:t>
      </w:r>
    </w:p>
    <w:p w14:paraId="5859C7B8" w14:textId="4FE13392" w:rsidR="00741325" w:rsidRPr="00BE6F68" w:rsidRDefault="009C75CD" w:rsidP="00BF3020">
      <w:pPr>
        <w:spacing w:line="480" w:lineRule="auto"/>
        <w:jc w:val="both"/>
        <w:rPr>
          <w:rFonts w:asciiTheme="minorHAnsi" w:hAnsiTheme="minorHAnsi"/>
        </w:rPr>
      </w:pPr>
      <w:r w:rsidRPr="00BE6F68">
        <w:rPr>
          <w:rFonts w:asciiTheme="minorHAnsi" w:hAnsiTheme="minorHAnsi"/>
        </w:rPr>
        <w:t>The principle of attending to equal interval measurement as assumed by totalling and other procedures in score derivation is incontestable. More debatable, and demanding impartial follow-up evaluation on a large sample is whether for a given topic factor structure, a given participant sample, the response scale presented, and the sample size available to narrow the errors on the est</w:t>
      </w:r>
      <w:r w:rsidR="00ED1D1A" w:rsidRPr="00BE6F68">
        <w:rPr>
          <w:rFonts w:asciiTheme="minorHAnsi" w:hAnsiTheme="minorHAnsi"/>
        </w:rPr>
        <w:t>imates for rarer levels of resp</w:t>
      </w:r>
      <w:r w:rsidRPr="00BE6F68">
        <w:rPr>
          <w:rFonts w:asciiTheme="minorHAnsi" w:hAnsiTheme="minorHAnsi"/>
        </w:rPr>
        <w:t>onse</w:t>
      </w:r>
      <w:r w:rsidR="00234254">
        <w:rPr>
          <w:rFonts w:asciiTheme="minorHAnsi" w:hAnsiTheme="minorHAnsi"/>
        </w:rPr>
        <w:t>,</w:t>
      </w:r>
      <w:r w:rsidRPr="00BE6F68">
        <w:rPr>
          <w:rFonts w:asciiTheme="minorHAnsi" w:hAnsiTheme="minorHAnsi"/>
        </w:rPr>
        <w:t xml:space="preserve"> the advantages are material enough to be worth pursuing. Having pursued </w:t>
      </w:r>
      <w:r w:rsidRPr="00BE6F68">
        <w:rPr>
          <w:rFonts w:asciiTheme="minorHAnsi" w:hAnsiTheme="minorHAnsi"/>
        </w:rPr>
        <w:lastRenderedPageBreak/>
        <w:t>an optimising approach for a validation criterion measure, the measure from the instrument offered for field use may in fact be simplified once more (eg raw total), having been validated by high correlation with this optimum. Other ev</w:t>
      </w:r>
      <w:r w:rsidR="00ED1D1A" w:rsidRPr="00BE6F68">
        <w:rPr>
          <w:rFonts w:asciiTheme="minorHAnsi" w:hAnsiTheme="minorHAnsi"/>
        </w:rPr>
        <w:t>a</w:t>
      </w:r>
      <w:r w:rsidRPr="00BE6F68">
        <w:rPr>
          <w:rFonts w:asciiTheme="minorHAnsi" w:hAnsiTheme="minorHAnsi"/>
        </w:rPr>
        <w:t>luations than the present one of improving the factor structure are required. Pr</w:t>
      </w:r>
      <w:r w:rsidR="00234254">
        <w:rPr>
          <w:rFonts w:asciiTheme="minorHAnsi" w:hAnsiTheme="minorHAnsi"/>
        </w:rPr>
        <w:t>evious work with a large sample</w:t>
      </w:r>
      <w:r w:rsidR="00234254" w:rsidRPr="00234254">
        <w:rPr>
          <w:rFonts w:asciiTheme="minorHAnsi" w:hAnsiTheme="minorHAnsi"/>
          <w:vertAlign w:val="superscript"/>
        </w:rPr>
        <w:t>20</w:t>
      </w:r>
      <w:r w:rsidR="00234254">
        <w:rPr>
          <w:rFonts w:asciiTheme="minorHAnsi" w:hAnsiTheme="minorHAnsi"/>
        </w:rPr>
        <w:t>,</w:t>
      </w:r>
      <w:r w:rsidRPr="00BE6F68">
        <w:rPr>
          <w:rFonts w:asciiTheme="minorHAnsi" w:hAnsiTheme="minorHAnsi"/>
        </w:rPr>
        <w:t xml:space="preserve"> showed improvement of correlations and improvement of linearity by reduction of </w:t>
      </w:r>
      <w:proofErr w:type="spellStart"/>
      <w:r w:rsidRPr="00BE6F68">
        <w:rPr>
          <w:rFonts w:asciiTheme="minorHAnsi" w:hAnsiTheme="minorHAnsi"/>
        </w:rPr>
        <w:t>ceilng</w:t>
      </w:r>
      <w:proofErr w:type="spellEnd"/>
      <w:r w:rsidRPr="00BE6F68">
        <w:rPr>
          <w:rFonts w:asciiTheme="minorHAnsi" w:hAnsiTheme="minorHAnsi"/>
        </w:rPr>
        <w:t xml:space="preserve"> effects.</w:t>
      </w:r>
      <w:r w:rsidR="00E341EB" w:rsidRPr="00BE6F68">
        <w:rPr>
          <w:rFonts w:asciiTheme="minorHAnsi" w:hAnsiTheme="minorHAnsi"/>
        </w:rPr>
        <w:t xml:space="preserve"> These consideratio</w:t>
      </w:r>
      <w:r w:rsidR="00165629">
        <w:rPr>
          <w:rFonts w:asciiTheme="minorHAnsi" w:hAnsiTheme="minorHAnsi"/>
        </w:rPr>
        <w:t>ns play out in the next additional file</w:t>
      </w:r>
      <w:bookmarkStart w:id="0" w:name="_GoBack"/>
      <w:bookmarkEnd w:id="0"/>
      <w:r w:rsidR="00E341EB" w:rsidRPr="00BE6F68">
        <w:rPr>
          <w:rFonts w:asciiTheme="minorHAnsi" w:hAnsiTheme="minorHAnsi"/>
        </w:rPr>
        <w:t xml:space="preserve"> 2b and Table 3 concerning the choice of factor solution. We envisage re-scaling</w:t>
      </w:r>
      <w:r w:rsidR="00EF3D0A">
        <w:rPr>
          <w:rFonts w:asciiTheme="minorHAnsi" w:hAnsiTheme="minorHAnsi"/>
        </w:rPr>
        <w:t>,</w:t>
      </w:r>
      <w:r w:rsidR="00E341EB" w:rsidRPr="00BE6F68">
        <w:rPr>
          <w:rFonts w:asciiTheme="minorHAnsi" w:hAnsiTheme="minorHAnsi"/>
        </w:rPr>
        <w:t xml:space="preserve"> but with the high-loading items scaled to factors</w:t>
      </w:r>
      <w:r w:rsidR="00EF3D0A">
        <w:rPr>
          <w:rFonts w:asciiTheme="minorHAnsi" w:hAnsiTheme="minorHAnsi"/>
        </w:rPr>
        <w:t>,</w:t>
      </w:r>
      <w:r w:rsidR="00E341EB" w:rsidRPr="00BE6F68">
        <w:rPr>
          <w:rFonts w:asciiTheme="minorHAnsi" w:hAnsiTheme="minorHAnsi"/>
        </w:rPr>
        <w:t xml:space="preserve"> </w:t>
      </w:r>
      <w:r w:rsidR="00ED1D1A" w:rsidRPr="00BE6F68">
        <w:rPr>
          <w:rFonts w:asciiTheme="minorHAnsi" w:hAnsiTheme="minorHAnsi"/>
        </w:rPr>
        <w:t xml:space="preserve">rather than </w:t>
      </w:r>
      <w:r w:rsidR="00C940F9" w:rsidRPr="00BE6F68">
        <w:rPr>
          <w:rFonts w:asciiTheme="minorHAnsi" w:hAnsiTheme="minorHAnsi"/>
        </w:rPr>
        <w:t xml:space="preserve">to </w:t>
      </w:r>
      <w:r w:rsidR="00ED1D1A" w:rsidRPr="00BE6F68">
        <w:rPr>
          <w:rFonts w:asciiTheme="minorHAnsi" w:hAnsiTheme="minorHAnsi"/>
        </w:rPr>
        <w:t>the principal compo</w:t>
      </w:r>
      <w:r w:rsidR="00E341EB" w:rsidRPr="00BE6F68">
        <w:rPr>
          <w:rFonts w:asciiTheme="minorHAnsi" w:hAnsiTheme="minorHAnsi"/>
        </w:rPr>
        <w:t>nent as preliminary total</w:t>
      </w:r>
      <w:r w:rsidR="00EF3D0A">
        <w:rPr>
          <w:rFonts w:asciiTheme="minorHAnsi" w:hAnsiTheme="minorHAnsi"/>
        </w:rPr>
        <w:t>,</w:t>
      </w:r>
      <w:r w:rsidR="00C940F9" w:rsidRPr="00BE6F68">
        <w:rPr>
          <w:rFonts w:asciiTheme="minorHAnsi" w:hAnsiTheme="minorHAnsi"/>
        </w:rPr>
        <w:t xml:space="preserve"> </w:t>
      </w:r>
      <w:r w:rsidR="00EF3D0A">
        <w:rPr>
          <w:rFonts w:asciiTheme="minorHAnsi" w:hAnsiTheme="minorHAnsi"/>
        </w:rPr>
        <w:t>this will become more efficient</w:t>
      </w:r>
      <w:r w:rsidR="00E341EB" w:rsidRPr="00BE6F68">
        <w:rPr>
          <w:rFonts w:asciiTheme="minorHAnsi" w:hAnsiTheme="minorHAnsi"/>
        </w:rPr>
        <w:t xml:space="preserve"> when a</w:t>
      </w:r>
      <w:r w:rsidR="00ED1D1A" w:rsidRPr="00BE6F68">
        <w:rPr>
          <w:rFonts w:asciiTheme="minorHAnsi" w:hAnsiTheme="minorHAnsi"/>
        </w:rPr>
        <w:t xml:space="preserve"> </w:t>
      </w:r>
      <w:r w:rsidR="00E341EB" w:rsidRPr="00BE6F68">
        <w:rPr>
          <w:rFonts w:asciiTheme="minorHAnsi" w:hAnsiTheme="minorHAnsi"/>
        </w:rPr>
        <w:t xml:space="preserve">larger sample reduces the standard errors on the estimates (which provide the scaled values) for the </w:t>
      </w:r>
      <w:proofErr w:type="gramStart"/>
      <w:r w:rsidR="00E341EB" w:rsidRPr="00BE6F68">
        <w:rPr>
          <w:rFonts w:asciiTheme="minorHAnsi" w:hAnsiTheme="minorHAnsi"/>
        </w:rPr>
        <w:t>more rare</w:t>
      </w:r>
      <w:proofErr w:type="gramEnd"/>
      <w:r w:rsidR="00E341EB" w:rsidRPr="00BE6F68">
        <w:rPr>
          <w:rFonts w:asciiTheme="minorHAnsi" w:hAnsiTheme="minorHAnsi"/>
        </w:rPr>
        <w:t xml:space="preserve"> (extreme) </w:t>
      </w:r>
      <w:proofErr w:type="spellStart"/>
      <w:r w:rsidR="00E341EB" w:rsidRPr="00BE6F68">
        <w:rPr>
          <w:rFonts w:asciiTheme="minorHAnsi" w:hAnsiTheme="minorHAnsi"/>
        </w:rPr>
        <w:t>repsonses</w:t>
      </w:r>
      <w:proofErr w:type="spellEnd"/>
      <w:r w:rsidR="00E341EB" w:rsidRPr="00BE6F68">
        <w:rPr>
          <w:rFonts w:asciiTheme="minorHAnsi" w:hAnsiTheme="minorHAnsi"/>
        </w:rPr>
        <w:t>.</w:t>
      </w:r>
    </w:p>
    <w:p w14:paraId="7E459D9B" w14:textId="396B2A5A" w:rsidR="00F5409D" w:rsidRPr="00BE6F68" w:rsidRDefault="00EF3D0A" w:rsidP="00BF3020">
      <w:pPr>
        <w:spacing w:line="480" w:lineRule="auto"/>
        <w:rPr>
          <w:rFonts w:asciiTheme="minorHAnsi" w:hAnsiTheme="minorHAnsi"/>
          <w:b/>
        </w:rPr>
      </w:pPr>
      <w:r>
        <w:rPr>
          <w:rFonts w:asciiTheme="minorHAnsi" w:hAnsiTheme="minorHAnsi"/>
          <w:b/>
        </w:rPr>
        <w:t>Additional file</w:t>
      </w:r>
      <w:r w:rsidR="00ED1D1A" w:rsidRPr="00BE6F68">
        <w:rPr>
          <w:rFonts w:asciiTheme="minorHAnsi" w:hAnsiTheme="minorHAnsi"/>
          <w:b/>
        </w:rPr>
        <w:t xml:space="preserve"> 2b. </w:t>
      </w:r>
      <w:r w:rsidR="00853892" w:rsidRPr="00BE6F68">
        <w:rPr>
          <w:rFonts w:asciiTheme="minorHAnsi" w:hAnsiTheme="minorHAnsi"/>
          <w:b/>
        </w:rPr>
        <w:t>Factor loading patterns summarising factor solutions from 1</w:t>
      </w:r>
      <w:r w:rsidR="00853892" w:rsidRPr="00BE6F68">
        <w:rPr>
          <w:rFonts w:asciiTheme="minorHAnsi" w:hAnsiTheme="minorHAnsi"/>
          <w:b/>
          <w:vertAlign w:val="superscript"/>
        </w:rPr>
        <w:t>st</w:t>
      </w:r>
      <w:r w:rsidR="00853892" w:rsidRPr="00BE6F68">
        <w:rPr>
          <w:rFonts w:asciiTheme="minorHAnsi" w:hAnsiTheme="minorHAnsi"/>
          <w:b/>
        </w:rPr>
        <w:t xml:space="preserve"> and 2</w:t>
      </w:r>
      <w:r w:rsidR="00853892" w:rsidRPr="00BE6F68">
        <w:rPr>
          <w:rFonts w:asciiTheme="minorHAnsi" w:hAnsiTheme="minorHAnsi"/>
          <w:b/>
          <w:vertAlign w:val="superscript"/>
        </w:rPr>
        <w:t>nd</w:t>
      </w:r>
      <w:r w:rsidR="00853892" w:rsidRPr="00BE6F68">
        <w:rPr>
          <w:rFonts w:asciiTheme="minorHAnsi" w:hAnsiTheme="minorHAnsi"/>
          <w:b/>
        </w:rPr>
        <w:t xml:space="preserve"> visit d</w:t>
      </w:r>
      <w:r w:rsidR="00E41734" w:rsidRPr="00BE6F68">
        <w:rPr>
          <w:rFonts w:asciiTheme="minorHAnsi" w:hAnsiTheme="minorHAnsi"/>
          <w:b/>
        </w:rPr>
        <w:t>ata and their average</w:t>
      </w:r>
    </w:p>
    <w:tbl>
      <w:tblPr>
        <w:tblW w:w="9320" w:type="dxa"/>
        <w:tblInd w:w="93" w:type="dxa"/>
        <w:tblLook w:val="04A0" w:firstRow="1" w:lastRow="0" w:firstColumn="1" w:lastColumn="0" w:noHBand="0" w:noVBand="1"/>
      </w:tblPr>
      <w:tblGrid>
        <w:gridCol w:w="440"/>
        <w:gridCol w:w="700"/>
        <w:gridCol w:w="700"/>
        <w:gridCol w:w="700"/>
        <w:gridCol w:w="679"/>
        <w:gridCol w:w="698"/>
        <w:gridCol w:w="698"/>
        <w:gridCol w:w="679"/>
        <w:gridCol w:w="691"/>
        <w:gridCol w:w="691"/>
        <w:gridCol w:w="700"/>
        <w:gridCol w:w="700"/>
        <w:gridCol w:w="700"/>
        <w:gridCol w:w="700"/>
      </w:tblGrid>
      <w:tr w:rsidR="00623B6F" w:rsidRPr="00BE6F68" w14:paraId="7E9C09AA" w14:textId="77777777" w:rsidTr="00F514B8">
        <w:trPr>
          <w:trHeight w:val="255"/>
        </w:trPr>
        <w:tc>
          <w:tcPr>
            <w:tcW w:w="400" w:type="dxa"/>
            <w:tcBorders>
              <w:top w:val="single" w:sz="4" w:space="0" w:color="auto"/>
              <w:left w:val="single" w:sz="4" w:space="0" w:color="auto"/>
              <w:bottom w:val="nil"/>
              <w:right w:val="single" w:sz="4" w:space="0" w:color="auto"/>
            </w:tcBorders>
            <w:shd w:val="clear" w:color="auto" w:fill="auto"/>
            <w:noWrap/>
            <w:vAlign w:val="bottom"/>
            <w:hideMark/>
          </w:tcPr>
          <w:p w14:paraId="517F2C03" w14:textId="77777777" w:rsidR="00623B6F" w:rsidRPr="00BE6F68" w:rsidRDefault="00623B6F" w:rsidP="00BF3020">
            <w:pPr>
              <w:spacing w:after="0" w:line="480" w:lineRule="auto"/>
              <w:rPr>
                <w:rFonts w:asciiTheme="minorHAnsi" w:eastAsia="Times New Roman" w:hAnsiTheme="minorHAnsi"/>
                <w:color w:val="000000"/>
                <w:lang w:eastAsia="en-GB"/>
              </w:rPr>
            </w:pPr>
            <w:r w:rsidRPr="00BE6F68">
              <w:rPr>
                <w:rFonts w:asciiTheme="minorHAnsi" w:eastAsia="Times New Roman" w:hAnsiTheme="minorHAnsi"/>
                <w:color w:val="000000"/>
                <w:lang w:eastAsia="en-GB"/>
              </w:rPr>
              <w:t> </w:t>
            </w:r>
          </w:p>
        </w:tc>
        <w:tc>
          <w:tcPr>
            <w:tcW w:w="2100" w:type="dxa"/>
            <w:gridSpan w:val="3"/>
            <w:tcBorders>
              <w:top w:val="single" w:sz="4" w:space="0" w:color="auto"/>
              <w:left w:val="nil"/>
              <w:bottom w:val="single" w:sz="4" w:space="0" w:color="auto"/>
              <w:right w:val="single" w:sz="12" w:space="0" w:color="000000"/>
            </w:tcBorders>
            <w:shd w:val="clear" w:color="auto" w:fill="auto"/>
            <w:noWrap/>
            <w:vAlign w:val="bottom"/>
            <w:hideMark/>
          </w:tcPr>
          <w:p w14:paraId="16C85B24"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V1 3-FAC</w:t>
            </w:r>
          </w:p>
        </w:tc>
        <w:tc>
          <w:tcPr>
            <w:tcW w:w="2020" w:type="dxa"/>
            <w:gridSpan w:val="3"/>
            <w:tcBorders>
              <w:top w:val="single" w:sz="4" w:space="0" w:color="auto"/>
              <w:left w:val="nil"/>
              <w:bottom w:val="single" w:sz="4" w:space="0" w:color="auto"/>
              <w:right w:val="single" w:sz="12" w:space="0" w:color="000000"/>
            </w:tcBorders>
            <w:shd w:val="clear" w:color="auto" w:fill="auto"/>
            <w:noWrap/>
            <w:vAlign w:val="bottom"/>
            <w:hideMark/>
          </w:tcPr>
          <w:p w14:paraId="1F5D24B5" w14:textId="115A9877" w:rsidR="00623B6F" w:rsidRPr="00BE6F68" w:rsidRDefault="001347C4" w:rsidP="00BF3020">
            <w:pPr>
              <w:spacing w:after="0" w:line="480" w:lineRule="auto"/>
              <w:jc w:val="center"/>
              <w:rPr>
                <w:rFonts w:asciiTheme="minorHAnsi" w:eastAsia="Times New Roman" w:hAnsiTheme="minorHAnsi"/>
                <w:b/>
                <w:bCs/>
                <w:color w:val="000000"/>
                <w:lang w:eastAsia="en-GB"/>
              </w:rPr>
            </w:pPr>
            <w:r>
              <w:rPr>
                <w:rFonts w:asciiTheme="minorHAnsi" w:eastAsia="Times New Roman" w:hAnsiTheme="minorHAnsi"/>
                <w:b/>
                <w:bCs/>
                <w:color w:val="000000"/>
                <w:lang w:eastAsia="en-GB"/>
              </w:rPr>
              <w:t xml:space="preserve">V2 </w:t>
            </w:r>
            <w:r w:rsidR="00623B6F" w:rsidRPr="00BE6F68">
              <w:rPr>
                <w:rFonts w:asciiTheme="minorHAnsi" w:eastAsia="Times New Roman" w:hAnsiTheme="minorHAnsi"/>
                <w:b/>
                <w:bCs/>
                <w:color w:val="000000"/>
                <w:lang w:eastAsia="en-GB"/>
              </w:rPr>
              <w:t>3-FAC</w:t>
            </w:r>
          </w:p>
        </w:tc>
        <w:tc>
          <w:tcPr>
            <w:tcW w:w="2000" w:type="dxa"/>
            <w:gridSpan w:val="3"/>
            <w:tcBorders>
              <w:top w:val="single" w:sz="4" w:space="0" w:color="auto"/>
              <w:left w:val="nil"/>
              <w:bottom w:val="single" w:sz="4" w:space="0" w:color="auto"/>
              <w:right w:val="single" w:sz="12" w:space="0" w:color="000000"/>
            </w:tcBorders>
            <w:shd w:val="clear" w:color="auto" w:fill="auto"/>
            <w:noWrap/>
            <w:vAlign w:val="bottom"/>
            <w:hideMark/>
          </w:tcPr>
          <w:p w14:paraId="5356092C"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V12 average 3-FAC</w:t>
            </w:r>
          </w:p>
        </w:tc>
        <w:tc>
          <w:tcPr>
            <w:tcW w:w="280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6AAB98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V12 average 4-FAC</w:t>
            </w:r>
          </w:p>
        </w:tc>
      </w:tr>
      <w:tr w:rsidR="00623B6F" w:rsidRPr="00BE6F68" w14:paraId="421E5D95" w14:textId="77777777" w:rsidTr="00F514B8">
        <w:trPr>
          <w:trHeight w:val="25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C39B"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Q</w:t>
            </w:r>
          </w:p>
        </w:tc>
        <w:tc>
          <w:tcPr>
            <w:tcW w:w="700" w:type="dxa"/>
            <w:tcBorders>
              <w:top w:val="nil"/>
              <w:left w:val="nil"/>
              <w:bottom w:val="single" w:sz="4" w:space="0" w:color="auto"/>
              <w:right w:val="nil"/>
            </w:tcBorders>
            <w:shd w:val="clear" w:color="auto" w:fill="auto"/>
            <w:noWrap/>
            <w:vAlign w:val="bottom"/>
            <w:hideMark/>
          </w:tcPr>
          <w:p w14:paraId="00FBED1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FAC1</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C39F1D"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FAC2</w:t>
            </w:r>
          </w:p>
        </w:tc>
        <w:tc>
          <w:tcPr>
            <w:tcW w:w="700" w:type="dxa"/>
            <w:tcBorders>
              <w:top w:val="nil"/>
              <w:left w:val="nil"/>
              <w:bottom w:val="single" w:sz="4" w:space="0" w:color="auto"/>
              <w:right w:val="single" w:sz="12" w:space="0" w:color="auto"/>
            </w:tcBorders>
            <w:shd w:val="clear" w:color="auto" w:fill="auto"/>
            <w:noWrap/>
            <w:vAlign w:val="bottom"/>
            <w:hideMark/>
          </w:tcPr>
          <w:p w14:paraId="7ABBFCDD"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 xml:space="preserve">FAC3 </w:t>
            </w:r>
          </w:p>
        </w:tc>
        <w:tc>
          <w:tcPr>
            <w:tcW w:w="624" w:type="dxa"/>
            <w:tcBorders>
              <w:top w:val="nil"/>
              <w:left w:val="nil"/>
              <w:bottom w:val="single" w:sz="4" w:space="0" w:color="auto"/>
              <w:right w:val="nil"/>
            </w:tcBorders>
            <w:shd w:val="clear" w:color="auto" w:fill="auto"/>
            <w:noWrap/>
            <w:vAlign w:val="bottom"/>
            <w:hideMark/>
          </w:tcPr>
          <w:p w14:paraId="18E0B415"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FAC1</w:t>
            </w:r>
          </w:p>
        </w:tc>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7F693E9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FAC2</w:t>
            </w:r>
          </w:p>
        </w:tc>
        <w:tc>
          <w:tcPr>
            <w:tcW w:w="698" w:type="dxa"/>
            <w:tcBorders>
              <w:top w:val="nil"/>
              <w:left w:val="nil"/>
              <w:bottom w:val="single" w:sz="4" w:space="0" w:color="auto"/>
              <w:right w:val="single" w:sz="12" w:space="0" w:color="auto"/>
            </w:tcBorders>
            <w:shd w:val="clear" w:color="auto" w:fill="auto"/>
            <w:noWrap/>
            <w:vAlign w:val="bottom"/>
            <w:hideMark/>
          </w:tcPr>
          <w:p w14:paraId="039383E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 xml:space="preserve">FAC3 </w:t>
            </w:r>
          </w:p>
        </w:tc>
        <w:tc>
          <w:tcPr>
            <w:tcW w:w="618" w:type="dxa"/>
            <w:tcBorders>
              <w:top w:val="nil"/>
              <w:left w:val="nil"/>
              <w:bottom w:val="single" w:sz="4" w:space="0" w:color="auto"/>
              <w:right w:val="nil"/>
            </w:tcBorders>
            <w:shd w:val="clear" w:color="auto" w:fill="auto"/>
            <w:noWrap/>
            <w:vAlign w:val="bottom"/>
            <w:hideMark/>
          </w:tcPr>
          <w:p w14:paraId="4D37BC09"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FAC1</w:t>
            </w:r>
          </w:p>
        </w:tc>
        <w:tc>
          <w:tcPr>
            <w:tcW w:w="691" w:type="dxa"/>
            <w:tcBorders>
              <w:top w:val="nil"/>
              <w:left w:val="single" w:sz="4" w:space="0" w:color="auto"/>
              <w:bottom w:val="single" w:sz="4" w:space="0" w:color="auto"/>
              <w:right w:val="single" w:sz="4" w:space="0" w:color="auto"/>
            </w:tcBorders>
            <w:shd w:val="clear" w:color="auto" w:fill="auto"/>
            <w:noWrap/>
            <w:vAlign w:val="bottom"/>
            <w:hideMark/>
          </w:tcPr>
          <w:p w14:paraId="6E3588EC"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FAC2</w:t>
            </w:r>
          </w:p>
        </w:tc>
        <w:tc>
          <w:tcPr>
            <w:tcW w:w="691" w:type="dxa"/>
            <w:tcBorders>
              <w:top w:val="nil"/>
              <w:left w:val="nil"/>
              <w:bottom w:val="single" w:sz="4" w:space="0" w:color="auto"/>
              <w:right w:val="single" w:sz="12" w:space="0" w:color="auto"/>
            </w:tcBorders>
            <w:shd w:val="clear" w:color="auto" w:fill="auto"/>
            <w:noWrap/>
            <w:vAlign w:val="bottom"/>
            <w:hideMark/>
          </w:tcPr>
          <w:p w14:paraId="16D2B5E8"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 xml:space="preserve">FAC3 </w:t>
            </w:r>
          </w:p>
        </w:tc>
        <w:tc>
          <w:tcPr>
            <w:tcW w:w="700" w:type="dxa"/>
            <w:tcBorders>
              <w:top w:val="nil"/>
              <w:left w:val="nil"/>
              <w:bottom w:val="single" w:sz="4" w:space="0" w:color="auto"/>
              <w:right w:val="nil"/>
            </w:tcBorders>
            <w:shd w:val="clear" w:color="auto" w:fill="auto"/>
            <w:noWrap/>
            <w:vAlign w:val="bottom"/>
            <w:hideMark/>
          </w:tcPr>
          <w:p w14:paraId="2C99359D"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FAC1</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AA8195"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FAC2</w:t>
            </w:r>
          </w:p>
        </w:tc>
        <w:tc>
          <w:tcPr>
            <w:tcW w:w="700" w:type="dxa"/>
            <w:tcBorders>
              <w:top w:val="nil"/>
              <w:left w:val="nil"/>
              <w:bottom w:val="single" w:sz="4" w:space="0" w:color="auto"/>
              <w:right w:val="single" w:sz="4" w:space="0" w:color="auto"/>
            </w:tcBorders>
            <w:shd w:val="clear" w:color="auto" w:fill="auto"/>
            <w:noWrap/>
            <w:vAlign w:val="bottom"/>
            <w:hideMark/>
          </w:tcPr>
          <w:p w14:paraId="0439F7C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 xml:space="preserve">FAC3 </w:t>
            </w:r>
          </w:p>
        </w:tc>
        <w:tc>
          <w:tcPr>
            <w:tcW w:w="700" w:type="dxa"/>
            <w:tcBorders>
              <w:top w:val="nil"/>
              <w:left w:val="nil"/>
              <w:bottom w:val="single" w:sz="4" w:space="0" w:color="auto"/>
              <w:right w:val="single" w:sz="4" w:space="0" w:color="auto"/>
            </w:tcBorders>
            <w:shd w:val="clear" w:color="auto" w:fill="auto"/>
            <w:noWrap/>
            <w:vAlign w:val="bottom"/>
            <w:hideMark/>
          </w:tcPr>
          <w:p w14:paraId="3EE3BEE0"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FAC4</w:t>
            </w:r>
          </w:p>
        </w:tc>
      </w:tr>
      <w:tr w:rsidR="00623B6F" w:rsidRPr="00BE6F68" w14:paraId="3C5E90BF"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21F8FE8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1</w:t>
            </w:r>
          </w:p>
        </w:tc>
        <w:tc>
          <w:tcPr>
            <w:tcW w:w="700" w:type="dxa"/>
            <w:tcBorders>
              <w:top w:val="nil"/>
              <w:left w:val="single" w:sz="4" w:space="0" w:color="auto"/>
              <w:bottom w:val="nil"/>
              <w:right w:val="single" w:sz="4" w:space="0" w:color="000000"/>
            </w:tcBorders>
            <w:shd w:val="clear" w:color="auto" w:fill="auto"/>
            <w:noWrap/>
            <w:vAlign w:val="center"/>
            <w:hideMark/>
          </w:tcPr>
          <w:p w14:paraId="6849ACB4"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.199</w:t>
            </w:r>
          </w:p>
        </w:tc>
        <w:tc>
          <w:tcPr>
            <w:tcW w:w="700" w:type="dxa"/>
            <w:tcBorders>
              <w:top w:val="nil"/>
              <w:left w:val="nil"/>
              <w:bottom w:val="nil"/>
              <w:right w:val="single" w:sz="4" w:space="0" w:color="000000"/>
            </w:tcBorders>
            <w:shd w:val="clear" w:color="auto" w:fill="auto"/>
            <w:noWrap/>
            <w:vAlign w:val="center"/>
            <w:hideMark/>
          </w:tcPr>
          <w:p w14:paraId="6D73548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.242</w:t>
            </w:r>
          </w:p>
        </w:tc>
        <w:tc>
          <w:tcPr>
            <w:tcW w:w="700" w:type="dxa"/>
            <w:tcBorders>
              <w:top w:val="nil"/>
              <w:left w:val="nil"/>
              <w:bottom w:val="nil"/>
              <w:right w:val="single" w:sz="12" w:space="0" w:color="000000"/>
            </w:tcBorders>
            <w:shd w:val="clear" w:color="auto" w:fill="auto"/>
            <w:noWrap/>
            <w:vAlign w:val="center"/>
            <w:hideMark/>
          </w:tcPr>
          <w:p w14:paraId="7C7F72EC"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.669</w:t>
            </w:r>
          </w:p>
        </w:tc>
        <w:tc>
          <w:tcPr>
            <w:tcW w:w="624" w:type="dxa"/>
            <w:tcBorders>
              <w:top w:val="nil"/>
              <w:left w:val="nil"/>
              <w:bottom w:val="nil"/>
              <w:right w:val="single" w:sz="4" w:space="0" w:color="000000"/>
            </w:tcBorders>
            <w:shd w:val="clear" w:color="auto" w:fill="auto"/>
            <w:noWrap/>
            <w:vAlign w:val="center"/>
            <w:hideMark/>
          </w:tcPr>
          <w:p w14:paraId="4068AF8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.251</w:t>
            </w:r>
          </w:p>
        </w:tc>
        <w:tc>
          <w:tcPr>
            <w:tcW w:w="698" w:type="dxa"/>
            <w:tcBorders>
              <w:top w:val="nil"/>
              <w:left w:val="nil"/>
              <w:bottom w:val="nil"/>
              <w:right w:val="single" w:sz="4" w:space="0" w:color="000000"/>
            </w:tcBorders>
            <w:shd w:val="clear" w:color="auto" w:fill="auto"/>
            <w:noWrap/>
            <w:vAlign w:val="center"/>
            <w:hideMark/>
          </w:tcPr>
          <w:p w14:paraId="0B21FE19"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.168</w:t>
            </w:r>
          </w:p>
        </w:tc>
        <w:tc>
          <w:tcPr>
            <w:tcW w:w="698" w:type="dxa"/>
            <w:tcBorders>
              <w:top w:val="nil"/>
              <w:left w:val="nil"/>
              <w:bottom w:val="nil"/>
              <w:right w:val="single" w:sz="12" w:space="0" w:color="000000"/>
            </w:tcBorders>
            <w:shd w:val="clear" w:color="auto" w:fill="auto"/>
            <w:noWrap/>
            <w:vAlign w:val="center"/>
            <w:hideMark/>
          </w:tcPr>
          <w:p w14:paraId="321DBFD4"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.732</w:t>
            </w:r>
          </w:p>
        </w:tc>
        <w:tc>
          <w:tcPr>
            <w:tcW w:w="618" w:type="dxa"/>
            <w:tcBorders>
              <w:top w:val="nil"/>
              <w:left w:val="nil"/>
              <w:bottom w:val="nil"/>
              <w:right w:val="single" w:sz="4" w:space="0" w:color="000000"/>
            </w:tcBorders>
            <w:shd w:val="clear" w:color="auto" w:fill="auto"/>
            <w:noWrap/>
            <w:vAlign w:val="center"/>
            <w:hideMark/>
          </w:tcPr>
          <w:p w14:paraId="3A54EB14"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.222</w:t>
            </w:r>
          </w:p>
        </w:tc>
        <w:tc>
          <w:tcPr>
            <w:tcW w:w="691" w:type="dxa"/>
            <w:tcBorders>
              <w:top w:val="nil"/>
              <w:left w:val="nil"/>
              <w:bottom w:val="nil"/>
              <w:right w:val="single" w:sz="4" w:space="0" w:color="000000"/>
            </w:tcBorders>
            <w:shd w:val="clear" w:color="auto" w:fill="auto"/>
            <w:noWrap/>
            <w:vAlign w:val="center"/>
            <w:hideMark/>
          </w:tcPr>
          <w:p w14:paraId="66CB278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.221</w:t>
            </w:r>
          </w:p>
        </w:tc>
        <w:tc>
          <w:tcPr>
            <w:tcW w:w="691" w:type="dxa"/>
            <w:tcBorders>
              <w:top w:val="nil"/>
              <w:left w:val="nil"/>
              <w:bottom w:val="nil"/>
              <w:right w:val="single" w:sz="12" w:space="0" w:color="000000"/>
            </w:tcBorders>
            <w:shd w:val="clear" w:color="auto" w:fill="auto"/>
            <w:noWrap/>
            <w:vAlign w:val="center"/>
            <w:hideMark/>
          </w:tcPr>
          <w:p w14:paraId="1AB8F210"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.705</w:t>
            </w:r>
          </w:p>
        </w:tc>
        <w:tc>
          <w:tcPr>
            <w:tcW w:w="700" w:type="dxa"/>
            <w:tcBorders>
              <w:top w:val="nil"/>
              <w:left w:val="nil"/>
              <w:bottom w:val="nil"/>
              <w:right w:val="single" w:sz="4" w:space="0" w:color="000000"/>
            </w:tcBorders>
            <w:shd w:val="clear" w:color="auto" w:fill="auto"/>
            <w:noWrap/>
            <w:vAlign w:val="center"/>
            <w:hideMark/>
          </w:tcPr>
          <w:p w14:paraId="442B1F3D"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.319</w:t>
            </w:r>
          </w:p>
        </w:tc>
        <w:tc>
          <w:tcPr>
            <w:tcW w:w="700" w:type="dxa"/>
            <w:tcBorders>
              <w:top w:val="nil"/>
              <w:left w:val="nil"/>
              <w:bottom w:val="nil"/>
              <w:right w:val="single" w:sz="4" w:space="0" w:color="000000"/>
            </w:tcBorders>
            <w:shd w:val="clear" w:color="auto" w:fill="auto"/>
            <w:noWrap/>
            <w:vAlign w:val="center"/>
            <w:hideMark/>
          </w:tcPr>
          <w:p w14:paraId="455A2F51"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.250</w:t>
            </w:r>
          </w:p>
        </w:tc>
        <w:tc>
          <w:tcPr>
            <w:tcW w:w="700" w:type="dxa"/>
            <w:tcBorders>
              <w:top w:val="nil"/>
              <w:left w:val="nil"/>
              <w:bottom w:val="nil"/>
              <w:right w:val="single" w:sz="4" w:space="0" w:color="000000"/>
            </w:tcBorders>
            <w:shd w:val="clear" w:color="auto" w:fill="auto"/>
            <w:noWrap/>
            <w:vAlign w:val="center"/>
            <w:hideMark/>
          </w:tcPr>
          <w:p w14:paraId="2FD60D32"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.686</w:t>
            </w:r>
          </w:p>
        </w:tc>
        <w:tc>
          <w:tcPr>
            <w:tcW w:w="700" w:type="dxa"/>
            <w:tcBorders>
              <w:top w:val="nil"/>
              <w:left w:val="nil"/>
              <w:bottom w:val="nil"/>
              <w:right w:val="single" w:sz="4" w:space="0" w:color="auto"/>
            </w:tcBorders>
            <w:shd w:val="clear" w:color="auto" w:fill="auto"/>
            <w:noWrap/>
            <w:vAlign w:val="center"/>
            <w:hideMark/>
          </w:tcPr>
          <w:p w14:paraId="41C4F7AD"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-.021</w:t>
            </w:r>
          </w:p>
        </w:tc>
      </w:tr>
      <w:tr w:rsidR="00623B6F" w:rsidRPr="00BE6F68" w14:paraId="5C28E97A"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12E3D49E"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2</w:t>
            </w:r>
          </w:p>
        </w:tc>
        <w:tc>
          <w:tcPr>
            <w:tcW w:w="700" w:type="dxa"/>
            <w:tcBorders>
              <w:top w:val="nil"/>
              <w:left w:val="single" w:sz="4" w:space="0" w:color="auto"/>
              <w:bottom w:val="nil"/>
              <w:right w:val="single" w:sz="4" w:space="0" w:color="000000"/>
            </w:tcBorders>
            <w:shd w:val="clear" w:color="auto" w:fill="auto"/>
            <w:noWrap/>
            <w:vAlign w:val="center"/>
            <w:hideMark/>
          </w:tcPr>
          <w:p w14:paraId="49607416"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.151</w:t>
            </w:r>
          </w:p>
        </w:tc>
        <w:tc>
          <w:tcPr>
            <w:tcW w:w="700" w:type="dxa"/>
            <w:tcBorders>
              <w:top w:val="nil"/>
              <w:left w:val="nil"/>
              <w:bottom w:val="nil"/>
              <w:right w:val="single" w:sz="4" w:space="0" w:color="000000"/>
            </w:tcBorders>
            <w:shd w:val="clear" w:color="auto" w:fill="auto"/>
            <w:noWrap/>
            <w:vAlign w:val="center"/>
            <w:hideMark/>
          </w:tcPr>
          <w:p w14:paraId="14523CC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-.012</w:t>
            </w:r>
          </w:p>
        </w:tc>
        <w:tc>
          <w:tcPr>
            <w:tcW w:w="700" w:type="dxa"/>
            <w:tcBorders>
              <w:top w:val="nil"/>
              <w:left w:val="nil"/>
              <w:bottom w:val="nil"/>
              <w:right w:val="single" w:sz="12" w:space="0" w:color="000000"/>
            </w:tcBorders>
            <w:shd w:val="clear" w:color="auto" w:fill="auto"/>
            <w:noWrap/>
            <w:vAlign w:val="center"/>
            <w:hideMark/>
          </w:tcPr>
          <w:p w14:paraId="31F3188E"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.764</w:t>
            </w:r>
          </w:p>
        </w:tc>
        <w:tc>
          <w:tcPr>
            <w:tcW w:w="624" w:type="dxa"/>
            <w:tcBorders>
              <w:top w:val="nil"/>
              <w:left w:val="nil"/>
              <w:bottom w:val="nil"/>
              <w:right w:val="single" w:sz="4" w:space="0" w:color="000000"/>
            </w:tcBorders>
            <w:shd w:val="clear" w:color="auto" w:fill="auto"/>
            <w:noWrap/>
            <w:vAlign w:val="center"/>
            <w:hideMark/>
          </w:tcPr>
          <w:p w14:paraId="5601CD2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.081</w:t>
            </w:r>
          </w:p>
        </w:tc>
        <w:tc>
          <w:tcPr>
            <w:tcW w:w="698" w:type="dxa"/>
            <w:tcBorders>
              <w:top w:val="nil"/>
              <w:left w:val="nil"/>
              <w:bottom w:val="nil"/>
              <w:right w:val="single" w:sz="4" w:space="0" w:color="000000"/>
            </w:tcBorders>
            <w:shd w:val="clear" w:color="auto" w:fill="auto"/>
            <w:noWrap/>
            <w:vAlign w:val="center"/>
            <w:hideMark/>
          </w:tcPr>
          <w:p w14:paraId="1E27917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.146</w:t>
            </w:r>
          </w:p>
        </w:tc>
        <w:tc>
          <w:tcPr>
            <w:tcW w:w="698" w:type="dxa"/>
            <w:tcBorders>
              <w:top w:val="nil"/>
              <w:left w:val="nil"/>
              <w:bottom w:val="nil"/>
              <w:right w:val="single" w:sz="12" w:space="0" w:color="000000"/>
            </w:tcBorders>
            <w:shd w:val="clear" w:color="auto" w:fill="auto"/>
            <w:noWrap/>
            <w:vAlign w:val="center"/>
            <w:hideMark/>
          </w:tcPr>
          <w:p w14:paraId="6F04E662"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.791</w:t>
            </w:r>
          </w:p>
        </w:tc>
        <w:tc>
          <w:tcPr>
            <w:tcW w:w="618" w:type="dxa"/>
            <w:tcBorders>
              <w:top w:val="nil"/>
              <w:left w:val="nil"/>
              <w:bottom w:val="nil"/>
              <w:right w:val="single" w:sz="4" w:space="0" w:color="000000"/>
            </w:tcBorders>
            <w:shd w:val="clear" w:color="auto" w:fill="auto"/>
            <w:noWrap/>
            <w:vAlign w:val="center"/>
            <w:hideMark/>
          </w:tcPr>
          <w:p w14:paraId="2A07417A"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.120</w:t>
            </w:r>
          </w:p>
        </w:tc>
        <w:tc>
          <w:tcPr>
            <w:tcW w:w="691" w:type="dxa"/>
            <w:tcBorders>
              <w:top w:val="nil"/>
              <w:left w:val="nil"/>
              <w:bottom w:val="nil"/>
              <w:right w:val="single" w:sz="4" w:space="0" w:color="000000"/>
            </w:tcBorders>
            <w:shd w:val="clear" w:color="auto" w:fill="auto"/>
            <w:noWrap/>
            <w:vAlign w:val="center"/>
            <w:hideMark/>
          </w:tcPr>
          <w:p w14:paraId="7367B32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.073</w:t>
            </w:r>
          </w:p>
        </w:tc>
        <w:tc>
          <w:tcPr>
            <w:tcW w:w="691" w:type="dxa"/>
            <w:tcBorders>
              <w:top w:val="nil"/>
              <w:left w:val="nil"/>
              <w:bottom w:val="nil"/>
              <w:right w:val="single" w:sz="12" w:space="0" w:color="000000"/>
            </w:tcBorders>
            <w:shd w:val="clear" w:color="auto" w:fill="auto"/>
            <w:noWrap/>
            <w:vAlign w:val="center"/>
            <w:hideMark/>
          </w:tcPr>
          <w:p w14:paraId="6C516E42"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.791</w:t>
            </w:r>
          </w:p>
        </w:tc>
        <w:tc>
          <w:tcPr>
            <w:tcW w:w="700" w:type="dxa"/>
            <w:tcBorders>
              <w:top w:val="nil"/>
              <w:left w:val="nil"/>
              <w:bottom w:val="nil"/>
              <w:right w:val="single" w:sz="4" w:space="0" w:color="000000"/>
            </w:tcBorders>
            <w:shd w:val="clear" w:color="auto" w:fill="auto"/>
            <w:noWrap/>
            <w:vAlign w:val="center"/>
            <w:hideMark/>
          </w:tcPr>
          <w:p w14:paraId="0AFFBAB6"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.191</w:t>
            </w:r>
          </w:p>
        </w:tc>
        <w:tc>
          <w:tcPr>
            <w:tcW w:w="700" w:type="dxa"/>
            <w:tcBorders>
              <w:top w:val="nil"/>
              <w:left w:val="nil"/>
              <w:bottom w:val="nil"/>
              <w:right w:val="single" w:sz="4" w:space="0" w:color="000000"/>
            </w:tcBorders>
            <w:shd w:val="clear" w:color="auto" w:fill="auto"/>
            <w:noWrap/>
            <w:vAlign w:val="center"/>
            <w:hideMark/>
          </w:tcPr>
          <w:p w14:paraId="0FAA9EC7"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.079</w:t>
            </w:r>
          </w:p>
        </w:tc>
        <w:tc>
          <w:tcPr>
            <w:tcW w:w="700" w:type="dxa"/>
            <w:tcBorders>
              <w:top w:val="nil"/>
              <w:left w:val="nil"/>
              <w:bottom w:val="nil"/>
              <w:right w:val="single" w:sz="4" w:space="0" w:color="000000"/>
            </w:tcBorders>
            <w:shd w:val="clear" w:color="auto" w:fill="auto"/>
            <w:noWrap/>
            <w:vAlign w:val="center"/>
            <w:hideMark/>
          </w:tcPr>
          <w:p w14:paraId="1F99F6C9"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.781</w:t>
            </w:r>
          </w:p>
        </w:tc>
        <w:tc>
          <w:tcPr>
            <w:tcW w:w="700" w:type="dxa"/>
            <w:tcBorders>
              <w:top w:val="nil"/>
              <w:left w:val="nil"/>
              <w:bottom w:val="nil"/>
              <w:right w:val="single" w:sz="4" w:space="0" w:color="auto"/>
            </w:tcBorders>
            <w:shd w:val="clear" w:color="auto" w:fill="auto"/>
            <w:noWrap/>
            <w:vAlign w:val="center"/>
            <w:hideMark/>
          </w:tcPr>
          <w:p w14:paraId="709D433A"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-.013</w:t>
            </w:r>
          </w:p>
        </w:tc>
      </w:tr>
      <w:tr w:rsidR="00623B6F" w:rsidRPr="00BE6F68" w14:paraId="3D0B7599"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2891CC42"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3</w:t>
            </w:r>
          </w:p>
        </w:tc>
        <w:tc>
          <w:tcPr>
            <w:tcW w:w="700" w:type="dxa"/>
            <w:tcBorders>
              <w:top w:val="nil"/>
              <w:left w:val="single" w:sz="4" w:space="0" w:color="auto"/>
              <w:bottom w:val="nil"/>
              <w:right w:val="single" w:sz="4" w:space="0" w:color="000000"/>
            </w:tcBorders>
            <w:shd w:val="clear" w:color="auto" w:fill="auto"/>
            <w:noWrap/>
            <w:vAlign w:val="center"/>
            <w:hideMark/>
          </w:tcPr>
          <w:p w14:paraId="7C55B8C5"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.147</w:t>
            </w:r>
          </w:p>
        </w:tc>
        <w:tc>
          <w:tcPr>
            <w:tcW w:w="700" w:type="dxa"/>
            <w:tcBorders>
              <w:top w:val="nil"/>
              <w:left w:val="nil"/>
              <w:bottom w:val="nil"/>
              <w:right w:val="single" w:sz="4" w:space="0" w:color="000000"/>
            </w:tcBorders>
            <w:shd w:val="clear" w:color="auto" w:fill="auto"/>
            <w:noWrap/>
            <w:vAlign w:val="center"/>
            <w:hideMark/>
          </w:tcPr>
          <w:p w14:paraId="7F9E51A0"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.874</w:t>
            </w:r>
          </w:p>
        </w:tc>
        <w:tc>
          <w:tcPr>
            <w:tcW w:w="700" w:type="dxa"/>
            <w:tcBorders>
              <w:top w:val="nil"/>
              <w:left w:val="nil"/>
              <w:bottom w:val="nil"/>
              <w:right w:val="single" w:sz="12" w:space="0" w:color="000000"/>
            </w:tcBorders>
            <w:shd w:val="clear" w:color="auto" w:fill="auto"/>
            <w:noWrap/>
            <w:vAlign w:val="center"/>
            <w:hideMark/>
          </w:tcPr>
          <w:p w14:paraId="77AE754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.093</w:t>
            </w:r>
          </w:p>
        </w:tc>
        <w:tc>
          <w:tcPr>
            <w:tcW w:w="624" w:type="dxa"/>
            <w:tcBorders>
              <w:top w:val="nil"/>
              <w:left w:val="nil"/>
              <w:bottom w:val="nil"/>
              <w:right w:val="single" w:sz="4" w:space="0" w:color="000000"/>
            </w:tcBorders>
            <w:shd w:val="clear" w:color="auto" w:fill="auto"/>
            <w:noWrap/>
            <w:vAlign w:val="center"/>
            <w:hideMark/>
          </w:tcPr>
          <w:p w14:paraId="7AD57B34"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.214</w:t>
            </w:r>
          </w:p>
        </w:tc>
        <w:tc>
          <w:tcPr>
            <w:tcW w:w="698" w:type="dxa"/>
            <w:tcBorders>
              <w:top w:val="nil"/>
              <w:left w:val="nil"/>
              <w:bottom w:val="nil"/>
              <w:right w:val="single" w:sz="4" w:space="0" w:color="000000"/>
            </w:tcBorders>
            <w:shd w:val="clear" w:color="auto" w:fill="auto"/>
            <w:noWrap/>
            <w:vAlign w:val="center"/>
            <w:hideMark/>
          </w:tcPr>
          <w:p w14:paraId="6AE4816F"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.898</w:t>
            </w:r>
          </w:p>
        </w:tc>
        <w:tc>
          <w:tcPr>
            <w:tcW w:w="698" w:type="dxa"/>
            <w:tcBorders>
              <w:top w:val="nil"/>
              <w:left w:val="nil"/>
              <w:bottom w:val="nil"/>
              <w:right w:val="single" w:sz="12" w:space="0" w:color="000000"/>
            </w:tcBorders>
            <w:shd w:val="clear" w:color="auto" w:fill="auto"/>
            <w:noWrap/>
            <w:vAlign w:val="center"/>
            <w:hideMark/>
          </w:tcPr>
          <w:p w14:paraId="5B466FCA"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.008</w:t>
            </w:r>
          </w:p>
        </w:tc>
        <w:tc>
          <w:tcPr>
            <w:tcW w:w="618" w:type="dxa"/>
            <w:tcBorders>
              <w:top w:val="nil"/>
              <w:left w:val="nil"/>
              <w:bottom w:val="nil"/>
              <w:right w:val="single" w:sz="4" w:space="0" w:color="000000"/>
            </w:tcBorders>
            <w:shd w:val="clear" w:color="auto" w:fill="auto"/>
            <w:noWrap/>
            <w:vAlign w:val="center"/>
            <w:hideMark/>
          </w:tcPr>
          <w:p w14:paraId="383B8AF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.185</w:t>
            </w:r>
          </w:p>
        </w:tc>
        <w:tc>
          <w:tcPr>
            <w:tcW w:w="691" w:type="dxa"/>
            <w:tcBorders>
              <w:top w:val="nil"/>
              <w:left w:val="nil"/>
              <w:bottom w:val="nil"/>
              <w:right w:val="single" w:sz="4" w:space="0" w:color="000000"/>
            </w:tcBorders>
            <w:shd w:val="clear" w:color="auto" w:fill="auto"/>
            <w:noWrap/>
            <w:vAlign w:val="center"/>
            <w:hideMark/>
          </w:tcPr>
          <w:p w14:paraId="5F4E5BB3"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.884</w:t>
            </w:r>
          </w:p>
        </w:tc>
        <w:tc>
          <w:tcPr>
            <w:tcW w:w="691" w:type="dxa"/>
            <w:tcBorders>
              <w:top w:val="nil"/>
              <w:left w:val="nil"/>
              <w:bottom w:val="nil"/>
              <w:right w:val="single" w:sz="12" w:space="0" w:color="000000"/>
            </w:tcBorders>
            <w:shd w:val="clear" w:color="auto" w:fill="auto"/>
            <w:noWrap/>
            <w:vAlign w:val="center"/>
            <w:hideMark/>
          </w:tcPr>
          <w:p w14:paraId="5C20D08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.059</w:t>
            </w:r>
          </w:p>
        </w:tc>
        <w:tc>
          <w:tcPr>
            <w:tcW w:w="700" w:type="dxa"/>
            <w:tcBorders>
              <w:top w:val="nil"/>
              <w:left w:val="nil"/>
              <w:bottom w:val="nil"/>
              <w:right w:val="single" w:sz="4" w:space="0" w:color="000000"/>
            </w:tcBorders>
            <w:shd w:val="clear" w:color="auto" w:fill="auto"/>
            <w:noWrap/>
            <w:vAlign w:val="center"/>
            <w:hideMark/>
          </w:tcPr>
          <w:p w14:paraId="71ED61A0"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.202</w:t>
            </w:r>
          </w:p>
        </w:tc>
        <w:tc>
          <w:tcPr>
            <w:tcW w:w="700" w:type="dxa"/>
            <w:tcBorders>
              <w:top w:val="nil"/>
              <w:left w:val="nil"/>
              <w:bottom w:val="nil"/>
              <w:right w:val="single" w:sz="4" w:space="0" w:color="000000"/>
            </w:tcBorders>
            <w:shd w:val="clear" w:color="auto" w:fill="auto"/>
            <w:noWrap/>
            <w:vAlign w:val="center"/>
            <w:hideMark/>
          </w:tcPr>
          <w:p w14:paraId="3AC71E0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.884</w:t>
            </w:r>
          </w:p>
        </w:tc>
        <w:tc>
          <w:tcPr>
            <w:tcW w:w="700" w:type="dxa"/>
            <w:tcBorders>
              <w:top w:val="nil"/>
              <w:left w:val="nil"/>
              <w:bottom w:val="nil"/>
              <w:right w:val="single" w:sz="4" w:space="0" w:color="000000"/>
            </w:tcBorders>
            <w:shd w:val="clear" w:color="auto" w:fill="auto"/>
            <w:noWrap/>
            <w:vAlign w:val="center"/>
            <w:hideMark/>
          </w:tcPr>
          <w:p w14:paraId="03D6CEF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.055</w:t>
            </w:r>
          </w:p>
        </w:tc>
        <w:tc>
          <w:tcPr>
            <w:tcW w:w="700" w:type="dxa"/>
            <w:tcBorders>
              <w:top w:val="nil"/>
              <w:left w:val="nil"/>
              <w:bottom w:val="nil"/>
              <w:right w:val="single" w:sz="4" w:space="0" w:color="auto"/>
            </w:tcBorders>
            <w:shd w:val="clear" w:color="auto" w:fill="auto"/>
            <w:noWrap/>
            <w:vAlign w:val="center"/>
            <w:hideMark/>
          </w:tcPr>
          <w:p w14:paraId="62CF12A7"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.185</w:t>
            </w:r>
          </w:p>
        </w:tc>
      </w:tr>
      <w:tr w:rsidR="00623B6F" w:rsidRPr="00BE6F68" w14:paraId="0C236124"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7BAB3BC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4</w:t>
            </w:r>
          </w:p>
        </w:tc>
        <w:tc>
          <w:tcPr>
            <w:tcW w:w="700" w:type="dxa"/>
            <w:tcBorders>
              <w:top w:val="nil"/>
              <w:left w:val="single" w:sz="4" w:space="0" w:color="auto"/>
              <w:bottom w:val="nil"/>
              <w:right w:val="single" w:sz="4" w:space="0" w:color="000000"/>
            </w:tcBorders>
            <w:shd w:val="clear" w:color="auto" w:fill="auto"/>
            <w:noWrap/>
            <w:vAlign w:val="center"/>
            <w:hideMark/>
          </w:tcPr>
          <w:p w14:paraId="73205EC2"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.099</w:t>
            </w:r>
          </w:p>
        </w:tc>
        <w:tc>
          <w:tcPr>
            <w:tcW w:w="700" w:type="dxa"/>
            <w:tcBorders>
              <w:top w:val="nil"/>
              <w:left w:val="nil"/>
              <w:bottom w:val="nil"/>
              <w:right w:val="single" w:sz="4" w:space="0" w:color="000000"/>
            </w:tcBorders>
            <w:shd w:val="clear" w:color="auto" w:fill="auto"/>
            <w:noWrap/>
            <w:vAlign w:val="center"/>
            <w:hideMark/>
          </w:tcPr>
          <w:p w14:paraId="3BE03E39"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.841</w:t>
            </w:r>
          </w:p>
        </w:tc>
        <w:tc>
          <w:tcPr>
            <w:tcW w:w="700" w:type="dxa"/>
            <w:tcBorders>
              <w:top w:val="nil"/>
              <w:left w:val="nil"/>
              <w:bottom w:val="nil"/>
              <w:right w:val="single" w:sz="12" w:space="0" w:color="000000"/>
            </w:tcBorders>
            <w:shd w:val="clear" w:color="auto" w:fill="auto"/>
            <w:noWrap/>
            <w:vAlign w:val="center"/>
            <w:hideMark/>
          </w:tcPr>
          <w:p w14:paraId="24BFF364"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.216</w:t>
            </w:r>
          </w:p>
        </w:tc>
        <w:tc>
          <w:tcPr>
            <w:tcW w:w="624" w:type="dxa"/>
            <w:tcBorders>
              <w:top w:val="nil"/>
              <w:left w:val="nil"/>
              <w:bottom w:val="nil"/>
              <w:right w:val="single" w:sz="4" w:space="0" w:color="000000"/>
            </w:tcBorders>
            <w:shd w:val="clear" w:color="auto" w:fill="auto"/>
            <w:noWrap/>
            <w:vAlign w:val="center"/>
            <w:hideMark/>
          </w:tcPr>
          <w:p w14:paraId="72E8FF45"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.087</w:t>
            </w:r>
          </w:p>
        </w:tc>
        <w:tc>
          <w:tcPr>
            <w:tcW w:w="698" w:type="dxa"/>
            <w:tcBorders>
              <w:top w:val="nil"/>
              <w:left w:val="nil"/>
              <w:bottom w:val="nil"/>
              <w:right w:val="single" w:sz="4" w:space="0" w:color="000000"/>
            </w:tcBorders>
            <w:shd w:val="clear" w:color="auto" w:fill="auto"/>
            <w:noWrap/>
            <w:vAlign w:val="center"/>
            <w:hideMark/>
          </w:tcPr>
          <w:p w14:paraId="6F95DFE4"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.838</w:t>
            </w:r>
          </w:p>
        </w:tc>
        <w:tc>
          <w:tcPr>
            <w:tcW w:w="698" w:type="dxa"/>
            <w:tcBorders>
              <w:top w:val="nil"/>
              <w:left w:val="nil"/>
              <w:bottom w:val="nil"/>
              <w:right w:val="single" w:sz="12" w:space="0" w:color="000000"/>
            </w:tcBorders>
            <w:shd w:val="clear" w:color="auto" w:fill="auto"/>
            <w:noWrap/>
            <w:vAlign w:val="center"/>
            <w:hideMark/>
          </w:tcPr>
          <w:p w14:paraId="63BB2856"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.212</w:t>
            </w:r>
          </w:p>
        </w:tc>
        <w:tc>
          <w:tcPr>
            <w:tcW w:w="618" w:type="dxa"/>
            <w:tcBorders>
              <w:top w:val="nil"/>
              <w:left w:val="nil"/>
              <w:bottom w:val="nil"/>
              <w:right w:val="single" w:sz="4" w:space="0" w:color="000000"/>
            </w:tcBorders>
            <w:shd w:val="clear" w:color="auto" w:fill="auto"/>
            <w:noWrap/>
            <w:vAlign w:val="center"/>
            <w:hideMark/>
          </w:tcPr>
          <w:p w14:paraId="1E07447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.085</w:t>
            </w:r>
          </w:p>
        </w:tc>
        <w:tc>
          <w:tcPr>
            <w:tcW w:w="691" w:type="dxa"/>
            <w:tcBorders>
              <w:top w:val="nil"/>
              <w:left w:val="nil"/>
              <w:bottom w:val="nil"/>
              <w:right w:val="single" w:sz="4" w:space="0" w:color="000000"/>
            </w:tcBorders>
            <w:shd w:val="clear" w:color="auto" w:fill="auto"/>
            <w:noWrap/>
            <w:vAlign w:val="center"/>
            <w:hideMark/>
          </w:tcPr>
          <w:p w14:paraId="17DB0957"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.833</w:t>
            </w:r>
          </w:p>
        </w:tc>
        <w:tc>
          <w:tcPr>
            <w:tcW w:w="691" w:type="dxa"/>
            <w:tcBorders>
              <w:top w:val="nil"/>
              <w:left w:val="nil"/>
              <w:bottom w:val="nil"/>
              <w:right w:val="single" w:sz="12" w:space="0" w:color="000000"/>
            </w:tcBorders>
            <w:shd w:val="clear" w:color="auto" w:fill="auto"/>
            <w:noWrap/>
            <w:vAlign w:val="center"/>
            <w:hideMark/>
          </w:tcPr>
          <w:p w14:paraId="4901FC3D"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.230</w:t>
            </w:r>
          </w:p>
        </w:tc>
        <w:tc>
          <w:tcPr>
            <w:tcW w:w="700" w:type="dxa"/>
            <w:tcBorders>
              <w:top w:val="nil"/>
              <w:left w:val="nil"/>
              <w:bottom w:val="nil"/>
              <w:right w:val="single" w:sz="4" w:space="0" w:color="000000"/>
            </w:tcBorders>
            <w:shd w:val="clear" w:color="auto" w:fill="auto"/>
            <w:noWrap/>
            <w:vAlign w:val="center"/>
            <w:hideMark/>
          </w:tcPr>
          <w:p w14:paraId="6C367B6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.160</w:t>
            </w:r>
          </w:p>
        </w:tc>
        <w:tc>
          <w:tcPr>
            <w:tcW w:w="700" w:type="dxa"/>
            <w:tcBorders>
              <w:top w:val="nil"/>
              <w:left w:val="nil"/>
              <w:bottom w:val="nil"/>
              <w:right w:val="single" w:sz="4" w:space="0" w:color="000000"/>
            </w:tcBorders>
            <w:shd w:val="clear" w:color="auto" w:fill="auto"/>
            <w:noWrap/>
            <w:vAlign w:val="center"/>
            <w:hideMark/>
          </w:tcPr>
          <w:p w14:paraId="01286CE5"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.868</w:t>
            </w:r>
          </w:p>
        </w:tc>
        <w:tc>
          <w:tcPr>
            <w:tcW w:w="700" w:type="dxa"/>
            <w:tcBorders>
              <w:top w:val="nil"/>
              <w:left w:val="nil"/>
              <w:bottom w:val="nil"/>
              <w:right w:val="single" w:sz="4" w:space="0" w:color="000000"/>
            </w:tcBorders>
            <w:shd w:val="clear" w:color="auto" w:fill="auto"/>
            <w:noWrap/>
            <w:vAlign w:val="center"/>
            <w:hideMark/>
          </w:tcPr>
          <w:p w14:paraId="06E63E46"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.226</w:t>
            </w:r>
          </w:p>
        </w:tc>
        <w:tc>
          <w:tcPr>
            <w:tcW w:w="700" w:type="dxa"/>
            <w:tcBorders>
              <w:top w:val="nil"/>
              <w:left w:val="nil"/>
              <w:bottom w:val="nil"/>
              <w:right w:val="single" w:sz="4" w:space="0" w:color="auto"/>
            </w:tcBorders>
            <w:shd w:val="clear" w:color="auto" w:fill="auto"/>
            <w:noWrap/>
            <w:vAlign w:val="center"/>
            <w:hideMark/>
          </w:tcPr>
          <w:p w14:paraId="49EFB5EF"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.056</w:t>
            </w:r>
          </w:p>
        </w:tc>
      </w:tr>
      <w:tr w:rsidR="00623B6F" w:rsidRPr="00BE6F68" w14:paraId="2AF1151A"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44524CA3"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w:t>
            </w:r>
          </w:p>
        </w:tc>
        <w:tc>
          <w:tcPr>
            <w:tcW w:w="700" w:type="dxa"/>
            <w:tcBorders>
              <w:top w:val="nil"/>
              <w:left w:val="single" w:sz="4" w:space="0" w:color="auto"/>
              <w:bottom w:val="nil"/>
              <w:right w:val="single" w:sz="4" w:space="0" w:color="000000"/>
            </w:tcBorders>
            <w:shd w:val="clear" w:color="auto" w:fill="auto"/>
            <w:noWrap/>
            <w:vAlign w:val="center"/>
            <w:hideMark/>
          </w:tcPr>
          <w:p w14:paraId="2452E9A6"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-.008</w:t>
            </w:r>
          </w:p>
        </w:tc>
        <w:tc>
          <w:tcPr>
            <w:tcW w:w="700" w:type="dxa"/>
            <w:tcBorders>
              <w:top w:val="nil"/>
              <w:left w:val="nil"/>
              <w:bottom w:val="nil"/>
              <w:right w:val="single" w:sz="4" w:space="0" w:color="000000"/>
            </w:tcBorders>
            <w:shd w:val="clear" w:color="auto" w:fill="auto"/>
            <w:noWrap/>
            <w:vAlign w:val="center"/>
            <w:hideMark/>
          </w:tcPr>
          <w:p w14:paraId="1BDA566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.536</w:t>
            </w:r>
          </w:p>
        </w:tc>
        <w:tc>
          <w:tcPr>
            <w:tcW w:w="700" w:type="dxa"/>
            <w:tcBorders>
              <w:top w:val="nil"/>
              <w:left w:val="nil"/>
              <w:bottom w:val="nil"/>
              <w:right w:val="single" w:sz="12" w:space="0" w:color="000000"/>
            </w:tcBorders>
            <w:shd w:val="clear" w:color="auto" w:fill="auto"/>
            <w:noWrap/>
            <w:vAlign w:val="center"/>
            <w:hideMark/>
          </w:tcPr>
          <w:p w14:paraId="22308F3F"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.528</w:t>
            </w:r>
          </w:p>
        </w:tc>
        <w:tc>
          <w:tcPr>
            <w:tcW w:w="624" w:type="dxa"/>
            <w:tcBorders>
              <w:top w:val="nil"/>
              <w:left w:val="nil"/>
              <w:bottom w:val="nil"/>
              <w:right w:val="single" w:sz="4" w:space="0" w:color="000000"/>
            </w:tcBorders>
            <w:shd w:val="clear" w:color="auto" w:fill="auto"/>
            <w:noWrap/>
            <w:vAlign w:val="center"/>
            <w:hideMark/>
          </w:tcPr>
          <w:p w14:paraId="3BF42CB8"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.109</w:t>
            </w:r>
          </w:p>
        </w:tc>
        <w:tc>
          <w:tcPr>
            <w:tcW w:w="698" w:type="dxa"/>
            <w:tcBorders>
              <w:top w:val="nil"/>
              <w:left w:val="nil"/>
              <w:bottom w:val="nil"/>
              <w:right w:val="single" w:sz="4" w:space="0" w:color="000000"/>
            </w:tcBorders>
            <w:shd w:val="clear" w:color="auto" w:fill="auto"/>
            <w:noWrap/>
            <w:vAlign w:val="center"/>
            <w:hideMark/>
          </w:tcPr>
          <w:p w14:paraId="2164579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.622</w:t>
            </w:r>
          </w:p>
        </w:tc>
        <w:tc>
          <w:tcPr>
            <w:tcW w:w="698" w:type="dxa"/>
            <w:tcBorders>
              <w:top w:val="nil"/>
              <w:left w:val="nil"/>
              <w:bottom w:val="nil"/>
              <w:right w:val="single" w:sz="12" w:space="0" w:color="000000"/>
            </w:tcBorders>
            <w:shd w:val="clear" w:color="auto" w:fill="auto"/>
            <w:noWrap/>
            <w:vAlign w:val="center"/>
            <w:hideMark/>
          </w:tcPr>
          <w:p w14:paraId="218170BC"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.458</w:t>
            </w:r>
          </w:p>
        </w:tc>
        <w:tc>
          <w:tcPr>
            <w:tcW w:w="618" w:type="dxa"/>
            <w:tcBorders>
              <w:top w:val="nil"/>
              <w:left w:val="nil"/>
              <w:bottom w:val="nil"/>
              <w:right w:val="single" w:sz="4" w:space="0" w:color="000000"/>
            </w:tcBorders>
            <w:shd w:val="clear" w:color="auto" w:fill="auto"/>
            <w:noWrap/>
            <w:vAlign w:val="center"/>
            <w:hideMark/>
          </w:tcPr>
          <w:p w14:paraId="7DCEA234"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.062</w:t>
            </w:r>
          </w:p>
        </w:tc>
        <w:tc>
          <w:tcPr>
            <w:tcW w:w="691" w:type="dxa"/>
            <w:tcBorders>
              <w:top w:val="nil"/>
              <w:left w:val="nil"/>
              <w:bottom w:val="nil"/>
              <w:right w:val="single" w:sz="4" w:space="0" w:color="000000"/>
            </w:tcBorders>
            <w:shd w:val="clear" w:color="auto" w:fill="auto"/>
            <w:noWrap/>
            <w:vAlign w:val="center"/>
            <w:hideMark/>
          </w:tcPr>
          <w:p w14:paraId="7B3190C9"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.600</w:t>
            </w:r>
          </w:p>
        </w:tc>
        <w:tc>
          <w:tcPr>
            <w:tcW w:w="691" w:type="dxa"/>
            <w:tcBorders>
              <w:top w:val="nil"/>
              <w:left w:val="nil"/>
              <w:bottom w:val="nil"/>
              <w:right w:val="single" w:sz="12" w:space="0" w:color="000000"/>
            </w:tcBorders>
            <w:shd w:val="clear" w:color="auto" w:fill="auto"/>
            <w:noWrap/>
            <w:vAlign w:val="center"/>
            <w:hideMark/>
          </w:tcPr>
          <w:p w14:paraId="378C5E70"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.482</w:t>
            </w:r>
          </w:p>
        </w:tc>
        <w:tc>
          <w:tcPr>
            <w:tcW w:w="700" w:type="dxa"/>
            <w:tcBorders>
              <w:top w:val="nil"/>
              <w:left w:val="nil"/>
              <w:bottom w:val="nil"/>
              <w:right w:val="single" w:sz="4" w:space="0" w:color="000000"/>
            </w:tcBorders>
            <w:shd w:val="clear" w:color="auto" w:fill="auto"/>
            <w:noWrap/>
            <w:vAlign w:val="center"/>
            <w:hideMark/>
          </w:tcPr>
          <w:p w14:paraId="1F0FCC6D"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-.096</w:t>
            </w:r>
          </w:p>
        </w:tc>
        <w:tc>
          <w:tcPr>
            <w:tcW w:w="700" w:type="dxa"/>
            <w:tcBorders>
              <w:top w:val="nil"/>
              <w:left w:val="nil"/>
              <w:bottom w:val="nil"/>
              <w:right w:val="single" w:sz="4" w:space="0" w:color="000000"/>
            </w:tcBorders>
            <w:shd w:val="clear" w:color="auto" w:fill="auto"/>
            <w:noWrap/>
            <w:vAlign w:val="center"/>
            <w:hideMark/>
          </w:tcPr>
          <w:p w14:paraId="3C222DFE"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.454</w:t>
            </w:r>
          </w:p>
        </w:tc>
        <w:tc>
          <w:tcPr>
            <w:tcW w:w="700" w:type="dxa"/>
            <w:tcBorders>
              <w:top w:val="nil"/>
              <w:left w:val="nil"/>
              <w:bottom w:val="nil"/>
              <w:right w:val="single" w:sz="4" w:space="0" w:color="000000"/>
            </w:tcBorders>
            <w:shd w:val="clear" w:color="auto" w:fill="auto"/>
            <w:noWrap/>
            <w:vAlign w:val="center"/>
            <w:hideMark/>
          </w:tcPr>
          <w:p w14:paraId="064B2C30"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.506</w:t>
            </w:r>
          </w:p>
        </w:tc>
        <w:tc>
          <w:tcPr>
            <w:tcW w:w="700" w:type="dxa"/>
            <w:tcBorders>
              <w:top w:val="nil"/>
              <w:left w:val="nil"/>
              <w:bottom w:val="nil"/>
              <w:right w:val="single" w:sz="4" w:space="0" w:color="auto"/>
            </w:tcBorders>
            <w:shd w:val="clear" w:color="auto" w:fill="auto"/>
            <w:noWrap/>
            <w:vAlign w:val="center"/>
            <w:hideMark/>
          </w:tcPr>
          <w:p w14:paraId="0CEAE8C9"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.489</w:t>
            </w:r>
          </w:p>
        </w:tc>
      </w:tr>
      <w:tr w:rsidR="00623B6F" w:rsidRPr="00BE6F68" w14:paraId="6D111CF0"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7DC3551E"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w:t>
            </w:r>
          </w:p>
        </w:tc>
        <w:tc>
          <w:tcPr>
            <w:tcW w:w="700" w:type="dxa"/>
            <w:tcBorders>
              <w:top w:val="nil"/>
              <w:left w:val="single" w:sz="4" w:space="0" w:color="auto"/>
              <w:bottom w:val="nil"/>
              <w:right w:val="single" w:sz="4" w:space="0" w:color="000000"/>
            </w:tcBorders>
            <w:shd w:val="clear" w:color="auto" w:fill="auto"/>
            <w:noWrap/>
            <w:vAlign w:val="center"/>
            <w:hideMark/>
          </w:tcPr>
          <w:p w14:paraId="49A5557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.629</w:t>
            </w:r>
          </w:p>
        </w:tc>
        <w:tc>
          <w:tcPr>
            <w:tcW w:w="700" w:type="dxa"/>
            <w:tcBorders>
              <w:top w:val="nil"/>
              <w:left w:val="nil"/>
              <w:bottom w:val="nil"/>
              <w:right w:val="single" w:sz="4" w:space="0" w:color="000000"/>
            </w:tcBorders>
            <w:shd w:val="clear" w:color="auto" w:fill="auto"/>
            <w:noWrap/>
            <w:vAlign w:val="center"/>
            <w:hideMark/>
          </w:tcPr>
          <w:p w14:paraId="66CC698E"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.377</w:t>
            </w:r>
          </w:p>
        </w:tc>
        <w:tc>
          <w:tcPr>
            <w:tcW w:w="700" w:type="dxa"/>
            <w:tcBorders>
              <w:top w:val="nil"/>
              <w:left w:val="nil"/>
              <w:bottom w:val="nil"/>
              <w:right w:val="single" w:sz="12" w:space="0" w:color="000000"/>
            </w:tcBorders>
            <w:shd w:val="clear" w:color="auto" w:fill="auto"/>
            <w:noWrap/>
            <w:vAlign w:val="center"/>
            <w:hideMark/>
          </w:tcPr>
          <w:p w14:paraId="4AFA56AF"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-.080</w:t>
            </w:r>
          </w:p>
        </w:tc>
        <w:tc>
          <w:tcPr>
            <w:tcW w:w="624" w:type="dxa"/>
            <w:tcBorders>
              <w:top w:val="nil"/>
              <w:left w:val="nil"/>
              <w:bottom w:val="nil"/>
              <w:right w:val="single" w:sz="4" w:space="0" w:color="000000"/>
            </w:tcBorders>
            <w:shd w:val="clear" w:color="auto" w:fill="auto"/>
            <w:noWrap/>
            <w:vAlign w:val="center"/>
            <w:hideMark/>
          </w:tcPr>
          <w:p w14:paraId="00DC593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.663</w:t>
            </w:r>
          </w:p>
        </w:tc>
        <w:tc>
          <w:tcPr>
            <w:tcW w:w="698" w:type="dxa"/>
            <w:tcBorders>
              <w:top w:val="nil"/>
              <w:left w:val="nil"/>
              <w:bottom w:val="nil"/>
              <w:right w:val="single" w:sz="4" w:space="0" w:color="000000"/>
            </w:tcBorders>
            <w:shd w:val="clear" w:color="auto" w:fill="auto"/>
            <w:noWrap/>
            <w:vAlign w:val="center"/>
            <w:hideMark/>
          </w:tcPr>
          <w:p w14:paraId="205713B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.229</w:t>
            </w:r>
          </w:p>
        </w:tc>
        <w:tc>
          <w:tcPr>
            <w:tcW w:w="698" w:type="dxa"/>
            <w:tcBorders>
              <w:top w:val="nil"/>
              <w:left w:val="nil"/>
              <w:bottom w:val="nil"/>
              <w:right w:val="single" w:sz="12" w:space="0" w:color="000000"/>
            </w:tcBorders>
            <w:shd w:val="clear" w:color="auto" w:fill="auto"/>
            <w:noWrap/>
            <w:vAlign w:val="center"/>
            <w:hideMark/>
          </w:tcPr>
          <w:p w14:paraId="479CBFB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-.125</w:t>
            </w:r>
          </w:p>
        </w:tc>
        <w:tc>
          <w:tcPr>
            <w:tcW w:w="618" w:type="dxa"/>
            <w:tcBorders>
              <w:top w:val="nil"/>
              <w:left w:val="nil"/>
              <w:bottom w:val="nil"/>
              <w:right w:val="single" w:sz="4" w:space="0" w:color="000000"/>
            </w:tcBorders>
            <w:shd w:val="clear" w:color="auto" w:fill="auto"/>
            <w:noWrap/>
            <w:vAlign w:val="center"/>
            <w:hideMark/>
          </w:tcPr>
          <w:p w14:paraId="63744342"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.650</w:t>
            </w:r>
          </w:p>
        </w:tc>
        <w:tc>
          <w:tcPr>
            <w:tcW w:w="691" w:type="dxa"/>
            <w:tcBorders>
              <w:top w:val="nil"/>
              <w:left w:val="nil"/>
              <w:bottom w:val="nil"/>
              <w:right w:val="single" w:sz="4" w:space="0" w:color="000000"/>
            </w:tcBorders>
            <w:shd w:val="clear" w:color="auto" w:fill="auto"/>
            <w:noWrap/>
            <w:vAlign w:val="center"/>
            <w:hideMark/>
          </w:tcPr>
          <w:p w14:paraId="7E4526B8"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.342</w:t>
            </w:r>
          </w:p>
        </w:tc>
        <w:tc>
          <w:tcPr>
            <w:tcW w:w="691" w:type="dxa"/>
            <w:tcBorders>
              <w:top w:val="nil"/>
              <w:left w:val="nil"/>
              <w:bottom w:val="nil"/>
              <w:right w:val="single" w:sz="12" w:space="0" w:color="000000"/>
            </w:tcBorders>
            <w:shd w:val="clear" w:color="auto" w:fill="auto"/>
            <w:noWrap/>
            <w:vAlign w:val="center"/>
            <w:hideMark/>
          </w:tcPr>
          <w:p w14:paraId="3DEB68B0"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-.128</w:t>
            </w:r>
          </w:p>
        </w:tc>
        <w:tc>
          <w:tcPr>
            <w:tcW w:w="700" w:type="dxa"/>
            <w:tcBorders>
              <w:top w:val="nil"/>
              <w:left w:val="nil"/>
              <w:bottom w:val="nil"/>
              <w:right w:val="single" w:sz="4" w:space="0" w:color="000000"/>
            </w:tcBorders>
            <w:shd w:val="clear" w:color="auto" w:fill="auto"/>
            <w:noWrap/>
            <w:vAlign w:val="center"/>
            <w:hideMark/>
          </w:tcPr>
          <w:p w14:paraId="0B1C0DEB"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.364</w:t>
            </w:r>
          </w:p>
        </w:tc>
        <w:tc>
          <w:tcPr>
            <w:tcW w:w="700" w:type="dxa"/>
            <w:tcBorders>
              <w:top w:val="nil"/>
              <w:left w:val="nil"/>
              <w:bottom w:val="nil"/>
              <w:right w:val="single" w:sz="4" w:space="0" w:color="000000"/>
            </w:tcBorders>
            <w:shd w:val="clear" w:color="auto" w:fill="auto"/>
            <w:noWrap/>
            <w:vAlign w:val="center"/>
            <w:hideMark/>
          </w:tcPr>
          <w:p w14:paraId="4E4EAC0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.135</w:t>
            </w:r>
          </w:p>
        </w:tc>
        <w:tc>
          <w:tcPr>
            <w:tcW w:w="700" w:type="dxa"/>
            <w:tcBorders>
              <w:top w:val="nil"/>
              <w:left w:val="nil"/>
              <w:bottom w:val="nil"/>
              <w:right w:val="single" w:sz="4" w:space="0" w:color="000000"/>
            </w:tcBorders>
            <w:shd w:val="clear" w:color="auto" w:fill="auto"/>
            <w:noWrap/>
            <w:vAlign w:val="center"/>
            <w:hideMark/>
          </w:tcPr>
          <w:p w14:paraId="3B29DF68"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-.131</w:t>
            </w:r>
          </w:p>
        </w:tc>
        <w:tc>
          <w:tcPr>
            <w:tcW w:w="700" w:type="dxa"/>
            <w:tcBorders>
              <w:top w:val="nil"/>
              <w:left w:val="nil"/>
              <w:bottom w:val="nil"/>
              <w:right w:val="single" w:sz="4" w:space="0" w:color="auto"/>
            </w:tcBorders>
            <w:shd w:val="clear" w:color="auto" w:fill="auto"/>
            <w:noWrap/>
            <w:vAlign w:val="center"/>
            <w:hideMark/>
          </w:tcPr>
          <w:p w14:paraId="506C7D5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.759</w:t>
            </w:r>
          </w:p>
        </w:tc>
      </w:tr>
      <w:tr w:rsidR="00623B6F" w:rsidRPr="00BE6F68" w14:paraId="3E63871D"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44901514"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w:t>
            </w:r>
          </w:p>
        </w:tc>
        <w:tc>
          <w:tcPr>
            <w:tcW w:w="700" w:type="dxa"/>
            <w:tcBorders>
              <w:top w:val="nil"/>
              <w:left w:val="single" w:sz="4" w:space="0" w:color="auto"/>
              <w:bottom w:val="nil"/>
              <w:right w:val="single" w:sz="4" w:space="0" w:color="000000"/>
            </w:tcBorders>
            <w:shd w:val="clear" w:color="auto" w:fill="auto"/>
            <w:noWrap/>
            <w:vAlign w:val="center"/>
            <w:hideMark/>
          </w:tcPr>
          <w:p w14:paraId="66857DB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.273</w:t>
            </w:r>
          </w:p>
        </w:tc>
        <w:tc>
          <w:tcPr>
            <w:tcW w:w="700" w:type="dxa"/>
            <w:tcBorders>
              <w:top w:val="nil"/>
              <w:left w:val="nil"/>
              <w:bottom w:val="nil"/>
              <w:right w:val="single" w:sz="4" w:space="0" w:color="000000"/>
            </w:tcBorders>
            <w:shd w:val="clear" w:color="auto" w:fill="auto"/>
            <w:noWrap/>
            <w:vAlign w:val="center"/>
            <w:hideMark/>
          </w:tcPr>
          <w:p w14:paraId="2A34294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.604</w:t>
            </w:r>
          </w:p>
        </w:tc>
        <w:tc>
          <w:tcPr>
            <w:tcW w:w="700" w:type="dxa"/>
            <w:tcBorders>
              <w:top w:val="nil"/>
              <w:left w:val="nil"/>
              <w:bottom w:val="nil"/>
              <w:right w:val="single" w:sz="12" w:space="0" w:color="000000"/>
            </w:tcBorders>
            <w:shd w:val="clear" w:color="auto" w:fill="auto"/>
            <w:noWrap/>
            <w:vAlign w:val="center"/>
            <w:hideMark/>
          </w:tcPr>
          <w:p w14:paraId="2E2035D4"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.068</w:t>
            </w:r>
          </w:p>
        </w:tc>
        <w:tc>
          <w:tcPr>
            <w:tcW w:w="624" w:type="dxa"/>
            <w:tcBorders>
              <w:top w:val="nil"/>
              <w:left w:val="nil"/>
              <w:bottom w:val="nil"/>
              <w:right w:val="single" w:sz="4" w:space="0" w:color="000000"/>
            </w:tcBorders>
            <w:shd w:val="clear" w:color="auto" w:fill="auto"/>
            <w:noWrap/>
            <w:vAlign w:val="center"/>
            <w:hideMark/>
          </w:tcPr>
          <w:p w14:paraId="24BDBFDD"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.337</w:t>
            </w:r>
          </w:p>
        </w:tc>
        <w:tc>
          <w:tcPr>
            <w:tcW w:w="698" w:type="dxa"/>
            <w:tcBorders>
              <w:top w:val="nil"/>
              <w:left w:val="nil"/>
              <w:bottom w:val="nil"/>
              <w:right w:val="single" w:sz="4" w:space="0" w:color="000000"/>
            </w:tcBorders>
            <w:shd w:val="clear" w:color="auto" w:fill="auto"/>
            <w:noWrap/>
            <w:vAlign w:val="center"/>
            <w:hideMark/>
          </w:tcPr>
          <w:p w14:paraId="1E763D74"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.492</w:t>
            </w:r>
          </w:p>
        </w:tc>
        <w:tc>
          <w:tcPr>
            <w:tcW w:w="698" w:type="dxa"/>
            <w:tcBorders>
              <w:top w:val="nil"/>
              <w:left w:val="nil"/>
              <w:bottom w:val="nil"/>
              <w:right w:val="single" w:sz="12" w:space="0" w:color="000000"/>
            </w:tcBorders>
            <w:shd w:val="clear" w:color="auto" w:fill="auto"/>
            <w:noWrap/>
            <w:vAlign w:val="center"/>
            <w:hideMark/>
          </w:tcPr>
          <w:p w14:paraId="39205F8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.146</w:t>
            </w:r>
          </w:p>
        </w:tc>
        <w:tc>
          <w:tcPr>
            <w:tcW w:w="618" w:type="dxa"/>
            <w:tcBorders>
              <w:top w:val="nil"/>
              <w:left w:val="nil"/>
              <w:bottom w:val="nil"/>
              <w:right w:val="single" w:sz="4" w:space="0" w:color="000000"/>
            </w:tcBorders>
            <w:shd w:val="clear" w:color="auto" w:fill="auto"/>
            <w:noWrap/>
            <w:vAlign w:val="center"/>
            <w:hideMark/>
          </w:tcPr>
          <w:p w14:paraId="29FCEC4C"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.310</w:t>
            </w:r>
          </w:p>
        </w:tc>
        <w:tc>
          <w:tcPr>
            <w:tcW w:w="691" w:type="dxa"/>
            <w:tcBorders>
              <w:top w:val="nil"/>
              <w:left w:val="nil"/>
              <w:bottom w:val="nil"/>
              <w:right w:val="single" w:sz="4" w:space="0" w:color="000000"/>
            </w:tcBorders>
            <w:shd w:val="clear" w:color="auto" w:fill="auto"/>
            <w:noWrap/>
            <w:vAlign w:val="center"/>
            <w:hideMark/>
          </w:tcPr>
          <w:p w14:paraId="6701F2ED"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.575</w:t>
            </w:r>
          </w:p>
        </w:tc>
        <w:tc>
          <w:tcPr>
            <w:tcW w:w="691" w:type="dxa"/>
            <w:tcBorders>
              <w:top w:val="nil"/>
              <w:left w:val="nil"/>
              <w:bottom w:val="nil"/>
              <w:right w:val="single" w:sz="12" w:space="0" w:color="000000"/>
            </w:tcBorders>
            <w:shd w:val="clear" w:color="auto" w:fill="auto"/>
            <w:noWrap/>
            <w:vAlign w:val="center"/>
            <w:hideMark/>
          </w:tcPr>
          <w:p w14:paraId="50D16DB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.093</w:t>
            </w:r>
          </w:p>
        </w:tc>
        <w:tc>
          <w:tcPr>
            <w:tcW w:w="700" w:type="dxa"/>
            <w:tcBorders>
              <w:top w:val="nil"/>
              <w:left w:val="nil"/>
              <w:bottom w:val="nil"/>
              <w:right w:val="single" w:sz="4" w:space="0" w:color="000000"/>
            </w:tcBorders>
            <w:shd w:val="clear" w:color="auto" w:fill="auto"/>
            <w:noWrap/>
            <w:vAlign w:val="center"/>
            <w:hideMark/>
          </w:tcPr>
          <w:p w14:paraId="0D6A52AF"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.137</w:t>
            </w:r>
          </w:p>
        </w:tc>
        <w:tc>
          <w:tcPr>
            <w:tcW w:w="700" w:type="dxa"/>
            <w:tcBorders>
              <w:top w:val="nil"/>
              <w:left w:val="nil"/>
              <w:bottom w:val="nil"/>
              <w:right w:val="single" w:sz="4" w:space="0" w:color="000000"/>
            </w:tcBorders>
            <w:shd w:val="clear" w:color="auto" w:fill="auto"/>
            <w:noWrap/>
            <w:vAlign w:val="center"/>
            <w:hideMark/>
          </w:tcPr>
          <w:p w14:paraId="42F2B135"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.439</w:t>
            </w:r>
          </w:p>
        </w:tc>
        <w:tc>
          <w:tcPr>
            <w:tcW w:w="700" w:type="dxa"/>
            <w:tcBorders>
              <w:top w:val="nil"/>
              <w:left w:val="nil"/>
              <w:bottom w:val="nil"/>
              <w:right w:val="single" w:sz="4" w:space="0" w:color="000000"/>
            </w:tcBorders>
            <w:shd w:val="clear" w:color="auto" w:fill="auto"/>
            <w:noWrap/>
            <w:vAlign w:val="center"/>
            <w:hideMark/>
          </w:tcPr>
          <w:p w14:paraId="7385097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.101</w:t>
            </w:r>
          </w:p>
        </w:tc>
        <w:tc>
          <w:tcPr>
            <w:tcW w:w="700" w:type="dxa"/>
            <w:tcBorders>
              <w:top w:val="nil"/>
              <w:left w:val="nil"/>
              <w:bottom w:val="nil"/>
              <w:right w:val="single" w:sz="4" w:space="0" w:color="auto"/>
            </w:tcBorders>
            <w:shd w:val="clear" w:color="auto" w:fill="auto"/>
            <w:noWrap/>
            <w:vAlign w:val="center"/>
            <w:hideMark/>
          </w:tcPr>
          <w:p w14:paraId="51C99B9C"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.529</w:t>
            </w:r>
          </w:p>
        </w:tc>
      </w:tr>
      <w:tr w:rsidR="00623B6F" w:rsidRPr="00BE6F68" w14:paraId="1BF7066E"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0B433C67"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w:t>
            </w:r>
          </w:p>
        </w:tc>
        <w:tc>
          <w:tcPr>
            <w:tcW w:w="700" w:type="dxa"/>
            <w:tcBorders>
              <w:top w:val="nil"/>
              <w:left w:val="single" w:sz="4" w:space="0" w:color="auto"/>
              <w:bottom w:val="nil"/>
              <w:right w:val="single" w:sz="4" w:space="0" w:color="000000"/>
            </w:tcBorders>
            <w:shd w:val="clear" w:color="auto" w:fill="auto"/>
            <w:noWrap/>
            <w:vAlign w:val="center"/>
            <w:hideMark/>
          </w:tcPr>
          <w:p w14:paraId="2D70FF3B"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.623</w:t>
            </w:r>
          </w:p>
        </w:tc>
        <w:tc>
          <w:tcPr>
            <w:tcW w:w="700" w:type="dxa"/>
            <w:tcBorders>
              <w:top w:val="nil"/>
              <w:left w:val="nil"/>
              <w:bottom w:val="nil"/>
              <w:right w:val="single" w:sz="4" w:space="0" w:color="000000"/>
            </w:tcBorders>
            <w:shd w:val="clear" w:color="auto" w:fill="auto"/>
            <w:noWrap/>
            <w:vAlign w:val="center"/>
            <w:hideMark/>
          </w:tcPr>
          <w:p w14:paraId="62FC3CA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.240</w:t>
            </w:r>
          </w:p>
        </w:tc>
        <w:tc>
          <w:tcPr>
            <w:tcW w:w="700" w:type="dxa"/>
            <w:tcBorders>
              <w:top w:val="nil"/>
              <w:left w:val="nil"/>
              <w:bottom w:val="nil"/>
              <w:right w:val="single" w:sz="12" w:space="0" w:color="000000"/>
            </w:tcBorders>
            <w:shd w:val="clear" w:color="auto" w:fill="auto"/>
            <w:noWrap/>
            <w:vAlign w:val="center"/>
            <w:hideMark/>
          </w:tcPr>
          <w:p w14:paraId="01B05BD8"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.343</w:t>
            </w:r>
          </w:p>
        </w:tc>
        <w:tc>
          <w:tcPr>
            <w:tcW w:w="624" w:type="dxa"/>
            <w:tcBorders>
              <w:top w:val="nil"/>
              <w:left w:val="nil"/>
              <w:bottom w:val="nil"/>
              <w:right w:val="single" w:sz="4" w:space="0" w:color="000000"/>
            </w:tcBorders>
            <w:shd w:val="clear" w:color="auto" w:fill="auto"/>
            <w:noWrap/>
            <w:vAlign w:val="center"/>
            <w:hideMark/>
          </w:tcPr>
          <w:p w14:paraId="65C01A4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.714</w:t>
            </w:r>
          </w:p>
        </w:tc>
        <w:tc>
          <w:tcPr>
            <w:tcW w:w="698" w:type="dxa"/>
            <w:tcBorders>
              <w:top w:val="nil"/>
              <w:left w:val="nil"/>
              <w:bottom w:val="nil"/>
              <w:right w:val="single" w:sz="4" w:space="0" w:color="000000"/>
            </w:tcBorders>
            <w:shd w:val="clear" w:color="auto" w:fill="auto"/>
            <w:noWrap/>
            <w:vAlign w:val="center"/>
            <w:hideMark/>
          </w:tcPr>
          <w:p w14:paraId="15BCE11A"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.267</w:t>
            </w:r>
          </w:p>
        </w:tc>
        <w:tc>
          <w:tcPr>
            <w:tcW w:w="698" w:type="dxa"/>
            <w:tcBorders>
              <w:top w:val="nil"/>
              <w:left w:val="nil"/>
              <w:bottom w:val="nil"/>
              <w:right w:val="single" w:sz="12" w:space="0" w:color="000000"/>
            </w:tcBorders>
            <w:shd w:val="clear" w:color="auto" w:fill="auto"/>
            <w:noWrap/>
            <w:vAlign w:val="center"/>
            <w:hideMark/>
          </w:tcPr>
          <w:p w14:paraId="0A145B9F"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.212</w:t>
            </w:r>
          </w:p>
        </w:tc>
        <w:tc>
          <w:tcPr>
            <w:tcW w:w="618" w:type="dxa"/>
            <w:tcBorders>
              <w:top w:val="nil"/>
              <w:left w:val="nil"/>
              <w:bottom w:val="nil"/>
              <w:right w:val="single" w:sz="4" w:space="0" w:color="000000"/>
            </w:tcBorders>
            <w:shd w:val="clear" w:color="auto" w:fill="auto"/>
            <w:noWrap/>
            <w:vAlign w:val="center"/>
            <w:hideMark/>
          </w:tcPr>
          <w:p w14:paraId="4A0B8694"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.668</w:t>
            </w:r>
          </w:p>
        </w:tc>
        <w:tc>
          <w:tcPr>
            <w:tcW w:w="691" w:type="dxa"/>
            <w:tcBorders>
              <w:top w:val="nil"/>
              <w:left w:val="nil"/>
              <w:bottom w:val="nil"/>
              <w:right w:val="single" w:sz="4" w:space="0" w:color="000000"/>
            </w:tcBorders>
            <w:shd w:val="clear" w:color="auto" w:fill="auto"/>
            <w:noWrap/>
            <w:vAlign w:val="center"/>
            <w:hideMark/>
          </w:tcPr>
          <w:p w14:paraId="3736AEDD"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.271</w:t>
            </w:r>
          </w:p>
        </w:tc>
        <w:tc>
          <w:tcPr>
            <w:tcW w:w="691" w:type="dxa"/>
            <w:tcBorders>
              <w:top w:val="nil"/>
              <w:left w:val="nil"/>
              <w:bottom w:val="nil"/>
              <w:right w:val="single" w:sz="12" w:space="0" w:color="000000"/>
            </w:tcBorders>
            <w:shd w:val="clear" w:color="auto" w:fill="auto"/>
            <w:noWrap/>
            <w:vAlign w:val="center"/>
            <w:hideMark/>
          </w:tcPr>
          <w:p w14:paraId="47DF189F"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.281</w:t>
            </w:r>
          </w:p>
        </w:tc>
        <w:tc>
          <w:tcPr>
            <w:tcW w:w="700" w:type="dxa"/>
            <w:tcBorders>
              <w:top w:val="nil"/>
              <w:left w:val="nil"/>
              <w:bottom w:val="nil"/>
              <w:right w:val="single" w:sz="4" w:space="0" w:color="000000"/>
            </w:tcBorders>
            <w:shd w:val="clear" w:color="auto" w:fill="auto"/>
            <w:noWrap/>
            <w:vAlign w:val="center"/>
            <w:hideMark/>
          </w:tcPr>
          <w:p w14:paraId="54C0586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.669</w:t>
            </w:r>
          </w:p>
        </w:tc>
        <w:tc>
          <w:tcPr>
            <w:tcW w:w="700" w:type="dxa"/>
            <w:tcBorders>
              <w:top w:val="nil"/>
              <w:left w:val="nil"/>
              <w:bottom w:val="nil"/>
              <w:right w:val="single" w:sz="4" w:space="0" w:color="000000"/>
            </w:tcBorders>
            <w:shd w:val="clear" w:color="auto" w:fill="auto"/>
            <w:noWrap/>
            <w:vAlign w:val="center"/>
            <w:hideMark/>
          </w:tcPr>
          <w:p w14:paraId="720CAD60"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.249</w:t>
            </w:r>
          </w:p>
        </w:tc>
        <w:tc>
          <w:tcPr>
            <w:tcW w:w="700" w:type="dxa"/>
            <w:tcBorders>
              <w:top w:val="nil"/>
              <w:left w:val="nil"/>
              <w:bottom w:val="nil"/>
              <w:right w:val="single" w:sz="4" w:space="0" w:color="000000"/>
            </w:tcBorders>
            <w:shd w:val="clear" w:color="auto" w:fill="auto"/>
            <w:noWrap/>
            <w:vAlign w:val="center"/>
            <w:hideMark/>
          </w:tcPr>
          <w:p w14:paraId="6B643807"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.244</w:t>
            </w:r>
          </w:p>
        </w:tc>
        <w:tc>
          <w:tcPr>
            <w:tcW w:w="700" w:type="dxa"/>
            <w:tcBorders>
              <w:top w:val="nil"/>
              <w:left w:val="nil"/>
              <w:bottom w:val="nil"/>
              <w:right w:val="single" w:sz="4" w:space="0" w:color="auto"/>
            </w:tcBorders>
            <w:shd w:val="clear" w:color="auto" w:fill="auto"/>
            <w:noWrap/>
            <w:vAlign w:val="center"/>
            <w:hideMark/>
          </w:tcPr>
          <w:p w14:paraId="7EC663FE"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.233</w:t>
            </w:r>
          </w:p>
        </w:tc>
      </w:tr>
      <w:tr w:rsidR="00623B6F" w:rsidRPr="00BE6F68" w14:paraId="788069BB"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6EBE66E0"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9</w:t>
            </w:r>
          </w:p>
        </w:tc>
        <w:tc>
          <w:tcPr>
            <w:tcW w:w="700" w:type="dxa"/>
            <w:tcBorders>
              <w:top w:val="nil"/>
              <w:left w:val="single" w:sz="4" w:space="0" w:color="auto"/>
              <w:bottom w:val="nil"/>
              <w:right w:val="single" w:sz="4" w:space="0" w:color="000000"/>
            </w:tcBorders>
            <w:shd w:val="clear" w:color="auto" w:fill="auto"/>
            <w:noWrap/>
            <w:vAlign w:val="center"/>
            <w:hideMark/>
          </w:tcPr>
          <w:p w14:paraId="197D931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.585</w:t>
            </w:r>
          </w:p>
        </w:tc>
        <w:tc>
          <w:tcPr>
            <w:tcW w:w="700" w:type="dxa"/>
            <w:tcBorders>
              <w:top w:val="nil"/>
              <w:left w:val="nil"/>
              <w:bottom w:val="nil"/>
              <w:right w:val="single" w:sz="4" w:space="0" w:color="000000"/>
            </w:tcBorders>
            <w:shd w:val="clear" w:color="auto" w:fill="auto"/>
            <w:noWrap/>
            <w:vAlign w:val="center"/>
            <w:hideMark/>
          </w:tcPr>
          <w:p w14:paraId="017FB80A"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-.034</w:t>
            </w:r>
          </w:p>
        </w:tc>
        <w:tc>
          <w:tcPr>
            <w:tcW w:w="700" w:type="dxa"/>
            <w:tcBorders>
              <w:top w:val="nil"/>
              <w:left w:val="nil"/>
              <w:bottom w:val="nil"/>
              <w:right w:val="single" w:sz="12" w:space="0" w:color="000000"/>
            </w:tcBorders>
            <w:shd w:val="clear" w:color="auto" w:fill="auto"/>
            <w:noWrap/>
            <w:vAlign w:val="center"/>
            <w:hideMark/>
          </w:tcPr>
          <w:p w14:paraId="1BC40857"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.485</w:t>
            </w:r>
          </w:p>
        </w:tc>
        <w:tc>
          <w:tcPr>
            <w:tcW w:w="624" w:type="dxa"/>
            <w:tcBorders>
              <w:top w:val="nil"/>
              <w:left w:val="nil"/>
              <w:bottom w:val="nil"/>
              <w:right w:val="single" w:sz="4" w:space="0" w:color="000000"/>
            </w:tcBorders>
            <w:shd w:val="clear" w:color="auto" w:fill="auto"/>
            <w:noWrap/>
            <w:vAlign w:val="center"/>
            <w:hideMark/>
          </w:tcPr>
          <w:p w14:paraId="4A80A7A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.661</w:t>
            </w:r>
          </w:p>
        </w:tc>
        <w:tc>
          <w:tcPr>
            <w:tcW w:w="698" w:type="dxa"/>
            <w:tcBorders>
              <w:top w:val="nil"/>
              <w:left w:val="nil"/>
              <w:bottom w:val="nil"/>
              <w:right w:val="single" w:sz="4" w:space="0" w:color="000000"/>
            </w:tcBorders>
            <w:shd w:val="clear" w:color="auto" w:fill="auto"/>
            <w:noWrap/>
            <w:vAlign w:val="center"/>
            <w:hideMark/>
          </w:tcPr>
          <w:p w14:paraId="44ABAF68"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-.059</w:t>
            </w:r>
          </w:p>
        </w:tc>
        <w:tc>
          <w:tcPr>
            <w:tcW w:w="698" w:type="dxa"/>
            <w:tcBorders>
              <w:top w:val="nil"/>
              <w:left w:val="nil"/>
              <w:bottom w:val="nil"/>
              <w:right w:val="single" w:sz="12" w:space="0" w:color="000000"/>
            </w:tcBorders>
            <w:shd w:val="clear" w:color="auto" w:fill="auto"/>
            <w:noWrap/>
            <w:vAlign w:val="center"/>
            <w:hideMark/>
          </w:tcPr>
          <w:p w14:paraId="0974F7C2"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.377</w:t>
            </w:r>
          </w:p>
        </w:tc>
        <w:tc>
          <w:tcPr>
            <w:tcW w:w="618" w:type="dxa"/>
            <w:tcBorders>
              <w:top w:val="nil"/>
              <w:left w:val="nil"/>
              <w:bottom w:val="nil"/>
              <w:right w:val="single" w:sz="4" w:space="0" w:color="000000"/>
            </w:tcBorders>
            <w:shd w:val="clear" w:color="auto" w:fill="auto"/>
            <w:noWrap/>
            <w:vAlign w:val="center"/>
            <w:hideMark/>
          </w:tcPr>
          <w:p w14:paraId="6751922F"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.631</w:t>
            </w:r>
          </w:p>
        </w:tc>
        <w:tc>
          <w:tcPr>
            <w:tcW w:w="691" w:type="dxa"/>
            <w:tcBorders>
              <w:top w:val="nil"/>
              <w:left w:val="nil"/>
              <w:bottom w:val="nil"/>
              <w:right w:val="single" w:sz="4" w:space="0" w:color="000000"/>
            </w:tcBorders>
            <w:shd w:val="clear" w:color="auto" w:fill="auto"/>
            <w:noWrap/>
            <w:vAlign w:val="center"/>
            <w:hideMark/>
          </w:tcPr>
          <w:p w14:paraId="3F620491"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-.040</w:t>
            </w:r>
          </w:p>
        </w:tc>
        <w:tc>
          <w:tcPr>
            <w:tcW w:w="691" w:type="dxa"/>
            <w:tcBorders>
              <w:top w:val="nil"/>
              <w:left w:val="nil"/>
              <w:bottom w:val="nil"/>
              <w:right w:val="single" w:sz="12" w:space="0" w:color="000000"/>
            </w:tcBorders>
            <w:shd w:val="clear" w:color="auto" w:fill="auto"/>
            <w:noWrap/>
            <w:vAlign w:val="center"/>
            <w:hideMark/>
          </w:tcPr>
          <w:p w14:paraId="2E56134E"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.429</w:t>
            </w:r>
          </w:p>
        </w:tc>
        <w:tc>
          <w:tcPr>
            <w:tcW w:w="700" w:type="dxa"/>
            <w:tcBorders>
              <w:top w:val="nil"/>
              <w:left w:val="nil"/>
              <w:bottom w:val="nil"/>
              <w:right w:val="single" w:sz="4" w:space="0" w:color="000000"/>
            </w:tcBorders>
            <w:shd w:val="clear" w:color="auto" w:fill="auto"/>
            <w:noWrap/>
            <w:vAlign w:val="center"/>
            <w:hideMark/>
          </w:tcPr>
          <w:p w14:paraId="372F6F0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.485</w:t>
            </w:r>
          </w:p>
        </w:tc>
        <w:tc>
          <w:tcPr>
            <w:tcW w:w="700" w:type="dxa"/>
            <w:tcBorders>
              <w:top w:val="nil"/>
              <w:left w:val="nil"/>
              <w:bottom w:val="nil"/>
              <w:right w:val="single" w:sz="4" w:space="0" w:color="000000"/>
            </w:tcBorders>
            <w:shd w:val="clear" w:color="auto" w:fill="auto"/>
            <w:noWrap/>
            <w:vAlign w:val="center"/>
            <w:hideMark/>
          </w:tcPr>
          <w:p w14:paraId="31C240C5"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-.174</w:t>
            </w:r>
          </w:p>
        </w:tc>
        <w:tc>
          <w:tcPr>
            <w:tcW w:w="700" w:type="dxa"/>
            <w:tcBorders>
              <w:top w:val="nil"/>
              <w:left w:val="nil"/>
              <w:bottom w:val="nil"/>
              <w:right w:val="single" w:sz="4" w:space="0" w:color="000000"/>
            </w:tcBorders>
            <w:shd w:val="clear" w:color="auto" w:fill="auto"/>
            <w:noWrap/>
            <w:vAlign w:val="center"/>
            <w:hideMark/>
          </w:tcPr>
          <w:p w14:paraId="043BA361"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.409</w:t>
            </w:r>
          </w:p>
        </w:tc>
        <w:tc>
          <w:tcPr>
            <w:tcW w:w="700" w:type="dxa"/>
            <w:tcBorders>
              <w:top w:val="nil"/>
              <w:left w:val="nil"/>
              <w:bottom w:val="nil"/>
              <w:right w:val="single" w:sz="4" w:space="0" w:color="auto"/>
            </w:tcBorders>
            <w:shd w:val="clear" w:color="auto" w:fill="auto"/>
            <w:noWrap/>
            <w:vAlign w:val="center"/>
            <w:hideMark/>
          </w:tcPr>
          <w:p w14:paraId="7EF78398"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.468</w:t>
            </w:r>
          </w:p>
        </w:tc>
      </w:tr>
      <w:tr w:rsidR="00623B6F" w:rsidRPr="00BE6F68" w14:paraId="7C68555D"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7165338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10</w:t>
            </w:r>
          </w:p>
        </w:tc>
        <w:tc>
          <w:tcPr>
            <w:tcW w:w="700" w:type="dxa"/>
            <w:tcBorders>
              <w:top w:val="nil"/>
              <w:left w:val="single" w:sz="4" w:space="0" w:color="auto"/>
              <w:bottom w:val="nil"/>
              <w:right w:val="single" w:sz="4" w:space="0" w:color="000000"/>
            </w:tcBorders>
            <w:shd w:val="clear" w:color="auto" w:fill="auto"/>
            <w:noWrap/>
            <w:vAlign w:val="center"/>
            <w:hideMark/>
          </w:tcPr>
          <w:p w14:paraId="5276A0F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.841</w:t>
            </w:r>
          </w:p>
        </w:tc>
        <w:tc>
          <w:tcPr>
            <w:tcW w:w="700" w:type="dxa"/>
            <w:tcBorders>
              <w:top w:val="nil"/>
              <w:left w:val="nil"/>
              <w:bottom w:val="nil"/>
              <w:right w:val="single" w:sz="4" w:space="0" w:color="000000"/>
            </w:tcBorders>
            <w:shd w:val="clear" w:color="auto" w:fill="auto"/>
            <w:noWrap/>
            <w:vAlign w:val="center"/>
            <w:hideMark/>
          </w:tcPr>
          <w:p w14:paraId="2C0A760E"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.119</w:t>
            </w:r>
          </w:p>
        </w:tc>
        <w:tc>
          <w:tcPr>
            <w:tcW w:w="700" w:type="dxa"/>
            <w:tcBorders>
              <w:top w:val="nil"/>
              <w:left w:val="nil"/>
              <w:bottom w:val="nil"/>
              <w:right w:val="single" w:sz="12" w:space="0" w:color="000000"/>
            </w:tcBorders>
            <w:shd w:val="clear" w:color="auto" w:fill="auto"/>
            <w:noWrap/>
            <w:vAlign w:val="center"/>
            <w:hideMark/>
          </w:tcPr>
          <w:p w14:paraId="285FCBC2"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.250</w:t>
            </w:r>
          </w:p>
        </w:tc>
        <w:tc>
          <w:tcPr>
            <w:tcW w:w="624" w:type="dxa"/>
            <w:tcBorders>
              <w:top w:val="nil"/>
              <w:left w:val="nil"/>
              <w:bottom w:val="nil"/>
              <w:right w:val="single" w:sz="4" w:space="0" w:color="000000"/>
            </w:tcBorders>
            <w:shd w:val="clear" w:color="auto" w:fill="auto"/>
            <w:noWrap/>
            <w:vAlign w:val="center"/>
            <w:hideMark/>
          </w:tcPr>
          <w:p w14:paraId="7E188EB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.795</w:t>
            </w:r>
          </w:p>
        </w:tc>
        <w:tc>
          <w:tcPr>
            <w:tcW w:w="698" w:type="dxa"/>
            <w:tcBorders>
              <w:top w:val="nil"/>
              <w:left w:val="nil"/>
              <w:bottom w:val="nil"/>
              <w:right w:val="single" w:sz="4" w:space="0" w:color="000000"/>
            </w:tcBorders>
            <w:shd w:val="clear" w:color="auto" w:fill="auto"/>
            <w:noWrap/>
            <w:vAlign w:val="center"/>
            <w:hideMark/>
          </w:tcPr>
          <w:p w14:paraId="0F270581"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.142</w:t>
            </w:r>
          </w:p>
        </w:tc>
        <w:tc>
          <w:tcPr>
            <w:tcW w:w="698" w:type="dxa"/>
            <w:tcBorders>
              <w:top w:val="nil"/>
              <w:left w:val="nil"/>
              <w:bottom w:val="nil"/>
              <w:right w:val="single" w:sz="12" w:space="0" w:color="000000"/>
            </w:tcBorders>
            <w:shd w:val="clear" w:color="auto" w:fill="auto"/>
            <w:noWrap/>
            <w:vAlign w:val="center"/>
            <w:hideMark/>
          </w:tcPr>
          <w:p w14:paraId="670ADA3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.243</w:t>
            </w:r>
          </w:p>
        </w:tc>
        <w:tc>
          <w:tcPr>
            <w:tcW w:w="618" w:type="dxa"/>
            <w:tcBorders>
              <w:top w:val="nil"/>
              <w:left w:val="nil"/>
              <w:bottom w:val="nil"/>
              <w:right w:val="single" w:sz="4" w:space="0" w:color="000000"/>
            </w:tcBorders>
            <w:shd w:val="clear" w:color="auto" w:fill="auto"/>
            <w:noWrap/>
            <w:vAlign w:val="center"/>
            <w:hideMark/>
          </w:tcPr>
          <w:p w14:paraId="26632EB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.826</w:t>
            </w:r>
          </w:p>
        </w:tc>
        <w:tc>
          <w:tcPr>
            <w:tcW w:w="691" w:type="dxa"/>
            <w:tcBorders>
              <w:top w:val="nil"/>
              <w:left w:val="nil"/>
              <w:bottom w:val="nil"/>
              <w:right w:val="single" w:sz="4" w:space="0" w:color="000000"/>
            </w:tcBorders>
            <w:shd w:val="clear" w:color="auto" w:fill="auto"/>
            <w:noWrap/>
            <w:vAlign w:val="center"/>
            <w:hideMark/>
          </w:tcPr>
          <w:p w14:paraId="460463DF"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.126</w:t>
            </w:r>
          </w:p>
        </w:tc>
        <w:tc>
          <w:tcPr>
            <w:tcW w:w="691" w:type="dxa"/>
            <w:tcBorders>
              <w:top w:val="nil"/>
              <w:left w:val="nil"/>
              <w:bottom w:val="nil"/>
              <w:right w:val="single" w:sz="12" w:space="0" w:color="000000"/>
            </w:tcBorders>
            <w:shd w:val="clear" w:color="auto" w:fill="auto"/>
            <w:noWrap/>
            <w:vAlign w:val="center"/>
            <w:hideMark/>
          </w:tcPr>
          <w:p w14:paraId="317834B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.249</w:t>
            </w:r>
          </w:p>
        </w:tc>
        <w:tc>
          <w:tcPr>
            <w:tcW w:w="700" w:type="dxa"/>
            <w:tcBorders>
              <w:top w:val="nil"/>
              <w:left w:val="nil"/>
              <w:bottom w:val="nil"/>
              <w:right w:val="single" w:sz="4" w:space="0" w:color="000000"/>
            </w:tcBorders>
            <w:shd w:val="clear" w:color="auto" w:fill="auto"/>
            <w:noWrap/>
            <w:vAlign w:val="center"/>
            <w:hideMark/>
          </w:tcPr>
          <w:p w14:paraId="6B8BD827"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.873</w:t>
            </w:r>
          </w:p>
        </w:tc>
        <w:tc>
          <w:tcPr>
            <w:tcW w:w="700" w:type="dxa"/>
            <w:tcBorders>
              <w:top w:val="nil"/>
              <w:left w:val="nil"/>
              <w:bottom w:val="nil"/>
              <w:right w:val="single" w:sz="4" w:space="0" w:color="000000"/>
            </w:tcBorders>
            <w:shd w:val="clear" w:color="auto" w:fill="auto"/>
            <w:noWrap/>
            <w:vAlign w:val="center"/>
            <w:hideMark/>
          </w:tcPr>
          <w:p w14:paraId="6EF0316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.139</w:t>
            </w:r>
          </w:p>
        </w:tc>
        <w:tc>
          <w:tcPr>
            <w:tcW w:w="700" w:type="dxa"/>
            <w:tcBorders>
              <w:top w:val="nil"/>
              <w:left w:val="nil"/>
              <w:bottom w:val="nil"/>
              <w:right w:val="single" w:sz="4" w:space="0" w:color="000000"/>
            </w:tcBorders>
            <w:shd w:val="clear" w:color="auto" w:fill="auto"/>
            <w:noWrap/>
            <w:vAlign w:val="center"/>
            <w:hideMark/>
          </w:tcPr>
          <w:p w14:paraId="0FA4F3C0"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.196</w:t>
            </w:r>
          </w:p>
        </w:tc>
        <w:tc>
          <w:tcPr>
            <w:tcW w:w="700" w:type="dxa"/>
            <w:tcBorders>
              <w:top w:val="nil"/>
              <w:left w:val="nil"/>
              <w:bottom w:val="nil"/>
              <w:right w:val="single" w:sz="4" w:space="0" w:color="auto"/>
            </w:tcBorders>
            <w:shd w:val="clear" w:color="auto" w:fill="auto"/>
            <w:noWrap/>
            <w:vAlign w:val="center"/>
            <w:hideMark/>
          </w:tcPr>
          <w:p w14:paraId="4627B570"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.149</w:t>
            </w:r>
          </w:p>
        </w:tc>
      </w:tr>
      <w:tr w:rsidR="00623B6F" w:rsidRPr="00BE6F68" w14:paraId="2B8C3896" w14:textId="77777777" w:rsidTr="00F514B8">
        <w:trPr>
          <w:trHeight w:val="255"/>
        </w:trPr>
        <w:tc>
          <w:tcPr>
            <w:tcW w:w="400" w:type="dxa"/>
            <w:tcBorders>
              <w:top w:val="nil"/>
              <w:left w:val="single" w:sz="4" w:space="0" w:color="auto"/>
              <w:bottom w:val="nil"/>
              <w:right w:val="nil"/>
            </w:tcBorders>
            <w:shd w:val="clear" w:color="auto" w:fill="auto"/>
            <w:noWrap/>
            <w:vAlign w:val="bottom"/>
            <w:hideMark/>
          </w:tcPr>
          <w:p w14:paraId="499FBC28"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11</w:t>
            </w:r>
          </w:p>
        </w:tc>
        <w:tc>
          <w:tcPr>
            <w:tcW w:w="700" w:type="dxa"/>
            <w:tcBorders>
              <w:top w:val="nil"/>
              <w:left w:val="single" w:sz="4" w:space="0" w:color="auto"/>
              <w:bottom w:val="nil"/>
              <w:right w:val="single" w:sz="4" w:space="0" w:color="000000"/>
            </w:tcBorders>
            <w:shd w:val="clear" w:color="auto" w:fill="auto"/>
            <w:noWrap/>
            <w:vAlign w:val="center"/>
            <w:hideMark/>
          </w:tcPr>
          <w:p w14:paraId="10022F9D"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.850</w:t>
            </w:r>
          </w:p>
        </w:tc>
        <w:tc>
          <w:tcPr>
            <w:tcW w:w="700" w:type="dxa"/>
            <w:tcBorders>
              <w:top w:val="nil"/>
              <w:left w:val="nil"/>
              <w:bottom w:val="nil"/>
              <w:right w:val="single" w:sz="4" w:space="0" w:color="000000"/>
            </w:tcBorders>
            <w:shd w:val="clear" w:color="auto" w:fill="auto"/>
            <w:noWrap/>
            <w:vAlign w:val="center"/>
            <w:hideMark/>
          </w:tcPr>
          <w:p w14:paraId="3EE94EC9"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.107</w:t>
            </w:r>
          </w:p>
        </w:tc>
        <w:tc>
          <w:tcPr>
            <w:tcW w:w="700" w:type="dxa"/>
            <w:tcBorders>
              <w:top w:val="nil"/>
              <w:left w:val="nil"/>
              <w:bottom w:val="nil"/>
              <w:right w:val="single" w:sz="12" w:space="0" w:color="000000"/>
            </w:tcBorders>
            <w:shd w:val="clear" w:color="auto" w:fill="auto"/>
            <w:noWrap/>
            <w:vAlign w:val="center"/>
            <w:hideMark/>
          </w:tcPr>
          <w:p w14:paraId="17804A11"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.214</w:t>
            </w:r>
          </w:p>
        </w:tc>
        <w:tc>
          <w:tcPr>
            <w:tcW w:w="624" w:type="dxa"/>
            <w:tcBorders>
              <w:top w:val="nil"/>
              <w:left w:val="nil"/>
              <w:bottom w:val="nil"/>
              <w:right w:val="single" w:sz="4" w:space="0" w:color="000000"/>
            </w:tcBorders>
            <w:shd w:val="clear" w:color="auto" w:fill="auto"/>
            <w:noWrap/>
            <w:vAlign w:val="center"/>
            <w:hideMark/>
          </w:tcPr>
          <w:p w14:paraId="2FA627DF"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.808</w:t>
            </w:r>
          </w:p>
        </w:tc>
        <w:tc>
          <w:tcPr>
            <w:tcW w:w="698" w:type="dxa"/>
            <w:tcBorders>
              <w:top w:val="nil"/>
              <w:left w:val="nil"/>
              <w:bottom w:val="nil"/>
              <w:right w:val="single" w:sz="4" w:space="0" w:color="000000"/>
            </w:tcBorders>
            <w:shd w:val="clear" w:color="auto" w:fill="auto"/>
            <w:noWrap/>
            <w:vAlign w:val="center"/>
            <w:hideMark/>
          </w:tcPr>
          <w:p w14:paraId="14546A9C"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.183</w:t>
            </w:r>
          </w:p>
        </w:tc>
        <w:tc>
          <w:tcPr>
            <w:tcW w:w="698" w:type="dxa"/>
            <w:tcBorders>
              <w:top w:val="nil"/>
              <w:left w:val="nil"/>
              <w:bottom w:val="nil"/>
              <w:right w:val="single" w:sz="12" w:space="0" w:color="000000"/>
            </w:tcBorders>
            <w:shd w:val="clear" w:color="auto" w:fill="auto"/>
            <w:noWrap/>
            <w:vAlign w:val="center"/>
            <w:hideMark/>
          </w:tcPr>
          <w:p w14:paraId="058A98ED"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.224</w:t>
            </w:r>
          </w:p>
        </w:tc>
        <w:tc>
          <w:tcPr>
            <w:tcW w:w="618" w:type="dxa"/>
            <w:tcBorders>
              <w:top w:val="nil"/>
              <w:left w:val="nil"/>
              <w:bottom w:val="nil"/>
              <w:right w:val="single" w:sz="4" w:space="0" w:color="000000"/>
            </w:tcBorders>
            <w:shd w:val="clear" w:color="auto" w:fill="auto"/>
            <w:noWrap/>
            <w:vAlign w:val="center"/>
            <w:hideMark/>
          </w:tcPr>
          <w:p w14:paraId="31195CB1"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.833</w:t>
            </w:r>
          </w:p>
        </w:tc>
        <w:tc>
          <w:tcPr>
            <w:tcW w:w="691" w:type="dxa"/>
            <w:tcBorders>
              <w:top w:val="nil"/>
              <w:left w:val="nil"/>
              <w:bottom w:val="nil"/>
              <w:right w:val="single" w:sz="4" w:space="0" w:color="000000"/>
            </w:tcBorders>
            <w:shd w:val="clear" w:color="auto" w:fill="auto"/>
            <w:noWrap/>
            <w:vAlign w:val="center"/>
            <w:hideMark/>
          </w:tcPr>
          <w:p w14:paraId="3505CCAA"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.141</w:t>
            </w:r>
          </w:p>
        </w:tc>
        <w:tc>
          <w:tcPr>
            <w:tcW w:w="691" w:type="dxa"/>
            <w:tcBorders>
              <w:top w:val="nil"/>
              <w:left w:val="nil"/>
              <w:bottom w:val="nil"/>
              <w:right w:val="single" w:sz="12" w:space="0" w:color="000000"/>
            </w:tcBorders>
            <w:shd w:val="clear" w:color="auto" w:fill="auto"/>
            <w:noWrap/>
            <w:vAlign w:val="center"/>
            <w:hideMark/>
          </w:tcPr>
          <w:p w14:paraId="3A8971D8"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.228</w:t>
            </w:r>
          </w:p>
        </w:tc>
        <w:tc>
          <w:tcPr>
            <w:tcW w:w="700" w:type="dxa"/>
            <w:tcBorders>
              <w:top w:val="nil"/>
              <w:left w:val="nil"/>
              <w:bottom w:val="nil"/>
              <w:right w:val="single" w:sz="4" w:space="0" w:color="000000"/>
            </w:tcBorders>
            <w:shd w:val="clear" w:color="auto" w:fill="auto"/>
            <w:noWrap/>
            <w:vAlign w:val="center"/>
            <w:hideMark/>
          </w:tcPr>
          <w:p w14:paraId="45E14E60"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.874</w:t>
            </w:r>
          </w:p>
        </w:tc>
        <w:tc>
          <w:tcPr>
            <w:tcW w:w="700" w:type="dxa"/>
            <w:tcBorders>
              <w:top w:val="nil"/>
              <w:left w:val="nil"/>
              <w:bottom w:val="nil"/>
              <w:right w:val="single" w:sz="4" w:space="0" w:color="000000"/>
            </w:tcBorders>
            <w:shd w:val="clear" w:color="auto" w:fill="auto"/>
            <w:noWrap/>
            <w:vAlign w:val="center"/>
            <w:hideMark/>
          </w:tcPr>
          <w:p w14:paraId="6F8889B8"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.150</w:t>
            </w:r>
          </w:p>
        </w:tc>
        <w:tc>
          <w:tcPr>
            <w:tcW w:w="700" w:type="dxa"/>
            <w:tcBorders>
              <w:top w:val="nil"/>
              <w:left w:val="nil"/>
              <w:bottom w:val="nil"/>
              <w:right w:val="single" w:sz="4" w:space="0" w:color="000000"/>
            </w:tcBorders>
            <w:shd w:val="clear" w:color="auto" w:fill="auto"/>
            <w:noWrap/>
            <w:vAlign w:val="center"/>
            <w:hideMark/>
          </w:tcPr>
          <w:p w14:paraId="641857AB"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.175</w:t>
            </w:r>
          </w:p>
        </w:tc>
        <w:tc>
          <w:tcPr>
            <w:tcW w:w="700" w:type="dxa"/>
            <w:tcBorders>
              <w:top w:val="nil"/>
              <w:left w:val="nil"/>
              <w:bottom w:val="nil"/>
              <w:right w:val="single" w:sz="4" w:space="0" w:color="auto"/>
            </w:tcBorders>
            <w:shd w:val="clear" w:color="auto" w:fill="auto"/>
            <w:noWrap/>
            <w:vAlign w:val="center"/>
            <w:hideMark/>
          </w:tcPr>
          <w:p w14:paraId="14E836D5"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.164</w:t>
            </w:r>
          </w:p>
        </w:tc>
      </w:tr>
      <w:tr w:rsidR="00623B6F" w:rsidRPr="00BE6F68" w14:paraId="47A0CEA6" w14:textId="77777777" w:rsidTr="00F514B8">
        <w:trPr>
          <w:trHeight w:val="255"/>
        </w:trPr>
        <w:tc>
          <w:tcPr>
            <w:tcW w:w="400" w:type="dxa"/>
            <w:tcBorders>
              <w:top w:val="nil"/>
              <w:left w:val="single" w:sz="4" w:space="0" w:color="auto"/>
              <w:bottom w:val="single" w:sz="4" w:space="0" w:color="auto"/>
              <w:right w:val="nil"/>
            </w:tcBorders>
            <w:shd w:val="clear" w:color="auto" w:fill="auto"/>
            <w:noWrap/>
            <w:vAlign w:val="bottom"/>
            <w:hideMark/>
          </w:tcPr>
          <w:p w14:paraId="3D63969A"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12</w:t>
            </w:r>
          </w:p>
        </w:tc>
        <w:tc>
          <w:tcPr>
            <w:tcW w:w="700" w:type="dxa"/>
            <w:tcBorders>
              <w:top w:val="nil"/>
              <w:left w:val="single" w:sz="4" w:space="0" w:color="auto"/>
              <w:bottom w:val="single" w:sz="4" w:space="0" w:color="auto"/>
              <w:right w:val="single" w:sz="4" w:space="0" w:color="000000"/>
            </w:tcBorders>
            <w:shd w:val="clear" w:color="auto" w:fill="auto"/>
            <w:noWrap/>
            <w:vAlign w:val="center"/>
            <w:hideMark/>
          </w:tcPr>
          <w:p w14:paraId="3095700E"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.307</w:t>
            </w:r>
          </w:p>
        </w:tc>
        <w:tc>
          <w:tcPr>
            <w:tcW w:w="700" w:type="dxa"/>
            <w:tcBorders>
              <w:top w:val="nil"/>
              <w:left w:val="nil"/>
              <w:bottom w:val="single" w:sz="4" w:space="0" w:color="auto"/>
              <w:right w:val="single" w:sz="4" w:space="0" w:color="000000"/>
            </w:tcBorders>
            <w:shd w:val="clear" w:color="auto" w:fill="auto"/>
            <w:noWrap/>
            <w:vAlign w:val="center"/>
            <w:hideMark/>
          </w:tcPr>
          <w:p w14:paraId="6FF8A851"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.240</w:t>
            </w:r>
          </w:p>
        </w:tc>
        <w:tc>
          <w:tcPr>
            <w:tcW w:w="700" w:type="dxa"/>
            <w:tcBorders>
              <w:top w:val="nil"/>
              <w:left w:val="nil"/>
              <w:bottom w:val="single" w:sz="4" w:space="0" w:color="auto"/>
              <w:right w:val="single" w:sz="12" w:space="0" w:color="000000"/>
            </w:tcBorders>
            <w:shd w:val="clear" w:color="auto" w:fill="auto"/>
            <w:noWrap/>
            <w:vAlign w:val="center"/>
            <w:hideMark/>
          </w:tcPr>
          <w:p w14:paraId="315E2676"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.668</w:t>
            </w:r>
          </w:p>
        </w:tc>
        <w:tc>
          <w:tcPr>
            <w:tcW w:w="624" w:type="dxa"/>
            <w:tcBorders>
              <w:top w:val="nil"/>
              <w:left w:val="nil"/>
              <w:bottom w:val="single" w:sz="4" w:space="0" w:color="auto"/>
              <w:right w:val="single" w:sz="4" w:space="0" w:color="000000"/>
            </w:tcBorders>
            <w:shd w:val="clear" w:color="auto" w:fill="auto"/>
            <w:noWrap/>
            <w:vAlign w:val="center"/>
            <w:hideMark/>
          </w:tcPr>
          <w:p w14:paraId="03F63A3D"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.481</w:t>
            </w:r>
          </w:p>
        </w:tc>
        <w:tc>
          <w:tcPr>
            <w:tcW w:w="698" w:type="dxa"/>
            <w:tcBorders>
              <w:top w:val="nil"/>
              <w:left w:val="nil"/>
              <w:bottom w:val="single" w:sz="4" w:space="0" w:color="auto"/>
              <w:right w:val="single" w:sz="4" w:space="0" w:color="000000"/>
            </w:tcBorders>
            <w:shd w:val="clear" w:color="auto" w:fill="auto"/>
            <w:noWrap/>
            <w:vAlign w:val="center"/>
            <w:hideMark/>
          </w:tcPr>
          <w:p w14:paraId="1824E093"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.259</w:t>
            </w:r>
          </w:p>
        </w:tc>
        <w:tc>
          <w:tcPr>
            <w:tcW w:w="698" w:type="dxa"/>
            <w:tcBorders>
              <w:top w:val="nil"/>
              <w:left w:val="nil"/>
              <w:bottom w:val="single" w:sz="4" w:space="0" w:color="auto"/>
              <w:right w:val="single" w:sz="12" w:space="0" w:color="000000"/>
            </w:tcBorders>
            <w:shd w:val="clear" w:color="auto" w:fill="auto"/>
            <w:noWrap/>
            <w:vAlign w:val="center"/>
            <w:hideMark/>
          </w:tcPr>
          <w:p w14:paraId="59C81389"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.553</w:t>
            </w:r>
          </w:p>
        </w:tc>
        <w:tc>
          <w:tcPr>
            <w:tcW w:w="618" w:type="dxa"/>
            <w:tcBorders>
              <w:top w:val="nil"/>
              <w:left w:val="nil"/>
              <w:bottom w:val="single" w:sz="4" w:space="0" w:color="auto"/>
              <w:right w:val="single" w:sz="4" w:space="0" w:color="000000"/>
            </w:tcBorders>
            <w:shd w:val="clear" w:color="auto" w:fill="auto"/>
            <w:noWrap/>
            <w:vAlign w:val="center"/>
            <w:hideMark/>
          </w:tcPr>
          <w:p w14:paraId="6BA24815"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.398</w:t>
            </w:r>
          </w:p>
        </w:tc>
        <w:tc>
          <w:tcPr>
            <w:tcW w:w="691" w:type="dxa"/>
            <w:tcBorders>
              <w:top w:val="nil"/>
              <w:left w:val="nil"/>
              <w:bottom w:val="single" w:sz="4" w:space="0" w:color="auto"/>
              <w:right w:val="single" w:sz="4" w:space="0" w:color="000000"/>
            </w:tcBorders>
            <w:shd w:val="clear" w:color="auto" w:fill="auto"/>
            <w:noWrap/>
            <w:vAlign w:val="center"/>
            <w:hideMark/>
          </w:tcPr>
          <w:p w14:paraId="4BB43B40"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.269</w:t>
            </w:r>
          </w:p>
        </w:tc>
        <w:tc>
          <w:tcPr>
            <w:tcW w:w="691" w:type="dxa"/>
            <w:tcBorders>
              <w:top w:val="nil"/>
              <w:left w:val="nil"/>
              <w:bottom w:val="single" w:sz="4" w:space="0" w:color="auto"/>
              <w:right w:val="single" w:sz="12" w:space="0" w:color="000000"/>
            </w:tcBorders>
            <w:shd w:val="clear" w:color="auto" w:fill="auto"/>
            <w:noWrap/>
            <w:vAlign w:val="center"/>
            <w:hideMark/>
          </w:tcPr>
          <w:p w14:paraId="5C51D632"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.608</w:t>
            </w:r>
          </w:p>
        </w:tc>
        <w:tc>
          <w:tcPr>
            <w:tcW w:w="700" w:type="dxa"/>
            <w:tcBorders>
              <w:top w:val="nil"/>
              <w:left w:val="nil"/>
              <w:bottom w:val="single" w:sz="4" w:space="0" w:color="auto"/>
              <w:right w:val="single" w:sz="4" w:space="0" w:color="000000"/>
            </w:tcBorders>
            <w:shd w:val="clear" w:color="auto" w:fill="auto"/>
            <w:noWrap/>
            <w:vAlign w:val="center"/>
            <w:hideMark/>
          </w:tcPr>
          <w:p w14:paraId="4A933519"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.228</w:t>
            </w:r>
          </w:p>
        </w:tc>
        <w:tc>
          <w:tcPr>
            <w:tcW w:w="700" w:type="dxa"/>
            <w:tcBorders>
              <w:top w:val="nil"/>
              <w:left w:val="nil"/>
              <w:bottom w:val="single" w:sz="4" w:space="0" w:color="auto"/>
              <w:right w:val="single" w:sz="4" w:space="0" w:color="000000"/>
            </w:tcBorders>
            <w:shd w:val="clear" w:color="auto" w:fill="auto"/>
            <w:noWrap/>
            <w:vAlign w:val="center"/>
            <w:hideMark/>
          </w:tcPr>
          <w:p w14:paraId="0C68E05E" w14:textId="77777777" w:rsidR="00623B6F" w:rsidRPr="00BE6F68" w:rsidRDefault="00623B6F" w:rsidP="00BF3020">
            <w:pPr>
              <w:spacing w:after="0" w:line="480" w:lineRule="auto"/>
              <w:jc w:val="center"/>
              <w:rPr>
                <w:rFonts w:asciiTheme="minorHAnsi" w:eastAsia="Times New Roman" w:hAnsiTheme="minorHAnsi"/>
                <w:color w:val="000000"/>
                <w:lang w:eastAsia="en-GB"/>
              </w:rPr>
            </w:pPr>
            <w:r w:rsidRPr="00BE6F68">
              <w:rPr>
                <w:rFonts w:asciiTheme="minorHAnsi" w:eastAsia="Times New Roman" w:hAnsiTheme="minorHAnsi"/>
                <w:color w:val="000000"/>
                <w:lang w:eastAsia="en-GB"/>
              </w:rPr>
              <w:t>.109</w:t>
            </w:r>
          </w:p>
        </w:tc>
        <w:tc>
          <w:tcPr>
            <w:tcW w:w="700" w:type="dxa"/>
            <w:tcBorders>
              <w:top w:val="nil"/>
              <w:left w:val="nil"/>
              <w:bottom w:val="single" w:sz="4" w:space="0" w:color="auto"/>
              <w:right w:val="single" w:sz="4" w:space="0" w:color="000000"/>
            </w:tcBorders>
            <w:shd w:val="clear" w:color="auto" w:fill="auto"/>
            <w:noWrap/>
            <w:vAlign w:val="center"/>
            <w:hideMark/>
          </w:tcPr>
          <w:p w14:paraId="2E743949" w14:textId="77777777" w:rsidR="00623B6F" w:rsidRPr="00BE6F68" w:rsidRDefault="00623B6F" w:rsidP="00BF3020">
            <w:pPr>
              <w:spacing w:after="0" w:line="480" w:lineRule="auto"/>
              <w:jc w:val="center"/>
              <w:rPr>
                <w:rFonts w:asciiTheme="minorHAnsi" w:eastAsia="Times New Roman" w:hAnsiTheme="minorHAnsi"/>
                <w:b/>
                <w:bCs/>
                <w:color w:val="000000"/>
                <w:lang w:eastAsia="en-GB"/>
              </w:rPr>
            </w:pPr>
            <w:r w:rsidRPr="00BE6F68">
              <w:rPr>
                <w:rFonts w:asciiTheme="minorHAnsi" w:eastAsia="Times New Roman" w:hAnsiTheme="minorHAnsi"/>
                <w:b/>
                <w:bCs/>
                <w:color w:val="000000"/>
                <w:lang w:eastAsia="en-GB"/>
              </w:rPr>
              <w:t>.609</w:t>
            </w:r>
          </w:p>
        </w:tc>
        <w:tc>
          <w:tcPr>
            <w:tcW w:w="700" w:type="dxa"/>
            <w:tcBorders>
              <w:top w:val="nil"/>
              <w:left w:val="nil"/>
              <w:bottom w:val="single" w:sz="4" w:space="0" w:color="auto"/>
              <w:right w:val="single" w:sz="4" w:space="0" w:color="auto"/>
            </w:tcBorders>
            <w:shd w:val="clear" w:color="auto" w:fill="auto"/>
            <w:noWrap/>
            <w:vAlign w:val="center"/>
            <w:hideMark/>
          </w:tcPr>
          <w:p w14:paraId="3BC675C5" w14:textId="77777777" w:rsidR="00623B6F" w:rsidRPr="00BE6F68" w:rsidRDefault="00623B6F" w:rsidP="00BF3020">
            <w:pPr>
              <w:spacing w:after="0" w:line="480" w:lineRule="auto"/>
              <w:jc w:val="center"/>
              <w:rPr>
                <w:rFonts w:asciiTheme="minorHAnsi" w:eastAsia="Times New Roman" w:hAnsiTheme="minorHAnsi"/>
                <w:i/>
                <w:iCs/>
                <w:color w:val="000000"/>
                <w:lang w:eastAsia="en-GB"/>
              </w:rPr>
            </w:pPr>
            <w:r w:rsidRPr="00BE6F68">
              <w:rPr>
                <w:rFonts w:asciiTheme="minorHAnsi" w:eastAsia="Times New Roman" w:hAnsiTheme="minorHAnsi"/>
                <w:i/>
                <w:iCs/>
                <w:color w:val="000000"/>
                <w:lang w:eastAsia="en-GB"/>
              </w:rPr>
              <w:t>.537</w:t>
            </w:r>
          </w:p>
        </w:tc>
      </w:tr>
    </w:tbl>
    <w:p w14:paraId="0C7EE34F" w14:textId="25F672BD" w:rsidR="0034746C" w:rsidRPr="00BE6F68" w:rsidRDefault="00EF3D0A" w:rsidP="00BF3020">
      <w:pPr>
        <w:spacing w:line="480" w:lineRule="auto"/>
        <w:jc w:val="both"/>
        <w:rPr>
          <w:rFonts w:asciiTheme="minorHAnsi" w:hAnsiTheme="minorHAnsi"/>
        </w:rPr>
      </w:pPr>
      <w:r>
        <w:rPr>
          <w:rFonts w:asciiTheme="minorHAnsi" w:hAnsiTheme="minorHAnsi"/>
        </w:rPr>
        <w:lastRenderedPageBreak/>
        <w:t>This additional file</w:t>
      </w:r>
      <w:r w:rsidR="00E341EB" w:rsidRPr="00BE6F68">
        <w:rPr>
          <w:rFonts w:asciiTheme="minorHAnsi" w:hAnsiTheme="minorHAnsi"/>
        </w:rPr>
        <w:t xml:space="preserve"> </w:t>
      </w:r>
      <w:r w:rsidR="00853892" w:rsidRPr="00BE6F68">
        <w:rPr>
          <w:rFonts w:asciiTheme="minorHAnsi" w:hAnsiTheme="minorHAnsi"/>
        </w:rPr>
        <w:t xml:space="preserve">Table provides the evidence for the decision to average data to produce the most reliable and </w:t>
      </w:r>
      <w:proofErr w:type="spellStart"/>
      <w:r w:rsidR="00853892" w:rsidRPr="00BE6F68">
        <w:rPr>
          <w:rFonts w:asciiTheme="minorHAnsi" w:hAnsiTheme="minorHAnsi"/>
        </w:rPr>
        <w:t>generalisable</w:t>
      </w:r>
      <w:proofErr w:type="spellEnd"/>
      <w:r w:rsidR="00853892" w:rsidRPr="00BE6F68">
        <w:rPr>
          <w:rFonts w:asciiTheme="minorHAnsi" w:hAnsiTheme="minorHAnsi"/>
        </w:rPr>
        <w:t xml:space="preserve"> factor analytic solution from the 120 data points; this in turn underpins the decision not to extract a fourth factor. Rows are the questionnaire items in their standard numbering, </w:t>
      </w:r>
      <w:r w:rsidR="00022B51" w:rsidRPr="00BE6F68">
        <w:rPr>
          <w:rFonts w:asciiTheme="minorHAnsi" w:hAnsiTheme="minorHAnsi"/>
        </w:rPr>
        <w:t xml:space="preserve">1-12 </w:t>
      </w:r>
      <w:r w:rsidR="00853892" w:rsidRPr="00BE6F68">
        <w:rPr>
          <w:rFonts w:asciiTheme="minorHAnsi" w:hAnsiTheme="minorHAnsi"/>
        </w:rPr>
        <w:t xml:space="preserve">identifiable from Table 2 </w:t>
      </w:r>
      <w:r w:rsidR="00C940F9" w:rsidRPr="00BE6F68">
        <w:rPr>
          <w:rFonts w:asciiTheme="minorHAnsi" w:hAnsiTheme="minorHAnsi"/>
        </w:rPr>
        <w:t>for interpretation purposes</w:t>
      </w:r>
      <w:r w:rsidR="00853892" w:rsidRPr="00BE6F68">
        <w:rPr>
          <w:rFonts w:asciiTheme="minorHAnsi" w:hAnsiTheme="minorHAnsi"/>
        </w:rPr>
        <w:t xml:space="preserve">. The four upper headings to the four fields refer to the data source for the analysis (and number of factors extracted) to provide </w:t>
      </w:r>
      <w:r w:rsidR="00022B51" w:rsidRPr="00BE6F68">
        <w:rPr>
          <w:rFonts w:asciiTheme="minorHAnsi" w:hAnsiTheme="minorHAnsi"/>
        </w:rPr>
        <w:t>a scoring</w:t>
      </w:r>
      <w:r w:rsidR="00853892" w:rsidRPr="00BE6F68">
        <w:rPr>
          <w:rFonts w:asciiTheme="minorHAnsi" w:hAnsiTheme="minorHAnsi"/>
        </w:rPr>
        <w:t xml:space="preserve"> formula</w:t>
      </w:r>
      <w:r w:rsidR="00022B51" w:rsidRPr="00BE6F68">
        <w:rPr>
          <w:rFonts w:asciiTheme="minorHAnsi" w:hAnsiTheme="minorHAnsi"/>
        </w:rPr>
        <w:t>,</w:t>
      </w:r>
      <w:r w:rsidR="00853892" w:rsidRPr="00BE6F68">
        <w:rPr>
          <w:rFonts w:asciiTheme="minorHAnsi" w:hAnsiTheme="minorHAnsi"/>
        </w:rPr>
        <w:t xml:space="preserve"> </w:t>
      </w:r>
      <w:r w:rsidR="00022B51" w:rsidRPr="00BE6F68">
        <w:rPr>
          <w:rFonts w:asciiTheme="minorHAnsi" w:hAnsiTheme="minorHAnsi"/>
        </w:rPr>
        <w:t>which</w:t>
      </w:r>
      <w:r w:rsidR="00853892" w:rsidRPr="00BE6F68">
        <w:rPr>
          <w:rFonts w:asciiTheme="minorHAnsi" w:hAnsiTheme="minorHAnsi"/>
        </w:rPr>
        <w:t xml:space="preserve"> can be imposed on any set of data: the very same, or another visit or other participants, or another sample in another country, to calculate individuals’ scores. The high loadings </w:t>
      </w:r>
      <w:r w:rsidR="00996241" w:rsidRPr="00BE6F68">
        <w:rPr>
          <w:rFonts w:asciiTheme="minorHAnsi" w:hAnsiTheme="minorHAnsi"/>
        </w:rPr>
        <w:t xml:space="preserve">(&gt;0.45) </w:t>
      </w:r>
      <w:r w:rsidR="00853892" w:rsidRPr="00BE6F68">
        <w:rPr>
          <w:rFonts w:asciiTheme="minorHAnsi" w:hAnsiTheme="minorHAnsi"/>
        </w:rPr>
        <w:t>identifying factors are in bold</w:t>
      </w:r>
      <w:r w:rsidR="00ED1D1A" w:rsidRPr="00BE6F68">
        <w:rPr>
          <w:rFonts w:asciiTheme="minorHAnsi" w:hAnsiTheme="minorHAnsi"/>
        </w:rPr>
        <w:t>,</w:t>
      </w:r>
      <w:r w:rsidR="00853892" w:rsidRPr="00BE6F68">
        <w:rPr>
          <w:rFonts w:asciiTheme="minorHAnsi" w:hAnsiTheme="minorHAnsi"/>
        </w:rPr>
        <w:t xml:space="preserve"> and </w:t>
      </w:r>
      <w:r w:rsidR="00022B51" w:rsidRPr="00BE6F68">
        <w:rPr>
          <w:rFonts w:asciiTheme="minorHAnsi" w:hAnsiTheme="minorHAnsi"/>
        </w:rPr>
        <w:t xml:space="preserve">the </w:t>
      </w:r>
      <w:r w:rsidR="00853892" w:rsidRPr="00BE6F68">
        <w:rPr>
          <w:rFonts w:asciiTheme="minorHAnsi" w:hAnsiTheme="minorHAnsi"/>
        </w:rPr>
        <w:t>cross-loadings &gt; 0.30 are in italic. The first issue is the similarity of the first two 3-column fields, which can already be seen in the bold patterning. More precisely, secondary correlations between visits across items</w:t>
      </w:r>
      <w:r w:rsidR="00022B51" w:rsidRPr="00BE6F68">
        <w:rPr>
          <w:rFonts w:asciiTheme="minorHAnsi" w:hAnsiTheme="minorHAnsi"/>
        </w:rPr>
        <w:t>’ loading</w:t>
      </w:r>
      <w:r w:rsidR="00BD0BB1" w:rsidRPr="00BE6F68">
        <w:rPr>
          <w:rFonts w:asciiTheme="minorHAnsi" w:hAnsiTheme="minorHAnsi"/>
        </w:rPr>
        <w:t xml:space="preserve"> values (themselves a type of correlation)</w:t>
      </w:r>
      <w:r w:rsidR="00853892" w:rsidRPr="00BE6F68">
        <w:rPr>
          <w:rFonts w:asciiTheme="minorHAnsi" w:hAnsiTheme="minorHAnsi"/>
        </w:rPr>
        <w:t xml:space="preserve"> </w:t>
      </w:r>
      <w:r w:rsidR="00022B51" w:rsidRPr="00BE6F68">
        <w:rPr>
          <w:rFonts w:asciiTheme="minorHAnsi" w:hAnsiTheme="minorHAnsi"/>
        </w:rPr>
        <w:t>exploit the most</w:t>
      </w:r>
      <w:r w:rsidR="00853892" w:rsidRPr="00BE6F68">
        <w:rPr>
          <w:rFonts w:asciiTheme="minorHAnsi" w:hAnsiTheme="minorHAnsi"/>
        </w:rPr>
        <w:t xml:space="preserve"> powerful index of agreement for any type of data, it being irrelevant that primary correlation</w:t>
      </w:r>
      <w:r w:rsidR="00022B51" w:rsidRPr="00BE6F68">
        <w:rPr>
          <w:rFonts w:asciiTheme="minorHAnsi" w:hAnsiTheme="minorHAnsi"/>
        </w:rPr>
        <w:t>s</w:t>
      </w:r>
      <w:r w:rsidR="00853892" w:rsidRPr="00BE6F68">
        <w:rPr>
          <w:rFonts w:asciiTheme="minorHAnsi" w:hAnsiTheme="minorHAnsi"/>
        </w:rPr>
        <w:t xml:space="preserve"> across individuals also underpin factor analysis. The visit 1-to-visit 2 </w:t>
      </w:r>
      <w:r w:rsidR="00022B51" w:rsidRPr="00BE6F68">
        <w:rPr>
          <w:rFonts w:asciiTheme="minorHAnsi" w:hAnsiTheme="minorHAnsi"/>
        </w:rPr>
        <w:t>(</w:t>
      </w:r>
      <w:r w:rsidR="001778D4" w:rsidRPr="00BE6F68">
        <w:rPr>
          <w:rFonts w:asciiTheme="minorHAnsi" w:hAnsiTheme="minorHAnsi"/>
        </w:rPr>
        <w:t>f</w:t>
      </w:r>
      <w:r w:rsidR="00853892" w:rsidRPr="00BE6F68">
        <w:rPr>
          <w:rFonts w:asciiTheme="minorHAnsi" w:hAnsiTheme="minorHAnsi"/>
        </w:rPr>
        <w:t>irst field to third field</w:t>
      </w:r>
      <w:r w:rsidR="00022B51" w:rsidRPr="00BE6F68">
        <w:rPr>
          <w:rFonts w:asciiTheme="minorHAnsi" w:hAnsiTheme="minorHAnsi"/>
        </w:rPr>
        <w:t>)</w:t>
      </w:r>
      <w:r w:rsidR="00853892" w:rsidRPr="00BE6F68">
        <w:rPr>
          <w:rFonts w:asciiTheme="minorHAnsi" w:hAnsiTheme="minorHAnsi"/>
        </w:rPr>
        <w:t xml:space="preserve">, secondary </w:t>
      </w:r>
      <w:proofErr w:type="spellStart"/>
      <w:r w:rsidR="00853892" w:rsidRPr="00BE6F68">
        <w:rPr>
          <w:rFonts w:asciiTheme="minorHAnsi" w:hAnsiTheme="minorHAnsi"/>
        </w:rPr>
        <w:t>r-values</w:t>
      </w:r>
      <w:proofErr w:type="spellEnd"/>
      <w:r w:rsidR="00853892" w:rsidRPr="00BE6F68">
        <w:rPr>
          <w:rFonts w:asciiTheme="minorHAnsi" w:hAnsiTheme="minorHAnsi"/>
        </w:rPr>
        <w:t xml:space="preserve"> between the respective 12 pairs of loadings for the 1</w:t>
      </w:r>
      <w:r w:rsidR="00853892" w:rsidRPr="00BE6F68">
        <w:rPr>
          <w:rFonts w:asciiTheme="minorHAnsi" w:hAnsiTheme="minorHAnsi"/>
          <w:vertAlign w:val="superscript"/>
        </w:rPr>
        <w:t>st</w:t>
      </w:r>
      <w:r w:rsidR="006F05FB">
        <w:rPr>
          <w:rFonts w:asciiTheme="minorHAnsi" w:hAnsiTheme="minorHAnsi"/>
        </w:rPr>
        <w:t>,</w:t>
      </w:r>
      <w:r w:rsidR="00853892" w:rsidRPr="00BE6F68">
        <w:rPr>
          <w:rFonts w:asciiTheme="minorHAnsi" w:hAnsiTheme="minorHAnsi"/>
        </w:rPr>
        <w:t xml:space="preserve"> 2</w:t>
      </w:r>
      <w:r w:rsidR="00853892" w:rsidRPr="00BE6F68">
        <w:rPr>
          <w:rFonts w:asciiTheme="minorHAnsi" w:hAnsiTheme="minorHAnsi"/>
          <w:vertAlign w:val="superscript"/>
        </w:rPr>
        <w:t>nd</w:t>
      </w:r>
      <w:r w:rsidR="00853892" w:rsidRPr="00BE6F68">
        <w:rPr>
          <w:rFonts w:asciiTheme="minorHAnsi" w:hAnsiTheme="minorHAnsi"/>
        </w:rPr>
        <w:t xml:space="preserve"> and 3</w:t>
      </w:r>
      <w:r w:rsidR="00853892" w:rsidRPr="00BE6F68">
        <w:rPr>
          <w:rFonts w:asciiTheme="minorHAnsi" w:hAnsiTheme="minorHAnsi"/>
          <w:vertAlign w:val="superscript"/>
        </w:rPr>
        <w:t>rd</w:t>
      </w:r>
      <w:r w:rsidR="00853892" w:rsidRPr="00BE6F68">
        <w:rPr>
          <w:rFonts w:asciiTheme="minorHAnsi" w:hAnsiTheme="minorHAnsi"/>
        </w:rPr>
        <w:t xml:space="preserve"> factors</w:t>
      </w:r>
      <w:r w:rsidR="00022B51" w:rsidRPr="00BE6F68">
        <w:rPr>
          <w:rFonts w:asciiTheme="minorHAnsi" w:hAnsiTheme="minorHAnsi"/>
        </w:rPr>
        <w:t xml:space="preserve">, column 1 with column 3 </w:t>
      </w:r>
      <w:proofErr w:type="spellStart"/>
      <w:r w:rsidR="00022B51" w:rsidRPr="00BE6F68">
        <w:rPr>
          <w:rFonts w:asciiTheme="minorHAnsi" w:hAnsiTheme="minorHAnsi"/>
        </w:rPr>
        <w:t>etc</w:t>
      </w:r>
      <w:proofErr w:type="spellEnd"/>
      <w:r w:rsidR="00022B51" w:rsidRPr="00BE6F68">
        <w:rPr>
          <w:rFonts w:asciiTheme="minorHAnsi" w:hAnsiTheme="minorHAnsi"/>
        </w:rPr>
        <w:t xml:space="preserve">, </w:t>
      </w:r>
      <w:proofErr w:type="gramStart"/>
      <w:r w:rsidR="00022B51" w:rsidRPr="00BE6F68">
        <w:rPr>
          <w:rFonts w:asciiTheme="minorHAnsi" w:hAnsiTheme="minorHAnsi"/>
        </w:rPr>
        <w:t>are</w:t>
      </w:r>
      <w:r w:rsidR="00853892" w:rsidRPr="00BE6F68">
        <w:rPr>
          <w:rFonts w:asciiTheme="minorHAnsi" w:hAnsiTheme="minorHAnsi"/>
        </w:rPr>
        <w:t xml:space="preserve">  0.970</w:t>
      </w:r>
      <w:proofErr w:type="gramEnd"/>
      <w:r w:rsidR="00853892" w:rsidRPr="00BE6F68">
        <w:rPr>
          <w:rFonts w:asciiTheme="minorHAnsi" w:hAnsiTheme="minorHAnsi"/>
        </w:rPr>
        <w:t>, 0.961, and 0.967. This establishes the remarkably high stability (replication) of the factor solution. It also justifies use of the third</w:t>
      </w:r>
      <w:r w:rsidR="00022B51" w:rsidRPr="00BE6F68">
        <w:rPr>
          <w:rFonts w:asciiTheme="minorHAnsi" w:hAnsiTheme="minorHAnsi"/>
        </w:rPr>
        <w:t xml:space="preserve"> field</w:t>
      </w:r>
      <w:r w:rsidR="00853892" w:rsidRPr="00BE6F68">
        <w:rPr>
          <w:rFonts w:asciiTheme="minorHAnsi" w:hAnsiTheme="minorHAnsi"/>
        </w:rPr>
        <w:t xml:space="preserve">, </w:t>
      </w:r>
      <w:r w:rsidR="0016308C" w:rsidRPr="00BE6F68">
        <w:rPr>
          <w:rFonts w:asciiTheme="minorHAnsi" w:hAnsiTheme="minorHAnsi"/>
        </w:rPr>
        <w:t xml:space="preserve">the </w:t>
      </w:r>
      <w:r w:rsidR="00022B51" w:rsidRPr="00BE6F68">
        <w:rPr>
          <w:rFonts w:asciiTheme="minorHAnsi" w:hAnsiTheme="minorHAnsi"/>
        </w:rPr>
        <w:t>visit-</w:t>
      </w:r>
      <w:r w:rsidR="00853892" w:rsidRPr="00BE6F68">
        <w:rPr>
          <w:rFonts w:asciiTheme="minorHAnsi" w:hAnsiTheme="minorHAnsi"/>
        </w:rPr>
        <w:t>averaged</w:t>
      </w:r>
      <w:r w:rsidR="00022B51" w:rsidRPr="00BE6F68">
        <w:rPr>
          <w:rFonts w:asciiTheme="minorHAnsi" w:hAnsiTheme="minorHAnsi"/>
        </w:rPr>
        <w:t xml:space="preserve"> </w:t>
      </w:r>
      <w:r w:rsidR="00853892" w:rsidRPr="00BE6F68">
        <w:rPr>
          <w:rFonts w:asciiTheme="minorHAnsi" w:hAnsiTheme="minorHAnsi"/>
        </w:rPr>
        <w:t>data</w:t>
      </w:r>
      <w:r w:rsidR="00623B6F" w:rsidRPr="00BE6F68">
        <w:rPr>
          <w:rFonts w:asciiTheme="minorHAnsi" w:hAnsiTheme="minorHAnsi"/>
        </w:rPr>
        <w:t xml:space="preserve"> (ie averaging the scaling coefficients appropriate to the re</w:t>
      </w:r>
      <w:r w:rsidR="0034746C" w:rsidRPr="00BE6F68">
        <w:rPr>
          <w:rFonts w:asciiTheme="minorHAnsi" w:hAnsiTheme="minorHAnsi"/>
        </w:rPr>
        <w:t>s</w:t>
      </w:r>
      <w:r w:rsidR="00623B6F" w:rsidRPr="00BE6F68">
        <w:rPr>
          <w:rFonts w:asciiTheme="minorHAnsi" w:hAnsiTheme="minorHAnsi"/>
        </w:rPr>
        <w:t>ponse l</w:t>
      </w:r>
      <w:r w:rsidR="0034746C" w:rsidRPr="00BE6F68">
        <w:rPr>
          <w:rFonts w:asciiTheme="minorHAnsi" w:hAnsiTheme="minorHAnsi"/>
        </w:rPr>
        <w:t>e</w:t>
      </w:r>
      <w:r w:rsidR="00623B6F" w:rsidRPr="00BE6F68">
        <w:rPr>
          <w:rFonts w:asciiTheme="minorHAnsi" w:hAnsiTheme="minorHAnsi"/>
        </w:rPr>
        <w:t xml:space="preserve">vels in the two pieces of data at the item level). </w:t>
      </w:r>
      <w:r w:rsidR="0034746C" w:rsidRPr="00BE6F68">
        <w:rPr>
          <w:rFonts w:asciiTheme="minorHAnsi" w:hAnsiTheme="minorHAnsi"/>
        </w:rPr>
        <w:t xml:space="preserve"> </w:t>
      </w:r>
    </w:p>
    <w:p w14:paraId="39C280AD" w14:textId="67B66184" w:rsidR="00E41734" w:rsidRPr="00BE6F68" w:rsidRDefault="0034746C" w:rsidP="00BF3020">
      <w:pPr>
        <w:spacing w:line="480" w:lineRule="auto"/>
        <w:jc w:val="both"/>
        <w:rPr>
          <w:rFonts w:asciiTheme="minorHAnsi" w:hAnsiTheme="minorHAnsi"/>
        </w:rPr>
      </w:pPr>
      <w:r w:rsidRPr="00BE6F68">
        <w:rPr>
          <w:rFonts w:asciiTheme="minorHAnsi" w:hAnsiTheme="minorHAnsi"/>
        </w:rPr>
        <w:t>Visit-averaged data</w:t>
      </w:r>
      <w:r w:rsidR="00623B6F" w:rsidRPr="00BE6F68">
        <w:rPr>
          <w:rFonts w:asciiTheme="minorHAnsi" w:hAnsiTheme="minorHAnsi"/>
        </w:rPr>
        <w:t xml:space="preserve"> give</w:t>
      </w:r>
      <w:r w:rsidR="00853892" w:rsidRPr="00BE6F68">
        <w:rPr>
          <w:rFonts w:asciiTheme="minorHAnsi" w:hAnsiTheme="minorHAnsi"/>
        </w:rPr>
        <w:t xml:space="preserve"> the most powerful and generalizable data reduction, and the appropriate comparator for assessing the 4</w:t>
      </w:r>
      <w:r w:rsidR="00853892" w:rsidRPr="00BE6F68">
        <w:rPr>
          <w:rFonts w:asciiTheme="minorHAnsi" w:hAnsiTheme="minorHAnsi"/>
          <w:vertAlign w:val="superscript"/>
        </w:rPr>
        <w:t>th</w:t>
      </w:r>
      <w:r w:rsidR="00853892" w:rsidRPr="00BE6F68">
        <w:rPr>
          <w:rFonts w:asciiTheme="minorHAnsi" w:hAnsiTheme="minorHAnsi"/>
        </w:rPr>
        <w:t xml:space="preserve"> field, the potential 4-factor solution. Correlations are not </w:t>
      </w:r>
      <w:r w:rsidR="001778D4" w:rsidRPr="00BE6F68">
        <w:rPr>
          <w:rFonts w:asciiTheme="minorHAnsi" w:hAnsiTheme="minorHAnsi"/>
        </w:rPr>
        <w:t xml:space="preserve">so </w:t>
      </w:r>
      <w:r w:rsidR="00853892" w:rsidRPr="00BE6F68">
        <w:rPr>
          <w:rFonts w:asciiTheme="minorHAnsi" w:hAnsiTheme="minorHAnsi"/>
        </w:rPr>
        <w:t xml:space="preserve">appropriate </w:t>
      </w:r>
      <w:r w:rsidR="00022B51" w:rsidRPr="00BE6F68">
        <w:rPr>
          <w:rFonts w:asciiTheme="minorHAnsi" w:hAnsiTheme="minorHAnsi"/>
        </w:rPr>
        <w:t>for</w:t>
      </w:r>
      <w:r w:rsidR="00853892" w:rsidRPr="00BE6F68">
        <w:rPr>
          <w:rFonts w:asciiTheme="minorHAnsi" w:hAnsiTheme="minorHAnsi"/>
        </w:rPr>
        <w:t xml:space="preserve"> </w:t>
      </w:r>
      <w:r w:rsidR="001778D4" w:rsidRPr="00BE6F68">
        <w:rPr>
          <w:rFonts w:asciiTheme="minorHAnsi" w:hAnsiTheme="minorHAnsi"/>
        </w:rPr>
        <w:t>differing numbers of factors extracted</w:t>
      </w:r>
      <w:r w:rsidR="00623B6F" w:rsidRPr="00BE6F68">
        <w:rPr>
          <w:rFonts w:asciiTheme="minorHAnsi" w:hAnsiTheme="minorHAnsi"/>
        </w:rPr>
        <w:t xml:space="preserve">, </w:t>
      </w:r>
      <w:r w:rsidR="00022B51" w:rsidRPr="00BE6F68">
        <w:rPr>
          <w:rFonts w:asciiTheme="minorHAnsi" w:hAnsiTheme="minorHAnsi"/>
        </w:rPr>
        <w:t>because</w:t>
      </w:r>
      <w:r w:rsidR="00853892" w:rsidRPr="00BE6F68">
        <w:rPr>
          <w:rFonts w:asciiTheme="minorHAnsi" w:hAnsiTheme="minorHAnsi"/>
        </w:rPr>
        <w:t xml:space="preserve"> at least two factors from a 4-F solution can have no comparable counterpart in </w:t>
      </w:r>
      <w:r w:rsidR="00623B6F" w:rsidRPr="00BE6F68">
        <w:rPr>
          <w:rFonts w:asciiTheme="minorHAnsi" w:hAnsiTheme="minorHAnsi"/>
        </w:rPr>
        <w:t xml:space="preserve">the corresponding </w:t>
      </w:r>
      <w:r w:rsidR="00853892" w:rsidRPr="00BE6F68">
        <w:rPr>
          <w:rFonts w:asciiTheme="minorHAnsi" w:hAnsiTheme="minorHAnsi"/>
        </w:rPr>
        <w:t>3-F. This said, lowest-numbered factors are often hardly altered by extracting a further factor (confirmed for the 7</w:t>
      </w:r>
      <w:r w:rsidR="00853892" w:rsidRPr="00BE6F68">
        <w:rPr>
          <w:rFonts w:asciiTheme="minorHAnsi" w:hAnsiTheme="minorHAnsi"/>
          <w:vertAlign w:val="superscript"/>
        </w:rPr>
        <w:t>th</w:t>
      </w:r>
      <w:r w:rsidR="00853892" w:rsidRPr="00BE6F68">
        <w:rPr>
          <w:rFonts w:asciiTheme="minorHAnsi" w:hAnsiTheme="minorHAnsi"/>
        </w:rPr>
        <w:t xml:space="preserve"> with 10</w:t>
      </w:r>
      <w:r w:rsidR="00853892" w:rsidRPr="00BE6F68">
        <w:rPr>
          <w:rFonts w:asciiTheme="minorHAnsi" w:hAnsiTheme="minorHAnsi"/>
          <w:vertAlign w:val="superscript"/>
        </w:rPr>
        <w:t xml:space="preserve">th </w:t>
      </w:r>
      <w:r w:rsidR="00853892" w:rsidRPr="00BE6F68">
        <w:rPr>
          <w:rFonts w:asciiTheme="minorHAnsi" w:hAnsiTheme="minorHAnsi"/>
        </w:rPr>
        <w:t>columns of the field), and others, or may be only slightly altered (8</w:t>
      </w:r>
      <w:r w:rsidR="00853892" w:rsidRPr="00BE6F68">
        <w:rPr>
          <w:rFonts w:asciiTheme="minorHAnsi" w:hAnsiTheme="minorHAnsi"/>
          <w:vertAlign w:val="superscript"/>
        </w:rPr>
        <w:t>th</w:t>
      </w:r>
      <w:r w:rsidR="00853892" w:rsidRPr="00BE6F68">
        <w:rPr>
          <w:rFonts w:asciiTheme="minorHAnsi" w:hAnsiTheme="minorHAnsi"/>
        </w:rPr>
        <w:t xml:space="preserve"> with 11</w:t>
      </w:r>
      <w:r w:rsidR="00853892" w:rsidRPr="00BE6F68">
        <w:rPr>
          <w:rFonts w:asciiTheme="minorHAnsi" w:hAnsiTheme="minorHAnsi"/>
          <w:vertAlign w:val="superscript"/>
        </w:rPr>
        <w:t>th</w:t>
      </w:r>
      <w:r w:rsidR="00853892" w:rsidRPr="00BE6F68">
        <w:rPr>
          <w:rFonts w:asciiTheme="minorHAnsi" w:hAnsiTheme="minorHAnsi"/>
        </w:rPr>
        <w:t xml:space="preserve">). </w:t>
      </w:r>
      <w:r w:rsidR="00022B51" w:rsidRPr="00BE6F68">
        <w:rPr>
          <w:rFonts w:asciiTheme="minorHAnsi" w:hAnsiTheme="minorHAnsi"/>
        </w:rPr>
        <w:t xml:space="preserve"> Here i</w:t>
      </w:r>
      <w:r w:rsidR="00853892" w:rsidRPr="00BE6F68">
        <w:rPr>
          <w:rFonts w:asciiTheme="minorHAnsi" w:hAnsiTheme="minorHAnsi"/>
        </w:rPr>
        <w:t>t is indeed the 3</w:t>
      </w:r>
      <w:r w:rsidR="00853892" w:rsidRPr="00BE6F68">
        <w:rPr>
          <w:rFonts w:asciiTheme="minorHAnsi" w:hAnsiTheme="minorHAnsi"/>
          <w:vertAlign w:val="superscript"/>
        </w:rPr>
        <w:t>rd</w:t>
      </w:r>
      <w:r w:rsidR="00853892" w:rsidRPr="00BE6F68">
        <w:rPr>
          <w:rFonts w:asciiTheme="minorHAnsi" w:hAnsiTheme="minorHAnsi"/>
        </w:rPr>
        <w:t xml:space="preserve"> factor which fissures to provide the fine detail in 3</w:t>
      </w:r>
      <w:r w:rsidR="00853892" w:rsidRPr="00BE6F68">
        <w:rPr>
          <w:rFonts w:asciiTheme="minorHAnsi" w:hAnsiTheme="minorHAnsi"/>
          <w:vertAlign w:val="superscript"/>
        </w:rPr>
        <w:t>rd</w:t>
      </w:r>
      <w:r w:rsidR="00853892" w:rsidRPr="00BE6F68">
        <w:rPr>
          <w:rFonts w:asciiTheme="minorHAnsi" w:hAnsiTheme="minorHAnsi"/>
        </w:rPr>
        <w:t xml:space="preserve"> and 4</w:t>
      </w:r>
      <w:r w:rsidR="00853892" w:rsidRPr="00BE6F68">
        <w:rPr>
          <w:rFonts w:asciiTheme="minorHAnsi" w:hAnsiTheme="minorHAnsi"/>
          <w:vertAlign w:val="superscript"/>
        </w:rPr>
        <w:t>th</w:t>
      </w:r>
      <w:r w:rsidR="00853892" w:rsidRPr="00BE6F68">
        <w:rPr>
          <w:rFonts w:asciiTheme="minorHAnsi" w:hAnsiTheme="minorHAnsi"/>
        </w:rPr>
        <w:t xml:space="preserve"> factors of 4-F; but th</w:t>
      </w:r>
      <w:r w:rsidR="00022B51" w:rsidRPr="00BE6F68">
        <w:rPr>
          <w:rFonts w:asciiTheme="minorHAnsi" w:hAnsiTheme="minorHAnsi"/>
        </w:rPr>
        <w:t>ese factors</w:t>
      </w:r>
      <w:r w:rsidR="00853892" w:rsidRPr="00BE6F68">
        <w:rPr>
          <w:rFonts w:asciiTheme="minorHAnsi" w:hAnsiTheme="minorHAnsi"/>
        </w:rPr>
        <w:t xml:space="preserve"> also attract one high-loading item each from Factor 1 (Q6) and Factor 2 (Q7)</w:t>
      </w:r>
      <w:r w:rsidR="006F05FB">
        <w:rPr>
          <w:rFonts w:asciiTheme="minorHAnsi" w:hAnsiTheme="minorHAnsi"/>
        </w:rPr>
        <w:t>,</w:t>
      </w:r>
      <w:r w:rsidR="00853892" w:rsidRPr="00BE6F68">
        <w:rPr>
          <w:rFonts w:asciiTheme="minorHAnsi" w:hAnsiTheme="minorHAnsi"/>
        </w:rPr>
        <w:t xml:space="preserve"> not strongly present in the 3</w:t>
      </w:r>
      <w:r w:rsidR="00853892" w:rsidRPr="00BE6F68">
        <w:rPr>
          <w:rFonts w:asciiTheme="minorHAnsi" w:hAnsiTheme="minorHAnsi"/>
          <w:vertAlign w:val="superscript"/>
        </w:rPr>
        <w:t>rd</w:t>
      </w:r>
      <w:r w:rsidR="00853892" w:rsidRPr="00BE6F68">
        <w:rPr>
          <w:rFonts w:asciiTheme="minorHAnsi" w:hAnsiTheme="minorHAnsi"/>
        </w:rPr>
        <w:t xml:space="preserve"> factor of 3-F. These </w:t>
      </w:r>
      <w:r w:rsidR="00022B51" w:rsidRPr="00BE6F68">
        <w:rPr>
          <w:rFonts w:asciiTheme="minorHAnsi" w:hAnsiTheme="minorHAnsi"/>
        </w:rPr>
        <w:t xml:space="preserve">two </w:t>
      </w:r>
      <w:r w:rsidR="00853892" w:rsidRPr="00BE6F68">
        <w:rPr>
          <w:rFonts w:asciiTheme="minorHAnsi" w:hAnsiTheme="minorHAnsi"/>
        </w:rPr>
        <w:t>migrants are the wild-card items for tinnitus and dizziness, each retaining one</w:t>
      </w:r>
      <w:r w:rsidR="00022B51" w:rsidRPr="00BE6F68">
        <w:rPr>
          <w:rFonts w:asciiTheme="minorHAnsi" w:hAnsiTheme="minorHAnsi"/>
        </w:rPr>
        <w:t xml:space="preserve"> of the</w:t>
      </w:r>
      <w:r w:rsidR="00853892" w:rsidRPr="00BE6F68">
        <w:rPr>
          <w:rFonts w:asciiTheme="minorHAnsi" w:hAnsiTheme="minorHAnsi"/>
        </w:rPr>
        <w:t xml:space="preserve"> cross-loading</w:t>
      </w:r>
      <w:r w:rsidR="00022B51" w:rsidRPr="00BE6F68">
        <w:rPr>
          <w:rFonts w:asciiTheme="minorHAnsi" w:hAnsiTheme="minorHAnsi"/>
        </w:rPr>
        <w:t>s</w:t>
      </w:r>
      <w:r w:rsidR="00853892" w:rsidRPr="00BE6F68">
        <w:rPr>
          <w:rFonts w:asciiTheme="minorHAnsi" w:hAnsiTheme="minorHAnsi"/>
        </w:rPr>
        <w:t xml:space="preserve"> </w:t>
      </w:r>
      <w:r w:rsidR="00853892" w:rsidRPr="00BE6F68">
        <w:rPr>
          <w:rFonts w:asciiTheme="minorHAnsi" w:hAnsiTheme="minorHAnsi"/>
        </w:rPr>
        <w:lastRenderedPageBreak/>
        <w:t xml:space="preserve">(italic) with its 3-F origin. They thus contribute, on splitting to 4-F, to the </w:t>
      </w:r>
      <w:r w:rsidR="00022B51" w:rsidRPr="00BE6F68">
        <w:rPr>
          <w:rFonts w:asciiTheme="minorHAnsi" w:hAnsiTheme="minorHAnsi"/>
        </w:rPr>
        <w:t xml:space="preserve">quite high </w:t>
      </w:r>
      <w:r w:rsidR="00853892" w:rsidRPr="00BE6F68">
        <w:rPr>
          <w:rFonts w:asciiTheme="minorHAnsi" w:hAnsiTheme="minorHAnsi"/>
        </w:rPr>
        <w:t>total of seven strong cross-loadings in 4-F compared to only three in the 3-F solution</w:t>
      </w:r>
      <w:r w:rsidR="00022B51" w:rsidRPr="00BE6F68">
        <w:rPr>
          <w:rFonts w:asciiTheme="minorHAnsi" w:hAnsiTheme="minorHAnsi"/>
        </w:rPr>
        <w:t>. This</w:t>
      </w:r>
      <w:r w:rsidR="0016308C" w:rsidRPr="00BE6F68">
        <w:rPr>
          <w:rFonts w:asciiTheme="minorHAnsi" w:hAnsiTheme="minorHAnsi"/>
        </w:rPr>
        <w:t xml:space="preserve"> total</w:t>
      </w:r>
      <w:r w:rsidR="00853892" w:rsidRPr="00BE6F68">
        <w:rPr>
          <w:rFonts w:asciiTheme="minorHAnsi" w:hAnsiTheme="minorHAnsi"/>
        </w:rPr>
        <w:t xml:space="preserve"> argu</w:t>
      </w:r>
      <w:r w:rsidR="00022B51" w:rsidRPr="00BE6F68">
        <w:rPr>
          <w:rFonts w:asciiTheme="minorHAnsi" w:hAnsiTheme="minorHAnsi"/>
        </w:rPr>
        <w:t>es</w:t>
      </w:r>
      <w:r w:rsidR="00853892" w:rsidRPr="00BE6F68">
        <w:rPr>
          <w:rFonts w:asciiTheme="minorHAnsi" w:hAnsiTheme="minorHAnsi"/>
        </w:rPr>
        <w:t xml:space="preserve"> against 4-F</w:t>
      </w:r>
      <w:r w:rsidR="005C1E5F" w:rsidRPr="00BE6F68">
        <w:rPr>
          <w:rFonts w:asciiTheme="minorHAnsi" w:hAnsiTheme="minorHAnsi"/>
        </w:rPr>
        <w:t>.</w:t>
      </w:r>
      <w:r w:rsidR="0016308C" w:rsidRPr="00BE6F68">
        <w:rPr>
          <w:rFonts w:asciiTheme="minorHAnsi" w:hAnsiTheme="minorHAnsi"/>
        </w:rPr>
        <w:t xml:space="preserve"> I</w:t>
      </w:r>
      <w:r w:rsidR="001778D4" w:rsidRPr="00BE6F68">
        <w:rPr>
          <w:rFonts w:asciiTheme="minorHAnsi" w:hAnsiTheme="minorHAnsi"/>
        </w:rPr>
        <w:t>n</w:t>
      </w:r>
      <w:r w:rsidR="0016308C" w:rsidRPr="00BE6F68">
        <w:rPr>
          <w:rFonts w:asciiTheme="minorHAnsi" w:hAnsiTheme="minorHAnsi"/>
        </w:rPr>
        <w:t xml:space="preserve"> migrating for 4-</w:t>
      </w:r>
      <w:proofErr w:type="gramStart"/>
      <w:r w:rsidR="0016308C" w:rsidRPr="00BE6F68">
        <w:rPr>
          <w:rFonts w:asciiTheme="minorHAnsi" w:hAnsiTheme="minorHAnsi"/>
        </w:rPr>
        <w:t xml:space="preserve">F </w:t>
      </w:r>
      <w:r w:rsidR="00853892" w:rsidRPr="00BE6F68">
        <w:rPr>
          <w:rFonts w:asciiTheme="minorHAnsi" w:hAnsiTheme="minorHAnsi"/>
        </w:rPr>
        <w:t xml:space="preserve"> the</w:t>
      </w:r>
      <w:proofErr w:type="gramEnd"/>
      <w:r w:rsidR="00022B51" w:rsidRPr="00BE6F68">
        <w:rPr>
          <w:rFonts w:asciiTheme="minorHAnsi" w:hAnsiTheme="minorHAnsi"/>
        </w:rPr>
        <w:t xml:space="preserve"> wild card items</w:t>
      </w:r>
      <w:r w:rsidR="006F05FB">
        <w:rPr>
          <w:rFonts w:asciiTheme="minorHAnsi" w:hAnsiTheme="minorHAnsi"/>
        </w:rPr>
        <w:t xml:space="preserve"> increase rather than reduce</w:t>
      </w:r>
      <w:r w:rsidR="00853892" w:rsidRPr="00BE6F68">
        <w:rPr>
          <w:rFonts w:asciiTheme="minorHAnsi" w:hAnsiTheme="minorHAnsi"/>
        </w:rPr>
        <w:t xml:space="preserve"> cross-loading</w:t>
      </w:r>
      <w:r w:rsidR="00022B51" w:rsidRPr="00BE6F68">
        <w:rPr>
          <w:rFonts w:asciiTheme="minorHAnsi" w:hAnsiTheme="minorHAnsi"/>
        </w:rPr>
        <w:t>,</w:t>
      </w:r>
      <w:r w:rsidR="00853892" w:rsidRPr="00BE6F68">
        <w:rPr>
          <w:rFonts w:asciiTheme="minorHAnsi" w:hAnsiTheme="minorHAnsi"/>
        </w:rPr>
        <w:t xml:space="preserve"> and seem to drive the fourth factor more with their </w:t>
      </w:r>
      <w:r w:rsidR="00022B51" w:rsidRPr="00BE6F68">
        <w:rPr>
          <w:rFonts w:asciiTheme="minorHAnsi" w:hAnsiTheme="minorHAnsi"/>
        </w:rPr>
        <w:t xml:space="preserve">own </w:t>
      </w:r>
      <w:r w:rsidR="00853892" w:rsidRPr="00BE6F68">
        <w:rPr>
          <w:rFonts w:asciiTheme="minorHAnsi" w:hAnsiTheme="minorHAnsi"/>
        </w:rPr>
        <w:t xml:space="preserve">(anticipated) problematic nature than any inherent similarity. </w:t>
      </w:r>
      <w:proofErr w:type="gramStart"/>
      <w:r w:rsidR="00EC1FFC" w:rsidRPr="00BE6F68">
        <w:rPr>
          <w:rFonts w:asciiTheme="minorHAnsi" w:hAnsiTheme="minorHAnsi"/>
        </w:rPr>
        <w:t>Additionally</w:t>
      </w:r>
      <w:proofErr w:type="gramEnd"/>
      <w:r w:rsidR="00EC1FFC" w:rsidRPr="00BE6F68">
        <w:rPr>
          <w:rFonts w:asciiTheme="minorHAnsi" w:hAnsiTheme="minorHAnsi"/>
        </w:rPr>
        <w:t xml:space="preserve"> ‘discomfort’ is a cross loader</w:t>
      </w:r>
      <w:r w:rsidR="00BD0BB1" w:rsidRPr="00BE6F68">
        <w:rPr>
          <w:rFonts w:asciiTheme="minorHAnsi" w:hAnsiTheme="minorHAnsi"/>
        </w:rPr>
        <w:t>,</w:t>
      </w:r>
      <w:r w:rsidR="00EC1FFC" w:rsidRPr="00BE6F68">
        <w:rPr>
          <w:rFonts w:asciiTheme="minorHAnsi" w:hAnsiTheme="minorHAnsi"/>
        </w:rPr>
        <w:t xml:space="preserve"> but it is not entirely surprising that an infection severe enough to cause discomfort </w:t>
      </w:r>
      <w:r w:rsidR="00BD0BB1" w:rsidRPr="00BE6F68">
        <w:rPr>
          <w:rFonts w:asciiTheme="minorHAnsi" w:hAnsiTheme="minorHAnsi"/>
        </w:rPr>
        <w:t xml:space="preserve">would </w:t>
      </w:r>
      <w:r w:rsidR="00EC1FFC" w:rsidRPr="00BE6F68">
        <w:rPr>
          <w:rFonts w:asciiTheme="minorHAnsi" w:hAnsiTheme="minorHAnsi"/>
        </w:rPr>
        <w:t>also cause hearing loss.</w:t>
      </w:r>
      <w:r w:rsidR="007A1CAC" w:rsidRPr="00BE6F68">
        <w:rPr>
          <w:rFonts w:asciiTheme="minorHAnsi" w:hAnsiTheme="minorHAnsi"/>
        </w:rPr>
        <w:t xml:space="preserve"> </w:t>
      </w:r>
      <w:r w:rsidR="0016308C" w:rsidRPr="00BE6F68">
        <w:rPr>
          <w:rFonts w:asciiTheme="minorHAnsi" w:hAnsiTheme="minorHAnsi"/>
        </w:rPr>
        <w:t xml:space="preserve">The balance </w:t>
      </w:r>
      <w:r w:rsidR="00E41734" w:rsidRPr="00BE6F68">
        <w:rPr>
          <w:rFonts w:asciiTheme="minorHAnsi" w:hAnsiTheme="minorHAnsi"/>
        </w:rPr>
        <w:t>of</w:t>
      </w:r>
      <w:r w:rsidR="00853892" w:rsidRPr="00BE6F68">
        <w:rPr>
          <w:rFonts w:asciiTheme="minorHAnsi" w:hAnsiTheme="minorHAnsi"/>
        </w:rPr>
        <w:t xml:space="preserve"> considerations favouring the 3-F over the 4-F solution </w:t>
      </w:r>
      <w:r w:rsidR="00022B51" w:rsidRPr="00BE6F68">
        <w:rPr>
          <w:rFonts w:asciiTheme="minorHAnsi" w:hAnsiTheme="minorHAnsi"/>
        </w:rPr>
        <w:t>is</w:t>
      </w:r>
      <w:r w:rsidR="00853892" w:rsidRPr="00BE6F68">
        <w:rPr>
          <w:rFonts w:asciiTheme="minorHAnsi" w:hAnsiTheme="minorHAnsi"/>
        </w:rPr>
        <w:t xml:space="preserve"> set out in the main text </w:t>
      </w:r>
      <w:r w:rsidR="00C940F9" w:rsidRPr="00BE6F68">
        <w:rPr>
          <w:rFonts w:asciiTheme="minorHAnsi" w:hAnsiTheme="minorHAnsi"/>
        </w:rPr>
        <w:t>with recourse to</w:t>
      </w:r>
      <w:r w:rsidR="00853892" w:rsidRPr="00BE6F68">
        <w:rPr>
          <w:rFonts w:asciiTheme="minorHAnsi" w:hAnsiTheme="minorHAnsi"/>
        </w:rPr>
        <w:t xml:space="preserve"> Table 3.</w:t>
      </w:r>
      <w:r w:rsidR="00996241" w:rsidRPr="00BE6F68">
        <w:rPr>
          <w:rFonts w:asciiTheme="minorHAnsi" w:hAnsiTheme="minorHAnsi"/>
        </w:rPr>
        <w:t xml:space="preserve"> </w:t>
      </w:r>
    </w:p>
    <w:p w14:paraId="13B9800F" w14:textId="75CF2EB5" w:rsidR="00996241" w:rsidRPr="00BE6F68" w:rsidRDefault="00996241" w:rsidP="00BF3020">
      <w:pPr>
        <w:spacing w:line="480" w:lineRule="auto"/>
        <w:jc w:val="both"/>
        <w:rPr>
          <w:rFonts w:asciiTheme="minorHAnsi" w:hAnsiTheme="minorHAnsi"/>
        </w:rPr>
      </w:pPr>
      <w:r w:rsidRPr="00BE6F68">
        <w:rPr>
          <w:rFonts w:asciiTheme="minorHAnsi" w:hAnsiTheme="minorHAnsi"/>
        </w:rPr>
        <w:t>If we accept a loading of 0.45 or above as ‘high’, w</w:t>
      </w:r>
      <w:r w:rsidR="001778D4" w:rsidRPr="00BE6F68">
        <w:rPr>
          <w:rFonts w:asciiTheme="minorHAnsi" w:hAnsiTheme="minorHAnsi"/>
        </w:rPr>
        <w:t>e are left with</w:t>
      </w:r>
      <w:r w:rsidR="00EC1FFC" w:rsidRPr="00BE6F68">
        <w:rPr>
          <w:rFonts w:asciiTheme="minorHAnsi" w:hAnsiTheme="minorHAnsi"/>
        </w:rPr>
        <w:t xml:space="preserve"> the follo</w:t>
      </w:r>
      <w:r w:rsidR="00BD0BB1" w:rsidRPr="00BE6F68">
        <w:rPr>
          <w:rFonts w:asciiTheme="minorHAnsi" w:hAnsiTheme="minorHAnsi"/>
        </w:rPr>
        <w:t>w</w:t>
      </w:r>
      <w:r w:rsidR="00EC1FFC" w:rsidRPr="00BE6F68">
        <w:rPr>
          <w:rFonts w:asciiTheme="minorHAnsi" w:hAnsiTheme="minorHAnsi"/>
        </w:rPr>
        <w:t>ing as highest loadings identifying the factors</w:t>
      </w:r>
      <w:r w:rsidRPr="00BE6F68">
        <w:rPr>
          <w:rFonts w:asciiTheme="minorHAnsi" w:hAnsiTheme="minorHAnsi"/>
        </w:rPr>
        <w:t>:</w:t>
      </w:r>
    </w:p>
    <w:p w14:paraId="333C3BEE" w14:textId="0FAEE6FD" w:rsidR="001778D4" w:rsidRPr="00BE6F68" w:rsidRDefault="001778D4" w:rsidP="00BF3020">
      <w:pPr>
        <w:spacing w:line="480" w:lineRule="auto"/>
        <w:jc w:val="both"/>
        <w:rPr>
          <w:rFonts w:asciiTheme="minorHAnsi" w:hAnsiTheme="minorHAnsi"/>
        </w:rPr>
      </w:pPr>
      <w:r w:rsidRPr="00BE6F68">
        <w:rPr>
          <w:rFonts w:asciiTheme="minorHAnsi" w:hAnsiTheme="minorHAnsi"/>
        </w:rPr>
        <w:t xml:space="preserve">Factor </w:t>
      </w:r>
      <w:proofErr w:type="gramStart"/>
      <w:r w:rsidRPr="00BE6F68">
        <w:rPr>
          <w:rFonts w:asciiTheme="minorHAnsi" w:hAnsiTheme="minorHAnsi"/>
        </w:rPr>
        <w:t>1 :</w:t>
      </w:r>
      <w:proofErr w:type="gramEnd"/>
      <w:r w:rsidRPr="00BE6F68">
        <w:rPr>
          <w:rFonts w:asciiTheme="minorHAnsi" w:hAnsiTheme="minorHAnsi"/>
        </w:rPr>
        <w:t xml:space="preserve"> impact on daily activities and healthcare uptake (Q11</w:t>
      </w:r>
      <w:r w:rsidR="00996241" w:rsidRPr="00BE6F68">
        <w:rPr>
          <w:rFonts w:asciiTheme="minorHAnsi" w:hAnsiTheme="minorHAnsi"/>
        </w:rPr>
        <w:t xml:space="preserve"> medicines</w:t>
      </w:r>
      <w:r w:rsidRPr="00BE6F68">
        <w:rPr>
          <w:rFonts w:asciiTheme="minorHAnsi" w:hAnsiTheme="minorHAnsi"/>
        </w:rPr>
        <w:t>,</w:t>
      </w:r>
      <w:r w:rsidR="00996241" w:rsidRPr="00BE6F68">
        <w:rPr>
          <w:rFonts w:asciiTheme="minorHAnsi" w:hAnsiTheme="minorHAnsi"/>
        </w:rPr>
        <w:t xml:space="preserve"> </w:t>
      </w:r>
      <w:r w:rsidR="00623B6F" w:rsidRPr="00BE6F68">
        <w:rPr>
          <w:rFonts w:asciiTheme="minorHAnsi" w:hAnsiTheme="minorHAnsi"/>
        </w:rPr>
        <w:t>Q</w:t>
      </w:r>
      <w:r w:rsidRPr="00BE6F68">
        <w:rPr>
          <w:rFonts w:asciiTheme="minorHAnsi" w:hAnsiTheme="minorHAnsi"/>
        </w:rPr>
        <w:t>10</w:t>
      </w:r>
      <w:r w:rsidR="00996241" w:rsidRPr="00BE6F68">
        <w:rPr>
          <w:rFonts w:asciiTheme="minorHAnsi" w:hAnsiTheme="minorHAnsi"/>
        </w:rPr>
        <w:t xml:space="preserve"> GP visits</w:t>
      </w:r>
      <w:r w:rsidRPr="00BE6F68">
        <w:rPr>
          <w:rFonts w:asciiTheme="minorHAnsi" w:hAnsiTheme="minorHAnsi"/>
        </w:rPr>
        <w:t xml:space="preserve">, </w:t>
      </w:r>
      <w:r w:rsidR="00623B6F" w:rsidRPr="00BE6F68">
        <w:rPr>
          <w:rFonts w:asciiTheme="minorHAnsi" w:hAnsiTheme="minorHAnsi"/>
        </w:rPr>
        <w:t>Q</w:t>
      </w:r>
      <w:r w:rsidRPr="00BE6F68">
        <w:rPr>
          <w:rFonts w:asciiTheme="minorHAnsi" w:hAnsiTheme="minorHAnsi"/>
        </w:rPr>
        <w:t>8</w:t>
      </w:r>
      <w:r w:rsidR="00996241" w:rsidRPr="00BE6F68">
        <w:rPr>
          <w:rFonts w:asciiTheme="minorHAnsi" w:hAnsiTheme="minorHAnsi"/>
        </w:rPr>
        <w:t xml:space="preserve"> activity restriction</w:t>
      </w:r>
      <w:r w:rsidRPr="00BE6F68">
        <w:rPr>
          <w:rFonts w:asciiTheme="minorHAnsi" w:hAnsiTheme="minorHAnsi"/>
        </w:rPr>
        <w:t xml:space="preserve">, </w:t>
      </w:r>
      <w:r w:rsidR="00623B6F" w:rsidRPr="00BE6F68">
        <w:rPr>
          <w:rFonts w:asciiTheme="minorHAnsi" w:hAnsiTheme="minorHAnsi"/>
        </w:rPr>
        <w:t>Q</w:t>
      </w:r>
      <w:r w:rsidRPr="00BE6F68">
        <w:rPr>
          <w:rFonts w:asciiTheme="minorHAnsi" w:hAnsiTheme="minorHAnsi"/>
        </w:rPr>
        <w:t>6</w:t>
      </w:r>
      <w:r w:rsidR="00996241" w:rsidRPr="00BE6F68">
        <w:rPr>
          <w:rFonts w:asciiTheme="minorHAnsi" w:hAnsiTheme="minorHAnsi"/>
        </w:rPr>
        <w:t xml:space="preserve"> dizziness</w:t>
      </w:r>
      <w:r w:rsidRPr="00BE6F68">
        <w:rPr>
          <w:rFonts w:asciiTheme="minorHAnsi" w:hAnsiTheme="minorHAnsi"/>
        </w:rPr>
        <w:t>,</w:t>
      </w:r>
      <w:r w:rsidR="00996241" w:rsidRPr="00BE6F68">
        <w:rPr>
          <w:rFonts w:asciiTheme="minorHAnsi" w:hAnsiTheme="minorHAnsi"/>
        </w:rPr>
        <w:t xml:space="preserve"> </w:t>
      </w:r>
      <w:r w:rsidR="00623B6F" w:rsidRPr="00BE6F68">
        <w:rPr>
          <w:rFonts w:asciiTheme="minorHAnsi" w:hAnsiTheme="minorHAnsi"/>
        </w:rPr>
        <w:t>Q</w:t>
      </w:r>
      <w:r w:rsidRPr="00BE6F68">
        <w:rPr>
          <w:rFonts w:asciiTheme="minorHAnsi" w:hAnsiTheme="minorHAnsi"/>
        </w:rPr>
        <w:t>9</w:t>
      </w:r>
      <w:r w:rsidR="00996241" w:rsidRPr="00BE6F68">
        <w:rPr>
          <w:rFonts w:asciiTheme="minorHAnsi" w:hAnsiTheme="minorHAnsi"/>
        </w:rPr>
        <w:t xml:space="preserve"> limiting water exposure)</w:t>
      </w:r>
      <w:r w:rsidR="007E0173" w:rsidRPr="00BE6F68">
        <w:rPr>
          <w:rFonts w:asciiTheme="minorHAnsi" w:hAnsiTheme="minorHAnsi"/>
        </w:rPr>
        <w:t>.</w:t>
      </w:r>
    </w:p>
    <w:p w14:paraId="1748446E" w14:textId="0AF3F3B3" w:rsidR="00996241" w:rsidRPr="00BE6F68" w:rsidRDefault="00996241" w:rsidP="00BF3020">
      <w:pPr>
        <w:spacing w:line="480" w:lineRule="auto"/>
        <w:jc w:val="both"/>
        <w:rPr>
          <w:rFonts w:asciiTheme="minorHAnsi" w:hAnsiTheme="minorHAnsi"/>
        </w:rPr>
      </w:pPr>
      <w:r w:rsidRPr="00BE6F68">
        <w:rPr>
          <w:rFonts w:asciiTheme="minorHAnsi" w:hAnsiTheme="minorHAnsi"/>
        </w:rPr>
        <w:t xml:space="preserve">Factor 2: hearing problems (Q 3 hearing at home, </w:t>
      </w:r>
      <w:r w:rsidR="00623B6F" w:rsidRPr="00BE6F68">
        <w:rPr>
          <w:rFonts w:asciiTheme="minorHAnsi" w:hAnsiTheme="minorHAnsi"/>
        </w:rPr>
        <w:t>Q</w:t>
      </w:r>
      <w:r w:rsidRPr="00BE6F68">
        <w:rPr>
          <w:rFonts w:asciiTheme="minorHAnsi" w:hAnsiTheme="minorHAnsi"/>
        </w:rPr>
        <w:t xml:space="preserve">4 </w:t>
      </w:r>
      <w:r w:rsidR="00C940F9" w:rsidRPr="00BE6F68">
        <w:rPr>
          <w:rFonts w:asciiTheme="minorHAnsi" w:hAnsiTheme="minorHAnsi"/>
        </w:rPr>
        <w:t xml:space="preserve">hearing </w:t>
      </w:r>
      <w:r w:rsidRPr="00BE6F68">
        <w:rPr>
          <w:rFonts w:asciiTheme="minorHAnsi" w:hAnsiTheme="minorHAnsi"/>
        </w:rPr>
        <w:t xml:space="preserve">in </w:t>
      </w:r>
      <w:proofErr w:type="gramStart"/>
      <w:r w:rsidRPr="00BE6F68">
        <w:rPr>
          <w:rFonts w:asciiTheme="minorHAnsi" w:hAnsiTheme="minorHAnsi"/>
        </w:rPr>
        <w:t>noise ,</w:t>
      </w:r>
      <w:proofErr w:type="gramEnd"/>
      <w:r w:rsidRPr="00BE6F68">
        <w:rPr>
          <w:rFonts w:asciiTheme="minorHAnsi" w:hAnsiTheme="minorHAnsi"/>
        </w:rPr>
        <w:t xml:space="preserve"> </w:t>
      </w:r>
      <w:r w:rsidR="00623B6F" w:rsidRPr="00BE6F68">
        <w:rPr>
          <w:rFonts w:asciiTheme="minorHAnsi" w:hAnsiTheme="minorHAnsi"/>
        </w:rPr>
        <w:t>Q</w:t>
      </w:r>
      <w:r w:rsidRPr="00BE6F68">
        <w:rPr>
          <w:rFonts w:asciiTheme="minorHAnsi" w:hAnsiTheme="minorHAnsi"/>
        </w:rPr>
        <w:t>5</w:t>
      </w:r>
      <w:r w:rsidR="00623B6F" w:rsidRPr="00BE6F68">
        <w:rPr>
          <w:rFonts w:asciiTheme="minorHAnsi" w:hAnsiTheme="minorHAnsi"/>
        </w:rPr>
        <w:t xml:space="preserve"> ear</w:t>
      </w:r>
      <w:r w:rsidRPr="00BE6F68">
        <w:rPr>
          <w:rFonts w:asciiTheme="minorHAnsi" w:hAnsiTheme="minorHAnsi"/>
        </w:rPr>
        <w:t xml:space="preserve"> d</w:t>
      </w:r>
      <w:r w:rsidR="00623B6F" w:rsidRPr="00BE6F68">
        <w:rPr>
          <w:rFonts w:asciiTheme="minorHAnsi" w:hAnsiTheme="minorHAnsi"/>
        </w:rPr>
        <w:t>i</w:t>
      </w:r>
      <w:r w:rsidRPr="00BE6F68">
        <w:rPr>
          <w:rFonts w:asciiTheme="minorHAnsi" w:hAnsiTheme="minorHAnsi"/>
        </w:rPr>
        <w:t xml:space="preserve">scomfort, </w:t>
      </w:r>
      <w:r w:rsidR="00623B6F" w:rsidRPr="00BE6F68">
        <w:rPr>
          <w:rFonts w:asciiTheme="minorHAnsi" w:hAnsiTheme="minorHAnsi"/>
        </w:rPr>
        <w:t>Q</w:t>
      </w:r>
      <w:r w:rsidRPr="00BE6F68">
        <w:rPr>
          <w:rFonts w:asciiTheme="minorHAnsi" w:hAnsiTheme="minorHAnsi"/>
        </w:rPr>
        <w:t>7 tinnitus</w:t>
      </w:r>
      <w:r w:rsidR="00E41734" w:rsidRPr="00BE6F68">
        <w:rPr>
          <w:rFonts w:asciiTheme="minorHAnsi" w:hAnsiTheme="minorHAnsi"/>
        </w:rPr>
        <w:t>)</w:t>
      </w:r>
      <w:r w:rsidR="007E0173" w:rsidRPr="00BE6F68">
        <w:rPr>
          <w:rFonts w:asciiTheme="minorHAnsi" w:hAnsiTheme="minorHAnsi"/>
        </w:rPr>
        <w:t>.</w:t>
      </w:r>
      <w:r w:rsidRPr="00BE6F68">
        <w:rPr>
          <w:rFonts w:asciiTheme="minorHAnsi" w:hAnsiTheme="minorHAnsi"/>
        </w:rPr>
        <w:t xml:space="preserve"> </w:t>
      </w:r>
    </w:p>
    <w:p w14:paraId="7307E9B2" w14:textId="645B711B" w:rsidR="00996241" w:rsidRPr="00BE6F68" w:rsidRDefault="00996241" w:rsidP="00BF3020">
      <w:pPr>
        <w:spacing w:line="480" w:lineRule="auto"/>
        <w:jc w:val="both"/>
        <w:rPr>
          <w:rFonts w:asciiTheme="minorHAnsi" w:hAnsiTheme="minorHAnsi"/>
        </w:rPr>
      </w:pPr>
      <w:r w:rsidRPr="00BE6F68">
        <w:rPr>
          <w:rFonts w:asciiTheme="minorHAnsi" w:hAnsiTheme="minorHAnsi"/>
        </w:rPr>
        <w:t xml:space="preserve">Factor 3: ear problems (Q1 discharging ear, </w:t>
      </w:r>
      <w:r w:rsidR="00623B6F" w:rsidRPr="00BE6F68">
        <w:rPr>
          <w:rFonts w:asciiTheme="minorHAnsi" w:hAnsiTheme="minorHAnsi"/>
        </w:rPr>
        <w:t>Q</w:t>
      </w:r>
      <w:r w:rsidRPr="00BE6F68">
        <w:rPr>
          <w:rFonts w:asciiTheme="minorHAnsi" w:hAnsiTheme="minorHAnsi"/>
        </w:rPr>
        <w:t xml:space="preserve">2 smelly ear, </w:t>
      </w:r>
      <w:r w:rsidR="00623B6F" w:rsidRPr="00BE6F68">
        <w:rPr>
          <w:rFonts w:asciiTheme="minorHAnsi" w:hAnsiTheme="minorHAnsi"/>
        </w:rPr>
        <w:t>Q</w:t>
      </w:r>
      <w:r w:rsidR="00E41734" w:rsidRPr="00BE6F68">
        <w:rPr>
          <w:rFonts w:asciiTheme="minorHAnsi" w:hAnsiTheme="minorHAnsi"/>
        </w:rPr>
        <w:t xml:space="preserve">12 </w:t>
      </w:r>
      <w:r w:rsidRPr="00BE6F68">
        <w:rPr>
          <w:rFonts w:asciiTheme="minorHAnsi" w:hAnsiTheme="minorHAnsi"/>
        </w:rPr>
        <w:t xml:space="preserve">‘down’ - overall effect on QoL, </w:t>
      </w:r>
      <w:r w:rsidR="00EC1FFC" w:rsidRPr="00BE6F68">
        <w:rPr>
          <w:rFonts w:asciiTheme="minorHAnsi" w:hAnsiTheme="minorHAnsi"/>
        </w:rPr>
        <w:t>Q</w:t>
      </w:r>
      <w:r w:rsidRPr="00BE6F68">
        <w:rPr>
          <w:rFonts w:asciiTheme="minorHAnsi" w:hAnsiTheme="minorHAnsi"/>
        </w:rPr>
        <w:t>5 – the main cross-loading</w:t>
      </w:r>
      <w:r w:rsidR="00C940F9" w:rsidRPr="00BE6F68">
        <w:rPr>
          <w:rFonts w:asciiTheme="minorHAnsi" w:hAnsiTheme="minorHAnsi"/>
        </w:rPr>
        <w:t xml:space="preserve"> in the grounded SEM in Figure 1</w:t>
      </w:r>
      <w:r w:rsidRPr="00BE6F68">
        <w:rPr>
          <w:rFonts w:asciiTheme="minorHAnsi" w:hAnsiTheme="minorHAnsi"/>
        </w:rPr>
        <w:t xml:space="preserve"> </w:t>
      </w:r>
      <w:r w:rsidR="004506FE" w:rsidRPr="00BE6F68">
        <w:rPr>
          <w:rFonts w:asciiTheme="minorHAnsi" w:hAnsiTheme="minorHAnsi"/>
        </w:rPr>
        <w:t>–</w:t>
      </w:r>
      <w:r w:rsidRPr="00BE6F68">
        <w:rPr>
          <w:rFonts w:asciiTheme="minorHAnsi" w:hAnsiTheme="minorHAnsi"/>
        </w:rPr>
        <w:t xml:space="preserve"> </w:t>
      </w:r>
      <w:r w:rsidR="004506FE" w:rsidRPr="00BE6F68">
        <w:rPr>
          <w:rFonts w:asciiTheme="minorHAnsi" w:hAnsiTheme="minorHAnsi"/>
        </w:rPr>
        <w:t>‘</w:t>
      </w:r>
      <w:r w:rsidRPr="00BE6F68">
        <w:rPr>
          <w:rFonts w:asciiTheme="minorHAnsi" w:hAnsiTheme="minorHAnsi"/>
        </w:rPr>
        <w:t>discomfort</w:t>
      </w:r>
      <w:r w:rsidR="004506FE" w:rsidRPr="00BE6F68">
        <w:rPr>
          <w:rFonts w:asciiTheme="minorHAnsi" w:hAnsiTheme="minorHAnsi"/>
        </w:rPr>
        <w:t>’</w:t>
      </w:r>
      <w:r w:rsidRPr="00BE6F68">
        <w:rPr>
          <w:rFonts w:asciiTheme="minorHAnsi" w:hAnsiTheme="minorHAnsi"/>
        </w:rPr>
        <w:t>)</w:t>
      </w:r>
      <w:r w:rsidR="007E0173" w:rsidRPr="00BE6F68">
        <w:rPr>
          <w:rFonts w:asciiTheme="minorHAnsi" w:hAnsiTheme="minorHAnsi"/>
        </w:rPr>
        <w:t>.</w:t>
      </w:r>
    </w:p>
    <w:p w14:paraId="1B7A9844" w14:textId="77777777" w:rsidR="00997468" w:rsidRPr="00BE6F68" w:rsidRDefault="00997468" w:rsidP="00BF3020">
      <w:pPr>
        <w:spacing w:line="480" w:lineRule="auto"/>
        <w:jc w:val="both"/>
        <w:rPr>
          <w:rFonts w:asciiTheme="minorHAnsi" w:hAnsiTheme="minorHAnsi"/>
        </w:rPr>
      </w:pPr>
    </w:p>
    <w:p w14:paraId="493022C6" w14:textId="77777777" w:rsidR="00997468" w:rsidRPr="00BE6F68" w:rsidRDefault="00997468" w:rsidP="00BF3020">
      <w:pPr>
        <w:spacing w:line="480" w:lineRule="auto"/>
        <w:jc w:val="both"/>
        <w:rPr>
          <w:rFonts w:asciiTheme="minorHAnsi" w:hAnsiTheme="minorHAnsi"/>
        </w:rPr>
      </w:pPr>
    </w:p>
    <w:sectPr w:rsidR="00997468" w:rsidRPr="00BE6F6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A616A" w14:textId="77777777" w:rsidR="009B2129" w:rsidRDefault="009B2129">
      <w:pPr>
        <w:spacing w:after="0" w:line="240" w:lineRule="auto"/>
      </w:pPr>
      <w:r>
        <w:separator/>
      </w:r>
    </w:p>
  </w:endnote>
  <w:endnote w:type="continuationSeparator" w:id="0">
    <w:p w14:paraId="2EDD5ED1" w14:textId="77777777" w:rsidR="009B2129" w:rsidRDefault="009B2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117A4" w14:textId="77777777" w:rsidR="009B2129" w:rsidRDefault="009B2129">
      <w:pPr>
        <w:spacing w:after="0" w:line="240" w:lineRule="auto"/>
      </w:pPr>
      <w:r>
        <w:rPr>
          <w:color w:val="000000"/>
        </w:rPr>
        <w:separator/>
      </w:r>
    </w:p>
  </w:footnote>
  <w:footnote w:type="continuationSeparator" w:id="0">
    <w:p w14:paraId="2B09975A" w14:textId="77777777" w:rsidR="009B2129" w:rsidRDefault="009B21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9D"/>
    <w:rsid w:val="00022B51"/>
    <w:rsid w:val="00070EA0"/>
    <w:rsid w:val="001347C4"/>
    <w:rsid w:val="0016308C"/>
    <w:rsid w:val="00165629"/>
    <w:rsid w:val="00165C4F"/>
    <w:rsid w:val="001778D4"/>
    <w:rsid w:val="0018331C"/>
    <w:rsid w:val="001F3883"/>
    <w:rsid w:val="0021097F"/>
    <w:rsid w:val="00212B47"/>
    <w:rsid w:val="00234254"/>
    <w:rsid w:val="0034746C"/>
    <w:rsid w:val="003E42FF"/>
    <w:rsid w:val="004506FE"/>
    <w:rsid w:val="00594FCC"/>
    <w:rsid w:val="005C1E5F"/>
    <w:rsid w:val="005F37FF"/>
    <w:rsid w:val="00623B6F"/>
    <w:rsid w:val="00643D07"/>
    <w:rsid w:val="0066458E"/>
    <w:rsid w:val="006B0E48"/>
    <w:rsid w:val="006C223E"/>
    <w:rsid w:val="006F05FB"/>
    <w:rsid w:val="006F2DF5"/>
    <w:rsid w:val="00741325"/>
    <w:rsid w:val="007A1CAC"/>
    <w:rsid w:val="007E0173"/>
    <w:rsid w:val="00853892"/>
    <w:rsid w:val="0098370A"/>
    <w:rsid w:val="009955A5"/>
    <w:rsid w:val="00996241"/>
    <w:rsid w:val="00997468"/>
    <w:rsid w:val="009B2129"/>
    <w:rsid w:val="009C75CD"/>
    <w:rsid w:val="00A76939"/>
    <w:rsid w:val="00B94502"/>
    <w:rsid w:val="00BD0BB1"/>
    <w:rsid w:val="00BE6F68"/>
    <w:rsid w:val="00BF3020"/>
    <w:rsid w:val="00C116E4"/>
    <w:rsid w:val="00C940F9"/>
    <w:rsid w:val="00D56540"/>
    <w:rsid w:val="00E341EB"/>
    <w:rsid w:val="00E41734"/>
    <w:rsid w:val="00E720B8"/>
    <w:rsid w:val="00EB0780"/>
    <w:rsid w:val="00EC1FFC"/>
    <w:rsid w:val="00ED1D1A"/>
    <w:rsid w:val="00ED1E57"/>
    <w:rsid w:val="00EF3D0A"/>
    <w:rsid w:val="00F467EC"/>
    <w:rsid w:val="00F50F50"/>
    <w:rsid w:val="00F5409D"/>
    <w:rsid w:val="00FC2AF0"/>
    <w:rsid w:val="00FF5F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2CE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1215</Words>
  <Characters>6927</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Haggard</dc:creator>
  <dc:description/>
  <cp:lastModifiedBy>Bojana Bukurov</cp:lastModifiedBy>
  <cp:revision>9</cp:revision>
  <dcterms:created xsi:type="dcterms:W3CDTF">2017-05-14T14:31:00Z</dcterms:created>
  <dcterms:modified xsi:type="dcterms:W3CDTF">2017-05-22T15:37:00Z</dcterms:modified>
</cp:coreProperties>
</file>