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ACF" w:rsidRDefault="008855CE">
      <w:pPr>
        <w:rPr>
          <w:lang w:val="en-US"/>
        </w:rPr>
      </w:pPr>
      <w:r w:rsidRPr="008855CE">
        <w:rPr>
          <w:lang w:val="en-GB"/>
        </w:rPr>
        <w:t>Supplemental</w:t>
      </w:r>
      <w:r w:rsidRPr="008855CE">
        <w:rPr>
          <w:lang w:val="en-US"/>
        </w:rPr>
        <w:t xml:space="preserve"> file</w:t>
      </w:r>
      <w:r>
        <w:rPr>
          <w:lang w:val="en-US"/>
        </w:rPr>
        <w:t>: English version of EAT-10</w:t>
      </w:r>
    </w:p>
    <w:p w:rsidR="008855CE" w:rsidRDefault="008855CE">
      <w:pPr>
        <w:rPr>
          <w:lang w:val="en-US"/>
        </w:rPr>
      </w:pPr>
      <w:r w:rsidRPr="008855CE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327660</wp:posOffset>
            </wp:positionH>
            <wp:positionV relativeFrom="paragraph">
              <wp:posOffset>177165</wp:posOffset>
            </wp:positionV>
            <wp:extent cx="5524500" cy="7244715"/>
            <wp:effectExtent l="0" t="0" r="0" b="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24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55CE" w:rsidRPr="008855CE" w:rsidRDefault="008855CE">
      <w:pPr>
        <w:rPr>
          <w:lang w:val="en-US"/>
        </w:rPr>
      </w:pPr>
    </w:p>
    <w:p w:rsidR="008855CE" w:rsidRPr="008855CE" w:rsidRDefault="008855CE" w:rsidP="008855CE">
      <w:pPr>
        <w:spacing w:after="0" w:line="240" w:lineRule="auto"/>
        <w:contextualSpacing/>
        <w:rPr>
          <w:rFonts w:cs="Times New Roman"/>
          <w:sz w:val="20"/>
          <w:szCs w:val="24"/>
          <w:lang w:val="en-US"/>
        </w:rPr>
      </w:pPr>
      <w:r w:rsidRPr="008855CE">
        <w:rPr>
          <w:rFonts w:cs="Times New Roman"/>
          <w:i/>
          <w:sz w:val="20"/>
          <w:szCs w:val="24"/>
          <w:lang w:val="en-US"/>
        </w:rPr>
        <w:t>Note</w:t>
      </w:r>
      <w:r w:rsidRPr="008855CE">
        <w:rPr>
          <w:rFonts w:cs="Times New Roman"/>
          <w:sz w:val="20"/>
          <w:szCs w:val="24"/>
          <w:lang w:val="en-US"/>
        </w:rPr>
        <w:t xml:space="preserve">. </w:t>
      </w:r>
      <w:r>
        <w:rPr>
          <w:rFonts w:cs="Times New Roman"/>
          <w:sz w:val="20"/>
          <w:szCs w:val="24"/>
          <w:lang w:val="en-US"/>
        </w:rPr>
        <w:t>Accessed and r</w:t>
      </w:r>
      <w:r w:rsidRPr="008855CE">
        <w:rPr>
          <w:rFonts w:cs="Times New Roman"/>
          <w:sz w:val="20"/>
          <w:szCs w:val="24"/>
          <w:lang w:val="en-US"/>
        </w:rPr>
        <w:t>etrieved 12-04-2019</w:t>
      </w:r>
      <w:r>
        <w:rPr>
          <w:rFonts w:cs="Times New Roman"/>
          <w:sz w:val="20"/>
          <w:szCs w:val="24"/>
          <w:lang w:val="en-US"/>
        </w:rPr>
        <w:t xml:space="preserve"> </w:t>
      </w:r>
      <w:bookmarkStart w:id="0" w:name="_GoBack"/>
      <w:bookmarkEnd w:id="0"/>
      <w:r w:rsidRPr="008855CE">
        <w:rPr>
          <w:rFonts w:cs="Times New Roman"/>
          <w:sz w:val="20"/>
          <w:szCs w:val="24"/>
          <w:lang w:val="en-US"/>
        </w:rPr>
        <w:t>from the Nestlé Nutrition Institute website (https://www.nestlenutrition-institute.org/resources/nutrition-tools/details/swallowing-assessment-tool.)</w:t>
      </w:r>
    </w:p>
    <w:p w:rsidR="008855CE" w:rsidRPr="008855CE" w:rsidRDefault="008855CE">
      <w:pPr>
        <w:rPr>
          <w:lang w:val="en-US"/>
        </w:rPr>
      </w:pPr>
    </w:p>
    <w:sectPr w:rsidR="008855CE" w:rsidRPr="008855C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CE"/>
    <w:rsid w:val="00625ACF"/>
    <w:rsid w:val="0088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201F"/>
  <w15:chartTrackingRefBased/>
  <w15:docId w15:val="{A93F9FD2-A16A-4B93-B94A-3289D33A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85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855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206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Hansen</dc:creator>
  <cp:keywords/>
  <dc:description/>
  <cp:lastModifiedBy>Tina Hansen</cp:lastModifiedBy>
  <cp:revision>1</cp:revision>
  <dcterms:created xsi:type="dcterms:W3CDTF">2019-04-12T12:24:00Z</dcterms:created>
  <dcterms:modified xsi:type="dcterms:W3CDTF">2019-04-12T12:30:00Z</dcterms:modified>
</cp:coreProperties>
</file>