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E7F28" w14:textId="6D9C1697" w:rsidR="003870E5" w:rsidRPr="00F903C8" w:rsidRDefault="003870E5" w:rsidP="003870E5">
      <w:pPr>
        <w:rPr>
          <w:rFonts w:ascii="Aptos" w:hAnsi="Aptos" w:cs="Arial"/>
          <w:sz w:val="18"/>
          <w:szCs w:val="18"/>
        </w:rPr>
      </w:pPr>
      <w:r w:rsidRPr="00F903C8">
        <w:rPr>
          <w:rFonts w:ascii="Aptos" w:hAnsi="Aptos" w:cs="Arial"/>
          <w:sz w:val="18"/>
          <w:szCs w:val="18"/>
        </w:rPr>
        <w:t xml:space="preserve">Additional File </w:t>
      </w:r>
      <w:r w:rsidR="006D436A">
        <w:rPr>
          <w:rFonts w:ascii="Aptos" w:hAnsi="Aptos" w:cs="Arial"/>
          <w:sz w:val="18"/>
          <w:szCs w:val="18"/>
        </w:rPr>
        <w:t>4</w:t>
      </w:r>
      <w:r w:rsidRPr="00F903C8">
        <w:rPr>
          <w:rFonts w:ascii="Aptos" w:hAnsi="Aptos" w:cs="Arial"/>
          <w:sz w:val="18"/>
          <w:szCs w:val="18"/>
        </w:rPr>
        <w:t>. Results of studies on measurement properties for the PAS.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1259"/>
        <w:gridCol w:w="316"/>
        <w:gridCol w:w="632"/>
        <w:gridCol w:w="795"/>
        <w:gridCol w:w="409"/>
        <w:gridCol w:w="632"/>
        <w:gridCol w:w="795"/>
        <w:gridCol w:w="795"/>
        <w:gridCol w:w="2151"/>
        <w:gridCol w:w="316"/>
        <w:gridCol w:w="716"/>
        <w:gridCol w:w="797"/>
        <w:gridCol w:w="562"/>
        <w:gridCol w:w="412"/>
        <w:gridCol w:w="1104"/>
        <w:gridCol w:w="1738"/>
      </w:tblGrid>
      <w:tr w:rsidR="003870E5" w:rsidRPr="00F903C8" w14:paraId="02A9F20B" w14:textId="77777777" w:rsidTr="0009653F">
        <w:tc>
          <w:tcPr>
            <w:tcW w:w="0" w:type="auto"/>
            <w:vMerge w:val="restart"/>
          </w:tcPr>
          <w:p w14:paraId="6110E2F1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PROM (ref)</w:t>
            </w:r>
          </w:p>
        </w:tc>
        <w:tc>
          <w:tcPr>
            <w:tcW w:w="0" w:type="auto"/>
            <w:vMerge w:val="restart"/>
          </w:tcPr>
          <w:p w14:paraId="5FDF2758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Country (language) in which the PROM was evaluated</w:t>
            </w:r>
          </w:p>
        </w:tc>
        <w:tc>
          <w:tcPr>
            <w:tcW w:w="0" w:type="auto"/>
            <w:gridSpan w:val="3"/>
          </w:tcPr>
          <w:p w14:paraId="0EF5351C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Structural validity</w:t>
            </w:r>
          </w:p>
        </w:tc>
        <w:tc>
          <w:tcPr>
            <w:tcW w:w="0" w:type="auto"/>
            <w:gridSpan w:val="4"/>
          </w:tcPr>
          <w:p w14:paraId="70033A5A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Internal consistency</w:t>
            </w:r>
          </w:p>
        </w:tc>
        <w:tc>
          <w:tcPr>
            <w:tcW w:w="0" w:type="auto"/>
            <w:gridSpan w:val="5"/>
          </w:tcPr>
          <w:p w14:paraId="46E27DF7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Cross-cultural validity\measurement invariance</w:t>
            </w:r>
          </w:p>
        </w:tc>
        <w:tc>
          <w:tcPr>
            <w:tcW w:w="0" w:type="auto"/>
            <w:gridSpan w:val="3"/>
          </w:tcPr>
          <w:p w14:paraId="7A073C87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 xml:space="preserve">Reliability </w:t>
            </w:r>
          </w:p>
        </w:tc>
      </w:tr>
      <w:tr w:rsidR="003870E5" w:rsidRPr="00F903C8" w14:paraId="2442270C" w14:textId="77777777" w:rsidTr="0009653F">
        <w:tc>
          <w:tcPr>
            <w:tcW w:w="0" w:type="auto"/>
            <w:vMerge/>
          </w:tcPr>
          <w:p w14:paraId="4CB75228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Merge/>
          </w:tcPr>
          <w:p w14:paraId="2FD7B149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00B9057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0" w:type="auto"/>
          </w:tcPr>
          <w:p w14:paraId="5512F500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0" w:type="auto"/>
          </w:tcPr>
          <w:p w14:paraId="534DF43D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  <w:tc>
          <w:tcPr>
            <w:tcW w:w="0" w:type="auto"/>
          </w:tcPr>
          <w:p w14:paraId="709FBB66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0" w:type="auto"/>
            <w:gridSpan w:val="2"/>
          </w:tcPr>
          <w:p w14:paraId="3AE51FD5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0" w:type="auto"/>
          </w:tcPr>
          <w:p w14:paraId="0302F7E3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  <w:tc>
          <w:tcPr>
            <w:tcW w:w="0" w:type="auto"/>
          </w:tcPr>
          <w:p w14:paraId="23EC7A36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0" w:type="auto"/>
            <w:gridSpan w:val="2"/>
          </w:tcPr>
          <w:p w14:paraId="42192CAE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0" w:type="auto"/>
            <w:gridSpan w:val="2"/>
          </w:tcPr>
          <w:p w14:paraId="5AD3EF7E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  <w:tc>
          <w:tcPr>
            <w:tcW w:w="0" w:type="auto"/>
          </w:tcPr>
          <w:p w14:paraId="0F979E47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0" w:type="auto"/>
          </w:tcPr>
          <w:p w14:paraId="469FB3AE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0" w:type="auto"/>
          </w:tcPr>
          <w:p w14:paraId="77BCE24A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</w:tr>
      <w:tr w:rsidR="003870E5" w:rsidRPr="00F903C8" w14:paraId="2DFA8D66" w14:textId="77777777" w:rsidTr="0009653F">
        <w:tc>
          <w:tcPr>
            <w:tcW w:w="0" w:type="auto"/>
          </w:tcPr>
          <w:p w14:paraId="10205078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PAS (Pasieka 1998)</w:t>
            </w:r>
          </w:p>
        </w:tc>
        <w:tc>
          <w:tcPr>
            <w:tcW w:w="0" w:type="auto"/>
          </w:tcPr>
          <w:p w14:paraId="42BBD10D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Canada (English)</w:t>
            </w:r>
          </w:p>
        </w:tc>
        <w:tc>
          <w:tcPr>
            <w:tcW w:w="0" w:type="auto"/>
          </w:tcPr>
          <w:p w14:paraId="3A4FC82C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21BF21C5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3C7F379E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778572F3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</w:tcPr>
          <w:p w14:paraId="5597CA37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3B357639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0D05452C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</w:tcPr>
          <w:p w14:paraId="1E3B6202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</w:tcPr>
          <w:p w14:paraId="672BA2F8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1017DF6F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7EE368E8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753C8656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</w:tr>
      <w:tr w:rsidR="003870E5" w:rsidRPr="00F903C8" w14:paraId="744DA46D" w14:textId="77777777" w:rsidTr="0009653F">
        <w:tc>
          <w:tcPr>
            <w:tcW w:w="0" w:type="auto"/>
          </w:tcPr>
          <w:p w14:paraId="000F5B26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PAS (Pasieka 2002)</w:t>
            </w:r>
          </w:p>
        </w:tc>
        <w:tc>
          <w:tcPr>
            <w:tcW w:w="0" w:type="auto"/>
          </w:tcPr>
          <w:p w14:paraId="68287328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Canada, US, Australia (English)</w:t>
            </w:r>
          </w:p>
        </w:tc>
        <w:tc>
          <w:tcPr>
            <w:tcW w:w="0" w:type="auto"/>
          </w:tcPr>
          <w:p w14:paraId="72D6A1C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2F08DAAF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01BA366F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5FC6DF0B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</w:tcPr>
          <w:p w14:paraId="6B6794F8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7FCAD51E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235ED6D0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</w:tcPr>
          <w:p w14:paraId="0863A73B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</w:tcPr>
          <w:p w14:paraId="721348B7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68D97CDA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7A97B872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298BD3EB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</w:tr>
      <w:tr w:rsidR="002B3255" w:rsidRPr="00F903C8" w14:paraId="7A44D01E" w14:textId="77777777" w:rsidTr="0009653F">
        <w:tc>
          <w:tcPr>
            <w:tcW w:w="0" w:type="auto"/>
          </w:tcPr>
          <w:p w14:paraId="351F7297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PAS (Mihai and Sadler 2008)</w:t>
            </w:r>
          </w:p>
        </w:tc>
        <w:tc>
          <w:tcPr>
            <w:tcW w:w="0" w:type="auto"/>
          </w:tcPr>
          <w:p w14:paraId="127BC873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UK (English)</w:t>
            </w:r>
          </w:p>
        </w:tc>
        <w:tc>
          <w:tcPr>
            <w:tcW w:w="0" w:type="auto"/>
          </w:tcPr>
          <w:p w14:paraId="31C5A318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060E95DB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7897A6A1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6CE077E8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</w:tcPr>
          <w:p w14:paraId="7A64DE36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0AADC338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4726E9B9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</w:tcPr>
          <w:p w14:paraId="3AE148C1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</w:tcPr>
          <w:p w14:paraId="6FB0F930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7354A7E9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11BA910E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3D5B7FDB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</w:tr>
      <w:tr w:rsidR="003870E5" w:rsidRPr="00F903C8" w14:paraId="381ED5F2" w14:textId="77777777" w:rsidTr="0009653F">
        <w:tc>
          <w:tcPr>
            <w:tcW w:w="0" w:type="auto"/>
          </w:tcPr>
          <w:p w14:paraId="61A9E36E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PAS (Tzikos 2022)</w:t>
            </w:r>
          </w:p>
        </w:tc>
        <w:tc>
          <w:tcPr>
            <w:tcW w:w="0" w:type="auto"/>
          </w:tcPr>
          <w:p w14:paraId="4D86DA49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Greece (Greek)</w:t>
            </w:r>
          </w:p>
        </w:tc>
        <w:tc>
          <w:tcPr>
            <w:tcW w:w="0" w:type="auto"/>
          </w:tcPr>
          <w:p w14:paraId="49710EDE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11542727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646EC81A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08FF6B7C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50</w:t>
            </w:r>
          </w:p>
        </w:tc>
        <w:tc>
          <w:tcPr>
            <w:tcW w:w="0" w:type="auto"/>
            <w:gridSpan w:val="2"/>
          </w:tcPr>
          <w:p w14:paraId="49CB25F3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N/A</w:t>
            </w:r>
          </w:p>
        </w:tc>
        <w:tc>
          <w:tcPr>
            <w:tcW w:w="0" w:type="auto"/>
          </w:tcPr>
          <w:p w14:paraId="117BB412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N/A</w:t>
            </w:r>
          </w:p>
        </w:tc>
        <w:tc>
          <w:tcPr>
            <w:tcW w:w="0" w:type="auto"/>
          </w:tcPr>
          <w:p w14:paraId="51B7D361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50</w:t>
            </w:r>
          </w:p>
        </w:tc>
        <w:tc>
          <w:tcPr>
            <w:tcW w:w="0" w:type="auto"/>
            <w:gridSpan w:val="2"/>
          </w:tcPr>
          <w:p w14:paraId="14351CF6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N/A</w:t>
            </w:r>
          </w:p>
        </w:tc>
        <w:tc>
          <w:tcPr>
            <w:tcW w:w="0" w:type="auto"/>
            <w:gridSpan w:val="2"/>
          </w:tcPr>
          <w:p w14:paraId="54A4D259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N/A</w:t>
            </w:r>
          </w:p>
        </w:tc>
        <w:tc>
          <w:tcPr>
            <w:tcW w:w="0" w:type="auto"/>
          </w:tcPr>
          <w:p w14:paraId="52267706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50</w:t>
            </w:r>
          </w:p>
        </w:tc>
        <w:tc>
          <w:tcPr>
            <w:tcW w:w="0" w:type="auto"/>
          </w:tcPr>
          <w:p w14:paraId="28B10117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Doubtful</w:t>
            </w:r>
          </w:p>
        </w:tc>
        <w:tc>
          <w:tcPr>
            <w:tcW w:w="0" w:type="auto"/>
          </w:tcPr>
          <w:p w14:paraId="2983960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ICCs per item 0.850-0.968 (+)</w:t>
            </w:r>
          </w:p>
        </w:tc>
      </w:tr>
      <w:tr w:rsidR="003870E5" w:rsidRPr="00F903C8" w14:paraId="72C93ABD" w14:textId="77777777" w:rsidTr="0009653F">
        <w:tc>
          <w:tcPr>
            <w:tcW w:w="0" w:type="auto"/>
            <w:gridSpan w:val="2"/>
          </w:tcPr>
          <w:p w14:paraId="12026B20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Pooled or summary result (overall rating)</w:t>
            </w:r>
          </w:p>
        </w:tc>
        <w:tc>
          <w:tcPr>
            <w:tcW w:w="0" w:type="auto"/>
          </w:tcPr>
          <w:p w14:paraId="01D465AC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4C4D300E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4839683F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5D611D97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50</w:t>
            </w:r>
          </w:p>
        </w:tc>
        <w:tc>
          <w:tcPr>
            <w:tcW w:w="0" w:type="auto"/>
            <w:gridSpan w:val="2"/>
          </w:tcPr>
          <w:p w14:paraId="71B9087D" w14:textId="11B9380D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62878D0F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N/A</w:t>
            </w:r>
          </w:p>
        </w:tc>
        <w:tc>
          <w:tcPr>
            <w:tcW w:w="0" w:type="auto"/>
          </w:tcPr>
          <w:p w14:paraId="053B56CA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50</w:t>
            </w:r>
          </w:p>
        </w:tc>
        <w:tc>
          <w:tcPr>
            <w:tcW w:w="0" w:type="auto"/>
            <w:gridSpan w:val="2"/>
          </w:tcPr>
          <w:p w14:paraId="507D2ACB" w14:textId="09A7FE80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</w:tcPr>
          <w:p w14:paraId="6CDF9C6A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N/A</w:t>
            </w:r>
          </w:p>
        </w:tc>
        <w:tc>
          <w:tcPr>
            <w:tcW w:w="0" w:type="auto"/>
          </w:tcPr>
          <w:p w14:paraId="59807336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50</w:t>
            </w:r>
          </w:p>
        </w:tc>
        <w:tc>
          <w:tcPr>
            <w:tcW w:w="0" w:type="auto"/>
          </w:tcPr>
          <w:p w14:paraId="2FD0BD41" w14:textId="0CDB3BAF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75F929E5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(+)</w:t>
            </w:r>
          </w:p>
        </w:tc>
      </w:tr>
      <w:tr w:rsidR="003870E5" w:rsidRPr="00F903C8" w14:paraId="00C2FF5F" w14:textId="77777777" w:rsidTr="0009653F">
        <w:tc>
          <w:tcPr>
            <w:tcW w:w="0" w:type="auto"/>
            <w:vMerge w:val="restart"/>
          </w:tcPr>
          <w:p w14:paraId="2CDF4AF0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br w:type="page"/>
              <w:t>PROM</w:t>
            </w:r>
          </w:p>
        </w:tc>
        <w:tc>
          <w:tcPr>
            <w:tcW w:w="0" w:type="auto"/>
            <w:vMerge w:val="restart"/>
          </w:tcPr>
          <w:p w14:paraId="0D4AB0C8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Country (language) in which the PROM was evaluated</w:t>
            </w:r>
          </w:p>
        </w:tc>
        <w:tc>
          <w:tcPr>
            <w:tcW w:w="0" w:type="auto"/>
            <w:gridSpan w:val="3"/>
          </w:tcPr>
          <w:p w14:paraId="056CA919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Measurement error</w:t>
            </w:r>
          </w:p>
        </w:tc>
        <w:tc>
          <w:tcPr>
            <w:tcW w:w="0" w:type="auto"/>
            <w:gridSpan w:val="3"/>
          </w:tcPr>
          <w:p w14:paraId="349FDFA7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Criterion validity</w:t>
            </w:r>
          </w:p>
        </w:tc>
        <w:tc>
          <w:tcPr>
            <w:tcW w:w="0" w:type="auto"/>
            <w:gridSpan w:val="5"/>
          </w:tcPr>
          <w:p w14:paraId="7453CCA7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Hypotheses testing</w:t>
            </w:r>
          </w:p>
        </w:tc>
        <w:tc>
          <w:tcPr>
            <w:tcW w:w="0" w:type="auto"/>
            <w:gridSpan w:val="4"/>
          </w:tcPr>
          <w:p w14:paraId="4DDF0B58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 xml:space="preserve">Responsiveness </w:t>
            </w:r>
          </w:p>
        </w:tc>
      </w:tr>
      <w:tr w:rsidR="003870E5" w:rsidRPr="00F903C8" w14:paraId="1774BBD5" w14:textId="77777777" w:rsidTr="0009653F">
        <w:tc>
          <w:tcPr>
            <w:tcW w:w="0" w:type="auto"/>
            <w:vMerge/>
          </w:tcPr>
          <w:p w14:paraId="53CB8F2A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vMerge/>
          </w:tcPr>
          <w:p w14:paraId="43402C2E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0FEBB190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0" w:type="auto"/>
          </w:tcPr>
          <w:p w14:paraId="60079469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0" w:type="auto"/>
          </w:tcPr>
          <w:p w14:paraId="1DD57BB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  <w:tc>
          <w:tcPr>
            <w:tcW w:w="0" w:type="auto"/>
          </w:tcPr>
          <w:p w14:paraId="21F77006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0" w:type="auto"/>
          </w:tcPr>
          <w:p w14:paraId="2C916288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0" w:type="auto"/>
          </w:tcPr>
          <w:p w14:paraId="607DD8C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  <w:tc>
          <w:tcPr>
            <w:tcW w:w="0" w:type="auto"/>
          </w:tcPr>
          <w:p w14:paraId="56F1BD7B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0" w:type="auto"/>
            <w:gridSpan w:val="2"/>
          </w:tcPr>
          <w:p w14:paraId="12FEEF3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0" w:type="auto"/>
            <w:gridSpan w:val="2"/>
          </w:tcPr>
          <w:p w14:paraId="592B575C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  <w:tc>
          <w:tcPr>
            <w:tcW w:w="0" w:type="auto"/>
            <w:gridSpan w:val="2"/>
          </w:tcPr>
          <w:p w14:paraId="6EC34A79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 xml:space="preserve">n </w:t>
            </w:r>
          </w:p>
        </w:tc>
        <w:tc>
          <w:tcPr>
            <w:tcW w:w="0" w:type="auto"/>
          </w:tcPr>
          <w:p w14:paraId="550CECEE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Meth qual</w:t>
            </w:r>
          </w:p>
        </w:tc>
        <w:tc>
          <w:tcPr>
            <w:tcW w:w="0" w:type="auto"/>
          </w:tcPr>
          <w:p w14:paraId="6BEA52BB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Result (rating)</w:t>
            </w:r>
          </w:p>
        </w:tc>
      </w:tr>
      <w:tr w:rsidR="003870E5" w:rsidRPr="00F903C8" w14:paraId="0609F427" w14:textId="77777777" w:rsidTr="00A23588">
        <w:tc>
          <w:tcPr>
            <w:tcW w:w="0" w:type="auto"/>
          </w:tcPr>
          <w:p w14:paraId="58B0871D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PAS (Pasieka 1998)</w:t>
            </w:r>
          </w:p>
        </w:tc>
        <w:tc>
          <w:tcPr>
            <w:tcW w:w="0" w:type="auto"/>
          </w:tcPr>
          <w:p w14:paraId="073C4BFD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Canada (English)</w:t>
            </w:r>
          </w:p>
        </w:tc>
        <w:tc>
          <w:tcPr>
            <w:tcW w:w="0" w:type="auto"/>
          </w:tcPr>
          <w:p w14:paraId="2F3BE45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27B345EE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238E860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2DB81707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0A583DA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764164BD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45C28E49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63</w:t>
            </w:r>
          </w:p>
        </w:tc>
        <w:tc>
          <w:tcPr>
            <w:tcW w:w="0" w:type="auto"/>
            <w:gridSpan w:val="2"/>
          </w:tcPr>
          <w:p w14:paraId="53D96873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Inadequate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688ED20" w14:textId="08EB2526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Statistically significantly higher scores in PHPT patients compared to thyroid patients (p&lt;0.001) (</w:t>
            </w:r>
            <w:r w:rsidR="00124680" w:rsidRPr="00A23588">
              <w:rPr>
                <w:rFonts w:ascii="Aptos" w:hAnsi="Aptos" w:cs="Arial"/>
                <w:sz w:val="18"/>
                <w:szCs w:val="18"/>
                <w:lang w:val="nl-NL"/>
              </w:rPr>
              <w:t>-</w:t>
            </w: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DFDCD4C" w14:textId="77777777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6CB9D34B" w14:textId="77777777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Inadequate</w:t>
            </w:r>
          </w:p>
        </w:tc>
        <w:tc>
          <w:tcPr>
            <w:tcW w:w="0" w:type="auto"/>
            <w:shd w:val="clear" w:color="auto" w:fill="auto"/>
          </w:tcPr>
          <w:p w14:paraId="2FEBD9A9" w14:textId="53801B54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Statistically significant difference between baseline and 1 week postoperative (&lt;0.001) (</w:t>
            </w:r>
            <w:r w:rsidR="00F156DA" w:rsidRPr="00A23588">
              <w:rPr>
                <w:rFonts w:ascii="Aptos" w:hAnsi="Aptos" w:cs="Arial"/>
                <w:sz w:val="18"/>
                <w:szCs w:val="18"/>
                <w:lang w:val="nl-NL"/>
              </w:rPr>
              <w:t>-</w:t>
            </w: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)</w:t>
            </w:r>
          </w:p>
        </w:tc>
      </w:tr>
      <w:tr w:rsidR="003870E5" w:rsidRPr="00F903C8" w14:paraId="23EEE8C9" w14:textId="77777777" w:rsidTr="00A23588">
        <w:tc>
          <w:tcPr>
            <w:tcW w:w="0" w:type="auto"/>
          </w:tcPr>
          <w:p w14:paraId="46E821C8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PAS (Pasieka 2002)</w:t>
            </w:r>
          </w:p>
        </w:tc>
        <w:tc>
          <w:tcPr>
            <w:tcW w:w="0" w:type="auto"/>
          </w:tcPr>
          <w:p w14:paraId="5264D68A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Canada, US, Australia (English)</w:t>
            </w:r>
          </w:p>
        </w:tc>
        <w:tc>
          <w:tcPr>
            <w:tcW w:w="0" w:type="auto"/>
          </w:tcPr>
          <w:p w14:paraId="018740A8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3CC81C50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63F2F42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7A8CEE87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0BA7AF00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3AF1538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571DB17D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122</w:t>
            </w:r>
          </w:p>
        </w:tc>
        <w:tc>
          <w:tcPr>
            <w:tcW w:w="0" w:type="auto"/>
            <w:gridSpan w:val="2"/>
          </w:tcPr>
          <w:p w14:paraId="292EEDA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Inadequate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85F6F45" w14:textId="17ACC77E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Statistically significantly higher scores in PHPT patients compared to thyroid patients (p&lt;0.01) (</w:t>
            </w:r>
            <w:r w:rsidR="00917AD8" w:rsidRPr="00A23588">
              <w:rPr>
                <w:rFonts w:ascii="Aptos" w:hAnsi="Aptos" w:cs="Arial"/>
                <w:sz w:val="18"/>
                <w:szCs w:val="18"/>
                <w:lang w:val="nl-NL"/>
              </w:rPr>
              <w:t>-</w:t>
            </w: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03C5081" w14:textId="77777777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Australia: 27</w:t>
            </w:r>
          </w:p>
          <w:p w14:paraId="34E945AC" w14:textId="77777777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USA: 54</w:t>
            </w:r>
          </w:p>
          <w:p w14:paraId="7422A508" w14:textId="77777777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Canada: 122</w:t>
            </w:r>
          </w:p>
        </w:tc>
        <w:tc>
          <w:tcPr>
            <w:tcW w:w="0" w:type="auto"/>
            <w:shd w:val="clear" w:color="auto" w:fill="auto"/>
          </w:tcPr>
          <w:p w14:paraId="70222408" w14:textId="77777777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Inadequate</w:t>
            </w:r>
          </w:p>
        </w:tc>
        <w:tc>
          <w:tcPr>
            <w:tcW w:w="0" w:type="auto"/>
            <w:shd w:val="clear" w:color="auto" w:fill="auto"/>
          </w:tcPr>
          <w:p w14:paraId="68CD381F" w14:textId="47FB1DFC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Statistically significant difference between baseline and postoperative timepoints across all three Centers (p&lt;0.001) (</w:t>
            </w:r>
            <w:r w:rsidR="00917AD8" w:rsidRPr="00A23588">
              <w:rPr>
                <w:rFonts w:ascii="Aptos" w:hAnsi="Aptos" w:cs="Arial"/>
                <w:sz w:val="18"/>
                <w:szCs w:val="18"/>
                <w:lang w:val="nl-NL"/>
              </w:rPr>
              <w:t>-</w:t>
            </w:r>
            <w:r w:rsidRPr="00A23588">
              <w:rPr>
                <w:rFonts w:ascii="Aptos" w:hAnsi="Aptos" w:cs="Arial"/>
                <w:sz w:val="18"/>
                <w:szCs w:val="18"/>
                <w:lang w:val="nl-NL"/>
              </w:rPr>
              <w:t>)</w:t>
            </w:r>
          </w:p>
        </w:tc>
      </w:tr>
      <w:tr w:rsidR="002B3255" w:rsidRPr="00F903C8" w14:paraId="39E849EC" w14:textId="77777777" w:rsidTr="0009653F">
        <w:tc>
          <w:tcPr>
            <w:tcW w:w="0" w:type="auto"/>
          </w:tcPr>
          <w:p w14:paraId="0C8882AE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PAS (Mihai and Sadler 2008)</w:t>
            </w:r>
          </w:p>
        </w:tc>
        <w:tc>
          <w:tcPr>
            <w:tcW w:w="0" w:type="auto"/>
          </w:tcPr>
          <w:p w14:paraId="6C09FB84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UK (English)</w:t>
            </w:r>
          </w:p>
        </w:tc>
        <w:tc>
          <w:tcPr>
            <w:tcW w:w="0" w:type="auto"/>
          </w:tcPr>
          <w:p w14:paraId="5602DA88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46867CAE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306A00EB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6DB20BD0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627C1F99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4ED5264B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622AF2CC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101</w:t>
            </w:r>
          </w:p>
        </w:tc>
        <w:tc>
          <w:tcPr>
            <w:tcW w:w="0" w:type="auto"/>
            <w:gridSpan w:val="2"/>
          </w:tcPr>
          <w:p w14:paraId="24B15700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Inadequate</w:t>
            </w:r>
          </w:p>
        </w:tc>
        <w:tc>
          <w:tcPr>
            <w:tcW w:w="0" w:type="auto"/>
            <w:gridSpan w:val="2"/>
          </w:tcPr>
          <w:p w14:paraId="42635B24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SF-36 (PCS): correlation coefficient 0.55 (+)</w:t>
            </w:r>
          </w:p>
          <w:p w14:paraId="78AC3A22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 xml:space="preserve">SF-36 (MCS): correlation </w:t>
            </w: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lastRenderedPageBreak/>
              <w:t>coefficient 0.61 (+)</w:t>
            </w:r>
          </w:p>
        </w:tc>
        <w:tc>
          <w:tcPr>
            <w:tcW w:w="0" w:type="auto"/>
            <w:gridSpan w:val="2"/>
          </w:tcPr>
          <w:p w14:paraId="023F2430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4B5C0666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246E6368" w14:textId="77777777" w:rsidR="002B3255" w:rsidRPr="00F903C8" w:rsidRDefault="002B325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</w:tr>
      <w:tr w:rsidR="003870E5" w:rsidRPr="00F903C8" w14:paraId="2722031E" w14:textId="77777777" w:rsidTr="00A23588">
        <w:tc>
          <w:tcPr>
            <w:tcW w:w="0" w:type="auto"/>
          </w:tcPr>
          <w:p w14:paraId="1F653399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PAS (Tzikos 2022)</w:t>
            </w:r>
          </w:p>
        </w:tc>
        <w:tc>
          <w:tcPr>
            <w:tcW w:w="0" w:type="auto"/>
          </w:tcPr>
          <w:p w14:paraId="0879407D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sz w:val="18"/>
                <w:szCs w:val="18"/>
                <w:lang w:val="nl-NL"/>
              </w:rPr>
              <w:t>Greece (Greek)</w:t>
            </w:r>
          </w:p>
        </w:tc>
        <w:tc>
          <w:tcPr>
            <w:tcW w:w="0" w:type="auto"/>
          </w:tcPr>
          <w:p w14:paraId="2EABAEF6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0B63EC03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1361DDFF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2C8E4E3D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6A5C4264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706BD410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73B34C91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</w:tcPr>
          <w:p w14:paraId="408D401A" w14:textId="77777777" w:rsidR="003870E5" w:rsidRPr="00F903C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5E0EECE" w14:textId="77777777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213601A5" w14:textId="77777777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shd w:val="clear" w:color="auto" w:fill="auto"/>
          </w:tcPr>
          <w:p w14:paraId="2FE9E23F" w14:textId="77777777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shd w:val="clear" w:color="auto" w:fill="auto"/>
          </w:tcPr>
          <w:p w14:paraId="3A99536B" w14:textId="77777777" w:rsidR="003870E5" w:rsidRPr="00A23588" w:rsidRDefault="003870E5" w:rsidP="0009653F">
            <w:pPr>
              <w:rPr>
                <w:rFonts w:ascii="Aptos" w:hAnsi="Aptos" w:cs="Arial"/>
                <w:sz w:val="18"/>
                <w:szCs w:val="18"/>
                <w:lang w:val="nl-NL"/>
              </w:rPr>
            </w:pPr>
          </w:p>
        </w:tc>
      </w:tr>
      <w:tr w:rsidR="003870E5" w:rsidRPr="00F903C8" w14:paraId="2DECB1AD" w14:textId="77777777" w:rsidTr="0009653F">
        <w:tc>
          <w:tcPr>
            <w:tcW w:w="0" w:type="auto"/>
            <w:gridSpan w:val="2"/>
          </w:tcPr>
          <w:p w14:paraId="5EDE682B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Pooled or summary result (overall rating)</w:t>
            </w:r>
          </w:p>
        </w:tc>
        <w:tc>
          <w:tcPr>
            <w:tcW w:w="0" w:type="auto"/>
          </w:tcPr>
          <w:p w14:paraId="154F2466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18340A50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1F7C6DD0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038D9ABC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6A75CD6D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4456B21A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4CFB71AD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286</w:t>
            </w:r>
          </w:p>
        </w:tc>
        <w:tc>
          <w:tcPr>
            <w:tcW w:w="0" w:type="auto"/>
            <w:gridSpan w:val="2"/>
          </w:tcPr>
          <w:p w14:paraId="6544D8B4" w14:textId="518D717B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  <w:gridSpan w:val="2"/>
          </w:tcPr>
          <w:p w14:paraId="1D3A6FF2" w14:textId="34FDBE6D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(</w:t>
            </w:r>
            <w:r w:rsidR="00D855E1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±</w:t>
            </w: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)</w:t>
            </w:r>
            <w:r w:rsidR="00E2597C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*</w:t>
            </w:r>
          </w:p>
        </w:tc>
        <w:tc>
          <w:tcPr>
            <w:tcW w:w="0" w:type="auto"/>
            <w:gridSpan w:val="2"/>
          </w:tcPr>
          <w:p w14:paraId="65E568BC" w14:textId="77777777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266</w:t>
            </w:r>
          </w:p>
        </w:tc>
        <w:tc>
          <w:tcPr>
            <w:tcW w:w="0" w:type="auto"/>
          </w:tcPr>
          <w:p w14:paraId="2CEFDBA0" w14:textId="3A474B68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0" w:type="auto"/>
          </w:tcPr>
          <w:p w14:paraId="08C94F1D" w14:textId="2657C354" w:rsidR="003870E5" w:rsidRPr="00F903C8" w:rsidRDefault="003870E5" w:rsidP="0009653F">
            <w:pPr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</w:pP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(</w:t>
            </w:r>
            <w:r w:rsidR="002736D5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-</w:t>
            </w:r>
            <w:r w:rsidRPr="00F903C8">
              <w:rPr>
                <w:rFonts w:ascii="Aptos" w:hAnsi="Aptos" w:cs="Arial"/>
                <w:b/>
                <w:bCs/>
                <w:sz w:val="18"/>
                <w:szCs w:val="18"/>
                <w:lang w:val="nl-NL"/>
              </w:rPr>
              <w:t>)</w:t>
            </w:r>
          </w:p>
        </w:tc>
      </w:tr>
    </w:tbl>
    <w:p w14:paraId="46B94A94" w14:textId="6C04E379" w:rsidR="00D3324C" w:rsidRDefault="003870E5">
      <w:pPr>
        <w:rPr>
          <w:rFonts w:ascii="Aptos" w:hAnsi="Aptos" w:cs="Arial"/>
          <w:sz w:val="18"/>
          <w:szCs w:val="18"/>
          <w:lang w:val="nl-NL"/>
        </w:rPr>
      </w:pPr>
      <w:r w:rsidRPr="00F903C8">
        <w:rPr>
          <w:rFonts w:ascii="Aptos" w:hAnsi="Aptos" w:cs="Arial"/>
          <w:sz w:val="18"/>
          <w:szCs w:val="18"/>
          <w:lang w:val="nl-NL"/>
        </w:rPr>
        <w:t>N/A: not applicable as PROM based on a formative model</w:t>
      </w:r>
    </w:p>
    <w:p w14:paraId="7C88177A" w14:textId="7C1F57C6" w:rsidR="00E2597C" w:rsidRPr="00F903C8" w:rsidRDefault="00E2597C">
      <w:pPr>
        <w:rPr>
          <w:rFonts w:ascii="Aptos" w:hAnsi="Aptos"/>
          <w:sz w:val="18"/>
          <w:szCs w:val="18"/>
        </w:rPr>
      </w:pPr>
      <w:r>
        <w:rPr>
          <w:rFonts w:ascii="Aptos" w:hAnsi="Aptos" w:cs="Arial"/>
          <w:sz w:val="18"/>
          <w:szCs w:val="18"/>
          <w:lang w:val="nl-NL"/>
        </w:rPr>
        <w:t>* Inconsistent results were reported separately as convergent validity and discrimin</w:t>
      </w:r>
      <w:r w:rsidR="009E7D2B">
        <w:rPr>
          <w:rFonts w:ascii="Aptos" w:hAnsi="Aptos" w:cs="Arial"/>
          <w:sz w:val="18"/>
          <w:szCs w:val="18"/>
          <w:lang w:val="nl-NL"/>
        </w:rPr>
        <w:t>ative validity.</w:t>
      </w:r>
    </w:p>
    <w:sectPr w:rsidR="00E2597C" w:rsidRPr="00F903C8" w:rsidSect="00F903C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E5"/>
    <w:rsid w:val="00124680"/>
    <w:rsid w:val="002736D5"/>
    <w:rsid w:val="002B3255"/>
    <w:rsid w:val="003870E5"/>
    <w:rsid w:val="004132E1"/>
    <w:rsid w:val="0056225B"/>
    <w:rsid w:val="006D436A"/>
    <w:rsid w:val="007E74C4"/>
    <w:rsid w:val="00917AD8"/>
    <w:rsid w:val="009E7D2B"/>
    <w:rsid w:val="00A23588"/>
    <w:rsid w:val="00D3324C"/>
    <w:rsid w:val="00D855E1"/>
    <w:rsid w:val="00E2597C"/>
    <w:rsid w:val="00F156DA"/>
    <w:rsid w:val="00F9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EB3C4"/>
  <w15:chartTrackingRefBased/>
  <w15:docId w15:val="{22539DD5-F352-4F51-B9F8-7F0ACB1E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0E5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Jason B.,MD, MS</dc:creator>
  <cp:keywords/>
  <dc:description/>
  <cp:lastModifiedBy>Liu, Jason B.,MD, MS</cp:lastModifiedBy>
  <cp:revision>14</cp:revision>
  <dcterms:created xsi:type="dcterms:W3CDTF">2023-12-26T16:15:00Z</dcterms:created>
  <dcterms:modified xsi:type="dcterms:W3CDTF">2024-02-29T20:26:00Z</dcterms:modified>
</cp:coreProperties>
</file>