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6940" w:rsidRDefault="00B66940" w:rsidP="00B66940">
      <w:pPr>
        <w:shd w:val="clear" w:color="auto" w:fill="FFFFFF"/>
        <w:spacing w:line="240" w:lineRule="auto"/>
        <w:rPr>
          <w:rFonts w:ascii="Cambria" w:eastAsia="Times New Roman" w:hAnsi="Cambria" w:cs="Times New Roman"/>
          <w:b/>
          <w:color w:val="000000" w:themeColor="text1"/>
          <w:sz w:val="24"/>
          <w:szCs w:val="24"/>
          <w:lang w:val="en-GB" w:eastAsia="it-IT"/>
        </w:rPr>
      </w:pPr>
      <w:r>
        <w:rPr>
          <w:rFonts w:ascii="Cambria" w:eastAsia="Times New Roman" w:hAnsi="Cambria" w:cs="Times New Roman"/>
          <w:b/>
          <w:color w:val="000000" w:themeColor="text1"/>
          <w:sz w:val="24"/>
          <w:szCs w:val="24"/>
          <w:lang w:val="en-GB" w:eastAsia="it-IT"/>
        </w:rPr>
        <w:t>Supplementary File 5</w:t>
      </w:r>
    </w:p>
    <w:p w:rsidR="00B66940" w:rsidRPr="00B66940" w:rsidRDefault="00B66940" w:rsidP="00B66940">
      <w:pPr>
        <w:shd w:val="clear" w:color="auto" w:fill="FFFFFF"/>
        <w:spacing w:line="240" w:lineRule="auto"/>
        <w:jc w:val="center"/>
        <w:rPr>
          <w:rFonts w:ascii="Cambria" w:eastAsia="Times New Roman" w:hAnsi="Cambria" w:cs="Times New Roman"/>
          <w:b/>
          <w:color w:val="000000" w:themeColor="text1"/>
          <w:sz w:val="24"/>
          <w:szCs w:val="24"/>
          <w:lang w:val="en-GB" w:eastAsia="it-IT"/>
        </w:rPr>
      </w:pPr>
      <w:r w:rsidRPr="00B66940">
        <w:rPr>
          <w:rFonts w:ascii="Cambria" w:eastAsia="Times New Roman" w:hAnsi="Cambria" w:cs="Times New Roman"/>
          <w:b/>
          <w:color w:val="000000" w:themeColor="text1"/>
          <w:sz w:val="24"/>
          <w:szCs w:val="24"/>
          <w:lang w:val="en-GB" w:eastAsia="it-IT"/>
        </w:rPr>
        <w:t>Definitions of quality levels</w:t>
      </w:r>
    </w:p>
    <w:tbl>
      <w:tblPr>
        <w:tblW w:w="0" w:type="auto"/>
        <w:tblBorders>
          <w:top w:val="single" w:sz="6" w:space="0" w:color="000000"/>
          <w:bottom w:val="single" w:sz="6" w:space="0" w:color="000000"/>
        </w:tblBorders>
        <w:tblCellMar>
          <w:top w:w="15" w:type="dxa"/>
          <w:left w:w="15" w:type="dxa"/>
          <w:bottom w:w="15" w:type="dxa"/>
          <w:right w:w="15" w:type="dxa"/>
        </w:tblCellMar>
        <w:tblLook w:val="04A0" w:firstRow="1" w:lastRow="0" w:firstColumn="1" w:lastColumn="0" w:noHBand="0" w:noVBand="1"/>
      </w:tblPr>
      <w:tblGrid>
        <w:gridCol w:w="1211"/>
        <w:gridCol w:w="8427"/>
      </w:tblGrid>
      <w:tr w:rsidR="00B66940" w:rsidRPr="00B66940" w:rsidTr="00B66940">
        <w:trPr>
          <w:tblHeader/>
        </w:trPr>
        <w:tc>
          <w:tcPr>
            <w:tcW w:w="0" w:type="auto"/>
            <w:tcBorders>
              <w:top w:val="double" w:sz="4" w:space="0" w:color="auto"/>
              <w:left w:val="nil"/>
              <w:bottom w:val="double" w:sz="4" w:space="0" w:color="auto"/>
              <w:right w:val="nil"/>
            </w:tcBorders>
            <w:tcMar>
              <w:top w:w="48" w:type="dxa"/>
              <w:left w:w="96" w:type="dxa"/>
              <w:bottom w:w="48" w:type="dxa"/>
              <w:right w:w="96" w:type="dxa"/>
            </w:tcMar>
            <w:vAlign w:val="center"/>
            <w:hideMark/>
          </w:tcPr>
          <w:p w:rsidR="00B66940" w:rsidRPr="00B66940" w:rsidRDefault="00B66940" w:rsidP="00B66940">
            <w:pPr>
              <w:spacing w:after="0" w:line="240" w:lineRule="auto"/>
              <w:rPr>
                <w:rFonts w:ascii="Times New Roman" w:eastAsia="Times New Roman" w:hAnsi="Times New Roman" w:cs="Times New Roman"/>
                <w:b/>
                <w:bCs/>
                <w:sz w:val="24"/>
                <w:szCs w:val="24"/>
                <w:lang w:eastAsia="it-IT"/>
              </w:rPr>
            </w:pPr>
            <w:proofErr w:type="spellStart"/>
            <w:r w:rsidRPr="00B66940">
              <w:rPr>
                <w:rFonts w:ascii="Times New Roman" w:eastAsia="Times New Roman" w:hAnsi="Times New Roman" w:cs="Times New Roman"/>
                <w:b/>
                <w:bCs/>
                <w:color w:val="000000" w:themeColor="text1"/>
                <w:sz w:val="21"/>
                <w:szCs w:val="21"/>
                <w:lang w:eastAsia="it-IT"/>
              </w:rPr>
              <w:t>Quality</w:t>
            </w:r>
            <w:proofErr w:type="spellEnd"/>
            <w:r w:rsidRPr="00B66940">
              <w:rPr>
                <w:rFonts w:ascii="Times New Roman" w:eastAsia="Times New Roman" w:hAnsi="Times New Roman" w:cs="Times New Roman"/>
                <w:b/>
                <w:bCs/>
                <w:sz w:val="24"/>
                <w:szCs w:val="24"/>
                <w:lang w:eastAsia="it-IT"/>
              </w:rPr>
              <w:t xml:space="preserve"> </w:t>
            </w:r>
            <w:proofErr w:type="spellStart"/>
            <w:r w:rsidRPr="00B66940">
              <w:rPr>
                <w:rFonts w:ascii="Times New Roman" w:eastAsia="Times New Roman" w:hAnsi="Times New Roman" w:cs="Times New Roman"/>
                <w:b/>
                <w:bCs/>
                <w:sz w:val="24"/>
                <w:szCs w:val="24"/>
                <w:lang w:eastAsia="it-IT"/>
              </w:rPr>
              <w:t>level</w:t>
            </w:r>
            <w:proofErr w:type="spellEnd"/>
          </w:p>
        </w:tc>
        <w:tc>
          <w:tcPr>
            <w:tcW w:w="0" w:type="auto"/>
            <w:tcBorders>
              <w:top w:val="double" w:sz="4" w:space="0" w:color="auto"/>
              <w:left w:val="nil"/>
              <w:bottom w:val="double" w:sz="4" w:space="0" w:color="auto"/>
              <w:right w:val="nil"/>
            </w:tcBorders>
            <w:tcMar>
              <w:top w:w="48" w:type="dxa"/>
              <w:left w:w="96" w:type="dxa"/>
              <w:bottom w:w="48" w:type="dxa"/>
              <w:right w:w="96" w:type="dxa"/>
            </w:tcMar>
            <w:vAlign w:val="center"/>
            <w:hideMark/>
          </w:tcPr>
          <w:p w:rsidR="00B66940" w:rsidRPr="00B66940" w:rsidRDefault="00B66940" w:rsidP="00B66940">
            <w:pPr>
              <w:spacing w:after="0" w:line="240" w:lineRule="auto"/>
              <w:rPr>
                <w:rFonts w:ascii="Times New Roman" w:eastAsia="Times New Roman" w:hAnsi="Times New Roman" w:cs="Times New Roman"/>
                <w:b/>
                <w:bCs/>
                <w:sz w:val="24"/>
                <w:szCs w:val="24"/>
                <w:lang w:eastAsia="it-IT"/>
              </w:rPr>
            </w:pPr>
            <w:r w:rsidRPr="00B66940">
              <w:rPr>
                <w:rFonts w:ascii="Times New Roman" w:eastAsia="Times New Roman" w:hAnsi="Times New Roman" w:cs="Times New Roman"/>
                <w:b/>
                <w:bCs/>
                <w:sz w:val="24"/>
                <w:szCs w:val="24"/>
                <w:lang w:eastAsia="it-IT"/>
              </w:rPr>
              <w:t>Definition</w:t>
            </w:r>
          </w:p>
        </w:tc>
      </w:tr>
      <w:tr w:rsidR="00B66940" w:rsidRPr="00B66940" w:rsidTr="00B66940">
        <w:tc>
          <w:tcPr>
            <w:tcW w:w="0" w:type="auto"/>
            <w:tcBorders>
              <w:top w:val="double" w:sz="4" w:space="0" w:color="auto"/>
              <w:left w:val="nil"/>
              <w:bottom w:val="single" w:sz="4" w:space="0" w:color="auto"/>
              <w:right w:val="nil"/>
            </w:tcBorders>
            <w:tcMar>
              <w:top w:w="48" w:type="dxa"/>
              <w:left w:w="96" w:type="dxa"/>
              <w:bottom w:w="48" w:type="dxa"/>
              <w:right w:w="96" w:type="dxa"/>
            </w:tcMar>
            <w:vAlign w:val="center"/>
            <w:hideMark/>
          </w:tcPr>
          <w:p w:rsidR="00B66940" w:rsidRPr="00B66940" w:rsidRDefault="00B66940" w:rsidP="00B66940">
            <w:pPr>
              <w:spacing w:after="0" w:line="240" w:lineRule="auto"/>
              <w:rPr>
                <w:rFonts w:ascii="Times New Roman" w:eastAsia="Times New Roman" w:hAnsi="Times New Roman" w:cs="Times New Roman"/>
                <w:sz w:val="24"/>
                <w:szCs w:val="24"/>
                <w:lang w:eastAsia="it-IT"/>
              </w:rPr>
            </w:pPr>
            <w:r w:rsidRPr="00B66940">
              <w:rPr>
                <w:rFonts w:ascii="Times New Roman" w:eastAsia="Times New Roman" w:hAnsi="Times New Roman" w:cs="Times New Roman"/>
                <w:sz w:val="24"/>
                <w:szCs w:val="24"/>
                <w:lang w:eastAsia="it-IT"/>
              </w:rPr>
              <w:t>High</w:t>
            </w:r>
          </w:p>
        </w:tc>
        <w:tc>
          <w:tcPr>
            <w:tcW w:w="0" w:type="auto"/>
            <w:tcBorders>
              <w:top w:val="double" w:sz="4" w:space="0" w:color="auto"/>
              <w:left w:val="nil"/>
              <w:bottom w:val="single" w:sz="4" w:space="0" w:color="auto"/>
              <w:right w:val="nil"/>
            </w:tcBorders>
            <w:tcMar>
              <w:top w:w="48" w:type="dxa"/>
              <w:left w:w="96" w:type="dxa"/>
              <w:bottom w:w="48" w:type="dxa"/>
              <w:right w:w="96" w:type="dxa"/>
            </w:tcMar>
            <w:vAlign w:val="center"/>
            <w:hideMark/>
          </w:tcPr>
          <w:p w:rsidR="00B66940" w:rsidRPr="00B66940" w:rsidRDefault="00B66940" w:rsidP="00B66940">
            <w:pPr>
              <w:spacing w:after="0" w:line="240" w:lineRule="auto"/>
              <w:rPr>
                <w:rFonts w:ascii="Times New Roman" w:eastAsia="Times New Roman" w:hAnsi="Times New Roman" w:cs="Times New Roman"/>
                <w:sz w:val="24"/>
                <w:szCs w:val="24"/>
                <w:lang w:val="en-GB" w:eastAsia="it-IT"/>
              </w:rPr>
            </w:pPr>
            <w:r w:rsidRPr="00B66940">
              <w:rPr>
                <w:rFonts w:ascii="Times New Roman" w:eastAsia="Times New Roman" w:hAnsi="Times New Roman" w:cs="Times New Roman"/>
                <w:sz w:val="24"/>
                <w:szCs w:val="24"/>
                <w:lang w:val="en-GB" w:eastAsia="it-IT"/>
              </w:rPr>
              <w:t>We are very confident that the true measurement property lies close to that of the estimate of the measurement property</w:t>
            </w:r>
          </w:p>
        </w:tc>
      </w:tr>
      <w:tr w:rsidR="00B66940" w:rsidRPr="00B66940" w:rsidTr="00B66940">
        <w:tc>
          <w:tcPr>
            <w:tcW w:w="0" w:type="auto"/>
            <w:tcBorders>
              <w:top w:val="single" w:sz="4" w:space="0" w:color="auto"/>
              <w:left w:val="nil"/>
              <w:bottom w:val="single" w:sz="4" w:space="0" w:color="auto"/>
              <w:right w:val="nil"/>
            </w:tcBorders>
            <w:tcMar>
              <w:top w:w="48" w:type="dxa"/>
              <w:left w:w="96" w:type="dxa"/>
              <w:bottom w:w="48" w:type="dxa"/>
              <w:right w:w="96" w:type="dxa"/>
            </w:tcMar>
            <w:vAlign w:val="center"/>
            <w:hideMark/>
          </w:tcPr>
          <w:p w:rsidR="00B66940" w:rsidRPr="00B66940" w:rsidRDefault="00B66940" w:rsidP="00B66940">
            <w:pPr>
              <w:spacing w:after="0" w:line="240" w:lineRule="auto"/>
              <w:rPr>
                <w:rFonts w:ascii="Times New Roman" w:eastAsia="Times New Roman" w:hAnsi="Times New Roman" w:cs="Times New Roman"/>
                <w:sz w:val="24"/>
                <w:szCs w:val="24"/>
                <w:lang w:eastAsia="it-IT"/>
              </w:rPr>
            </w:pPr>
            <w:r w:rsidRPr="00B66940">
              <w:rPr>
                <w:rFonts w:ascii="Times New Roman" w:eastAsia="Times New Roman" w:hAnsi="Times New Roman" w:cs="Times New Roman"/>
                <w:sz w:val="24"/>
                <w:szCs w:val="24"/>
                <w:lang w:eastAsia="it-IT"/>
              </w:rPr>
              <w:t>Moderate</w:t>
            </w:r>
          </w:p>
        </w:tc>
        <w:tc>
          <w:tcPr>
            <w:tcW w:w="0" w:type="auto"/>
            <w:tcBorders>
              <w:top w:val="single" w:sz="4" w:space="0" w:color="auto"/>
              <w:left w:val="nil"/>
              <w:bottom w:val="single" w:sz="4" w:space="0" w:color="auto"/>
              <w:right w:val="nil"/>
            </w:tcBorders>
            <w:tcMar>
              <w:top w:w="48" w:type="dxa"/>
              <w:left w:w="96" w:type="dxa"/>
              <w:bottom w:w="48" w:type="dxa"/>
              <w:right w:w="96" w:type="dxa"/>
            </w:tcMar>
            <w:vAlign w:val="center"/>
            <w:hideMark/>
          </w:tcPr>
          <w:p w:rsidR="00B66940" w:rsidRPr="00B66940" w:rsidRDefault="00B66940" w:rsidP="00B66940">
            <w:pPr>
              <w:spacing w:after="0" w:line="240" w:lineRule="auto"/>
              <w:rPr>
                <w:rFonts w:ascii="Times New Roman" w:eastAsia="Times New Roman" w:hAnsi="Times New Roman" w:cs="Times New Roman"/>
                <w:sz w:val="24"/>
                <w:szCs w:val="24"/>
                <w:lang w:val="en-GB" w:eastAsia="it-IT"/>
              </w:rPr>
            </w:pPr>
            <w:r w:rsidRPr="00B66940">
              <w:rPr>
                <w:rFonts w:ascii="Times New Roman" w:eastAsia="Times New Roman" w:hAnsi="Times New Roman" w:cs="Times New Roman"/>
                <w:sz w:val="24"/>
                <w:szCs w:val="24"/>
                <w:lang w:val="en-GB" w:eastAsia="it-IT"/>
              </w:rPr>
              <w:t>We are moderately confident in the measurement property estimate: the true measurement property is likely to be close to the estimate of the measurement property, but there is a possibility that it is substantially different</w:t>
            </w:r>
          </w:p>
        </w:tc>
      </w:tr>
      <w:tr w:rsidR="00B66940" w:rsidRPr="00B66940" w:rsidTr="00B66940">
        <w:tc>
          <w:tcPr>
            <w:tcW w:w="0" w:type="auto"/>
            <w:tcBorders>
              <w:top w:val="single" w:sz="4" w:space="0" w:color="auto"/>
              <w:left w:val="nil"/>
              <w:bottom w:val="single" w:sz="4" w:space="0" w:color="auto"/>
              <w:right w:val="nil"/>
            </w:tcBorders>
            <w:tcMar>
              <w:top w:w="48" w:type="dxa"/>
              <w:left w:w="96" w:type="dxa"/>
              <w:bottom w:w="48" w:type="dxa"/>
              <w:right w:w="96" w:type="dxa"/>
            </w:tcMar>
            <w:vAlign w:val="center"/>
            <w:hideMark/>
          </w:tcPr>
          <w:p w:rsidR="00B66940" w:rsidRPr="00B66940" w:rsidRDefault="00B66940" w:rsidP="00B66940">
            <w:pPr>
              <w:spacing w:after="0" w:line="240" w:lineRule="auto"/>
              <w:rPr>
                <w:rFonts w:ascii="Times New Roman" w:eastAsia="Times New Roman" w:hAnsi="Times New Roman" w:cs="Times New Roman"/>
                <w:sz w:val="24"/>
                <w:szCs w:val="24"/>
                <w:lang w:eastAsia="it-IT"/>
              </w:rPr>
            </w:pPr>
            <w:proofErr w:type="spellStart"/>
            <w:r w:rsidRPr="00B66940">
              <w:rPr>
                <w:rFonts w:ascii="Times New Roman" w:eastAsia="Times New Roman" w:hAnsi="Times New Roman" w:cs="Times New Roman"/>
                <w:sz w:val="24"/>
                <w:szCs w:val="24"/>
                <w:lang w:eastAsia="it-IT"/>
              </w:rPr>
              <w:t>Low</w:t>
            </w:r>
            <w:proofErr w:type="spellEnd"/>
          </w:p>
        </w:tc>
        <w:tc>
          <w:tcPr>
            <w:tcW w:w="0" w:type="auto"/>
            <w:tcBorders>
              <w:top w:val="single" w:sz="4" w:space="0" w:color="auto"/>
              <w:left w:val="nil"/>
              <w:bottom w:val="single" w:sz="4" w:space="0" w:color="auto"/>
              <w:right w:val="nil"/>
            </w:tcBorders>
            <w:tcMar>
              <w:top w:w="48" w:type="dxa"/>
              <w:left w:w="96" w:type="dxa"/>
              <w:bottom w:w="48" w:type="dxa"/>
              <w:right w:w="96" w:type="dxa"/>
            </w:tcMar>
            <w:vAlign w:val="center"/>
            <w:hideMark/>
          </w:tcPr>
          <w:p w:rsidR="00B66940" w:rsidRPr="00B66940" w:rsidRDefault="00B66940" w:rsidP="00B66940">
            <w:pPr>
              <w:spacing w:after="0" w:line="240" w:lineRule="auto"/>
              <w:rPr>
                <w:rFonts w:ascii="Times New Roman" w:eastAsia="Times New Roman" w:hAnsi="Times New Roman" w:cs="Times New Roman"/>
                <w:sz w:val="24"/>
                <w:szCs w:val="24"/>
                <w:lang w:val="en-GB" w:eastAsia="it-IT"/>
              </w:rPr>
            </w:pPr>
            <w:r w:rsidRPr="00B66940">
              <w:rPr>
                <w:rFonts w:ascii="Times New Roman" w:eastAsia="Times New Roman" w:hAnsi="Times New Roman" w:cs="Times New Roman"/>
                <w:sz w:val="24"/>
                <w:szCs w:val="24"/>
                <w:lang w:val="en-GB" w:eastAsia="it-IT"/>
              </w:rPr>
              <w:t>Our confidence in the measurement property estimate is limited: the true measurement property may be substantially different from the estimate of the measurement property</w:t>
            </w:r>
          </w:p>
        </w:tc>
      </w:tr>
      <w:tr w:rsidR="00B66940" w:rsidRPr="00B66940" w:rsidTr="00B66940">
        <w:tc>
          <w:tcPr>
            <w:tcW w:w="0" w:type="auto"/>
            <w:tcBorders>
              <w:top w:val="single" w:sz="4" w:space="0" w:color="auto"/>
              <w:left w:val="nil"/>
              <w:bottom w:val="double" w:sz="4" w:space="0" w:color="auto"/>
              <w:right w:val="nil"/>
            </w:tcBorders>
            <w:tcMar>
              <w:top w:w="48" w:type="dxa"/>
              <w:left w:w="96" w:type="dxa"/>
              <w:bottom w:w="48" w:type="dxa"/>
              <w:right w:w="96" w:type="dxa"/>
            </w:tcMar>
            <w:vAlign w:val="center"/>
            <w:hideMark/>
          </w:tcPr>
          <w:p w:rsidR="00B66940" w:rsidRPr="00B66940" w:rsidRDefault="00B66940" w:rsidP="00B66940">
            <w:pPr>
              <w:spacing w:after="0" w:line="240" w:lineRule="auto"/>
              <w:rPr>
                <w:rFonts w:ascii="Times New Roman" w:eastAsia="Times New Roman" w:hAnsi="Times New Roman" w:cs="Times New Roman"/>
                <w:sz w:val="24"/>
                <w:szCs w:val="24"/>
                <w:lang w:eastAsia="it-IT"/>
              </w:rPr>
            </w:pPr>
            <w:proofErr w:type="spellStart"/>
            <w:r w:rsidRPr="00B66940">
              <w:rPr>
                <w:rFonts w:ascii="Times New Roman" w:eastAsia="Times New Roman" w:hAnsi="Times New Roman" w:cs="Times New Roman"/>
                <w:sz w:val="24"/>
                <w:szCs w:val="24"/>
                <w:lang w:eastAsia="it-IT"/>
              </w:rPr>
              <w:t>Very</w:t>
            </w:r>
            <w:proofErr w:type="spellEnd"/>
            <w:r w:rsidRPr="00B66940">
              <w:rPr>
                <w:rFonts w:ascii="Times New Roman" w:eastAsia="Times New Roman" w:hAnsi="Times New Roman" w:cs="Times New Roman"/>
                <w:sz w:val="24"/>
                <w:szCs w:val="24"/>
                <w:lang w:eastAsia="it-IT"/>
              </w:rPr>
              <w:t xml:space="preserve"> </w:t>
            </w:r>
            <w:proofErr w:type="spellStart"/>
            <w:r w:rsidRPr="00B66940">
              <w:rPr>
                <w:rFonts w:ascii="Times New Roman" w:eastAsia="Times New Roman" w:hAnsi="Times New Roman" w:cs="Times New Roman"/>
                <w:sz w:val="24"/>
                <w:szCs w:val="24"/>
                <w:lang w:eastAsia="it-IT"/>
              </w:rPr>
              <w:t>low</w:t>
            </w:r>
            <w:proofErr w:type="spellEnd"/>
          </w:p>
        </w:tc>
        <w:tc>
          <w:tcPr>
            <w:tcW w:w="0" w:type="auto"/>
            <w:tcBorders>
              <w:top w:val="single" w:sz="4" w:space="0" w:color="auto"/>
              <w:left w:val="nil"/>
              <w:bottom w:val="double" w:sz="4" w:space="0" w:color="auto"/>
              <w:right w:val="nil"/>
            </w:tcBorders>
            <w:tcMar>
              <w:top w:w="48" w:type="dxa"/>
              <w:left w:w="96" w:type="dxa"/>
              <w:bottom w:w="48" w:type="dxa"/>
              <w:right w:w="96" w:type="dxa"/>
            </w:tcMar>
            <w:vAlign w:val="center"/>
            <w:hideMark/>
          </w:tcPr>
          <w:p w:rsidR="00B66940" w:rsidRPr="00B66940" w:rsidRDefault="00B66940" w:rsidP="00B66940">
            <w:pPr>
              <w:spacing w:after="0" w:line="240" w:lineRule="auto"/>
              <w:rPr>
                <w:rFonts w:ascii="Times New Roman" w:eastAsia="Times New Roman" w:hAnsi="Times New Roman" w:cs="Times New Roman"/>
                <w:sz w:val="24"/>
                <w:szCs w:val="24"/>
                <w:lang w:val="en-GB" w:eastAsia="it-IT"/>
              </w:rPr>
            </w:pPr>
            <w:r w:rsidRPr="00B66940">
              <w:rPr>
                <w:rFonts w:ascii="Times New Roman" w:eastAsia="Times New Roman" w:hAnsi="Times New Roman" w:cs="Times New Roman"/>
                <w:sz w:val="24"/>
                <w:szCs w:val="24"/>
                <w:lang w:val="en-GB" w:eastAsia="it-IT"/>
              </w:rPr>
              <w:t>We have very little confidence in the measurement property estimate: the true measurement property is likely to be substantially different from the estimate of the measurement property</w:t>
            </w:r>
          </w:p>
        </w:tc>
      </w:tr>
    </w:tbl>
    <w:p w:rsidR="00B66940" w:rsidRDefault="00B66940" w:rsidP="00B66940">
      <w:pPr>
        <w:spacing w:after="0" w:line="240" w:lineRule="auto"/>
        <w:rPr>
          <w:rFonts w:ascii="Cambria" w:eastAsia="Times New Roman" w:hAnsi="Cambria" w:cs="Times New Roman"/>
          <w:color w:val="333333"/>
          <w:sz w:val="24"/>
          <w:szCs w:val="24"/>
          <w:lang w:val="en-GB" w:eastAsia="it-IT"/>
        </w:rPr>
      </w:pPr>
    </w:p>
    <w:p w:rsidR="00B66940" w:rsidRPr="00B66940" w:rsidRDefault="00B66940" w:rsidP="00B66940">
      <w:pPr>
        <w:shd w:val="clear" w:color="auto" w:fill="FFFFFF"/>
        <w:spacing w:before="400" w:after="400" w:line="240" w:lineRule="auto"/>
        <w:rPr>
          <w:rFonts w:ascii="Cambria" w:eastAsia="Times New Roman" w:hAnsi="Cambria" w:cs="Times New Roman"/>
          <w:color w:val="000000" w:themeColor="text1"/>
          <w:sz w:val="24"/>
          <w:szCs w:val="24"/>
          <w:lang w:val="en-GB" w:eastAsia="it-IT"/>
        </w:rPr>
      </w:pPr>
      <w:r w:rsidRPr="00B66940">
        <w:rPr>
          <w:rFonts w:ascii="Cambria" w:eastAsia="Times New Roman" w:hAnsi="Cambria" w:cs="Times New Roman"/>
          <w:color w:val="000000" w:themeColor="text1"/>
          <w:sz w:val="24"/>
          <w:szCs w:val="24"/>
          <w:lang w:val="en-GB" w:eastAsia="it-IT"/>
        </w:rPr>
        <w:t>These definitions were a</w:t>
      </w:r>
      <w:r>
        <w:rPr>
          <w:rFonts w:ascii="Cambria" w:eastAsia="Times New Roman" w:hAnsi="Cambria" w:cs="Times New Roman"/>
          <w:color w:val="000000" w:themeColor="text1"/>
          <w:sz w:val="24"/>
          <w:szCs w:val="24"/>
          <w:lang w:val="en-GB" w:eastAsia="it-IT"/>
        </w:rPr>
        <w:t>dapted from the GRADE approach</w:t>
      </w:r>
      <w:r w:rsidRPr="00B66940">
        <w:rPr>
          <w:rFonts w:ascii="Cambria" w:eastAsia="Times New Roman" w:hAnsi="Cambria" w:cs="Times New Roman"/>
          <w:color w:val="000000" w:themeColor="text1"/>
          <w:sz w:val="24"/>
          <w:szCs w:val="24"/>
          <w:lang w:val="en-GB" w:eastAsia="it-IT"/>
        </w:rPr>
        <w:t>. Information on how to downgrade is described in de</w:t>
      </w:r>
      <w:r>
        <w:rPr>
          <w:rFonts w:ascii="Cambria" w:eastAsia="Times New Roman" w:hAnsi="Cambria" w:cs="Times New Roman"/>
          <w:color w:val="000000" w:themeColor="text1"/>
          <w:sz w:val="24"/>
          <w:szCs w:val="24"/>
          <w:lang w:val="en-GB" w:eastAsia="it-IT"/>
        </w:rPr>
        <w:t>tail in the COSMIN user manual.</w:t>
      </w:r>
    </w:p>
    <w:p w:rsidR="00B66940" w:rsidRPr="00B66940" w:rsidRDefault="00B66940" w:rsidP="00B66940">
      <w:pPr>
        <w:jc w:val="center"/>
        <w:rPr>
          <w:lang w:val="en-GB"/>
        </w:rPr>
      </w:pPr>
    </w:p>
    <w:p w:rsidR="00B66940" w:rsidRPr="00B66940" w:rsidRDefault="00B66940" w:rsidP="00B66940">
      <w:pPr>
        <w:shd w:val="clear" w:color="auto" w:fill="FFFFFF"/>
        <w:spacing w:line="240" w:lineRule="auto"/>
        <w:jc w:val="center"/>
        <w:rPr>
          <w:rFonts w:ascii="Cambria" w:eastAsia="Times New Roman" w:hAnsi="Cambria" w:cs="Times New Roman"/>
          <w:b/>
          <w:color w:val="000000" w:themeColor="text1"/>
          <w:sz w:val="24"/>
          <w:szCs w:val="24"/>
          <w:lang w:val="en-GB" w:eastAsia="it-IT"/>
        </w:rPr>
      </w:pPr>
      <w:r w:rsidRPr="00B66940">
        <w:rPr>
          <w:rFonts w:ascii="Cambria" w:eastAsia="Times New Roman" w:hAnsi="Cambria" w:cs="Times New Roman"/>
          <w:b/>
          <w:color w:val="000000" w:themeColor="text1"/>
          <w:sz w:val="24"/>
          <w:szCs w:val="24"/>
          <w:lang w:val="en-GB" w:eastAsia="it-IT"/>
        </w:rPr>
        <w:t>Modified GRADE approach for grading the quality of evidence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66"/>
        <w:gridCol w:w="2307"/>
      </w:tblGrid>
      <w:tr w:rsidR="00B66940" w:rsidRPr="00B66940" w:rsidTr="00B66940">
        <w:trPr>
          <w:tblHeader/>
        </w:trPr>
        <w:tc>
          <w:tcPr>
            <w:tcW w:w="0" w:type="auto"/>
            <w:tcBorders>
              <w:top w:val="double" w:sz="4" w:space="0" w:color="auto"/>
              <w:left w:val="nil"/>
              <w:bottom w:val="double" w:sz="4" w:space="0" w:color="auto"/>
              <w:right w:val="nil"/>
            </w:tcBorders>
            <w:tcMar>
              <w:top w:w="48" w:type="dxa"/>
              <w:left w:w="96" w:type="dxa"/>
              <w:bottom w:w="48" w:type="dxa"/>
              <w:right w:w="96" w:type="dxa"/>
            </w:tcMar>
            <w:hideMark/>
          </w:tcPr>
          <w:p w:rsidR="00B66940" w:rsidRPr="00B66940" w:rsidRDefault="00B66940" w:rsidP="00B66940">
            <w:pPr>
              <w:spacing w:after="0" w:line="240" w:lineRule="auto"/>
              <w:rPr>
                <w:rFonts w:ascii="Times New Roman" w:eastAsia="Times New Roman" w:hAnsi="Times New Roman" w:cs="Times New Roman"/>
                <w:b/>
                <w:bCs/>
                <w:color w:val="000000" w:themeColor="text1"/>
                <w:sz w:val="24"/>
                <w:szCs w:val="24"/>
                <w:lang w:eastAsia="it-IT"/>
              </w:rPr>
            </w:pPr>
            <w:proofErr w:type="spellStart"/>
            <w:r w:rsidRPr="00B66940">
              <w:rPr>
                <w:rFonts w:ascii="Times New Roman" w:eastAsia="Times New Roman" w:hAnsi="Times New Roman" w:cs="Times New Roman"/>
                <w:b/>
                <w:bCs/>
                <w:color w:val="000000" w:themeColor="text1"/>
                <w:sz w:val="24"/>
                <w:szCs w:val="24"/>
                <w:lang w:eastAsia="it-IT"/>
              </w:rPr>
              <w:t>Quality</w:t>
            </w:r>
            <w:proofErr w:type="spellEnd"/>
            <w:r w:rsidRPr="00B66940">
              <w:rPr>
                <w:rFonts w:ascii="Times New Roman" w:eastAsia="Times New Roman" w:hAnsi="Times New Roman" w:cs="Times New Roman"/>
                <w:b/>
                <w:bCs/>
                <w:color w:val="000000" w:themeColor="text1"/>
                <w:sz w:val="24"/>
                <w:szCs w:val="24"/>
                <w:lang w:eastAsia="it-IT"/>
              </w:rPr>
              <w:t xml:space="preserve"> of </w:t>
            </w:r>
            <w:proofErr w:type="spellStart"/>
            <w:r w:rsidRPr="00B66940">
              <w:rPr>
                <w:rFonts w:ascii="Times New Roman" w:eastAsia="Times New Roman" w:hAnsi="Times New Roman" w:cs="Times New Roman"/>
                <w:b/>
                <w:bCs/>
                <w:color w:val="000000" w:themeColor="text1"/>
                <w:sz w:val="24"/>
                <w:szCs w:val="24"/>
                <w:lang w:eastAsia="it-IT"/>
              </w:rPr>
              <w:t>evidence</w:t>
            </w:r>
            <w:proofErr w:type="spellEnd"/>
          </w:p>
        </w:tc>
        <w:tc>
          <w:tcPr>
            <w:tcW w:w="0" w:type="auto"/>
            <w:tcBorders>
              <w:top w:val="double" w:sz="4" w:space="0" w:color="auto"/>
              <w:left w:val="nil"/>
              <w:bottom w:val="double" w:sz="4" w:space="0" w:color="auto"/>
              <w:right w:val="nil"/>
            </w:tcBorders>
            <w:tcMar>
              <w:top w:w="48" w:type="dxa"/>
              <w:left w:w="96" w:type="dxa"/>
              <w:bottom w:w="48" w:type="dxa"/>
              <w:right w:w="96" w:type="dxa"/>
            </w:tcMar>
            <w:hideMark/>
          </w:tcPr>
          <w:p w:rsidR="00B66940" w:rsidRPr="00B66940" w:rsidRDefault="00B66940" w:rsidP="00B66940">
            <w:pPr>
              <w:spacing w:after="0" w:line="240" w:lineRule="auto"/>
              <w:rPr>
                <w:rFonts w:ascii="Times New Roman" w:eastAsia="Times New Roman" w:hAnsi="Times New Roman" w:cs="Times New Roman"/>
                <w:b/>
                <w:bCs/>
                <w:color w:val="000000" w:themeColor="text1"/>
                <w:sz w:val="24"/>
                <w:szCs w:val="24"/>
                <w:lang w:eastAsia="it-IT"/>
              </w:rPr>
            </w:pPr>
            <w:r w:rsidRPr="00B66940">
              <w:rPr>
                <w:rFonts w:ascii="Times New Roman" w:eastAsia="Times New Roman" w:hAnsi="Times New Roman" w:cs="Times New Roman"/>
                <w:b/>
                <w:bCs/>
                <w:color w:val="000000" w:themeColor="text1"/>
                <w:sz w:val="24"/>
                <w:szCs w:val="24"/>
                <w:lang w:eastAsia="it-IT"/>
              </w:rPr>
              <w:t xml:space="preserve">Lower </w:t>
            </w:r>
            <w:proofErr w:type="spellStart"/>
            <w:r w:rsidRPr="00B66940">
              <w:rPr>
                <w:rFonts w:ascii="Times New Roman" w:eastAsia="Times New Roman" w:hAnsi="Times New Roman" w:cs="Times New Roman"/>
                <w:b/>
                <w:bCs/>
                <w:color w:val="000000" w:themeColor="text1"/>
                <w:sz w:val="24"/>
                <w:szCs w:val="24"/>
                <w:lang w:eastAsia="it-IT"/>
              </w:rPr>
              <w:t>if</w:t>
            </w:r>
            <w:proofErr w:type="spellEnd"/>
          </w:p>
        </w:tc>
      </w:tr>
      <w:tr w:rsidR="00B66940" w:rsidRPr="00B66940" w:rsidTr="00B66940">
        <w:trPr>
          <w:trHeight w:val="705"/>
        </w:trPr>
        <w:tc>
          <w:tcPr>
            <w:tcW w:w="0" w:type="auto"/>
            <w:tcBorders>
              <w:top w:val="double" w:sz="4" w:space="0" w:color="auto"/>
              <w:left w:val="nil"/>
              <w:bottom w:val="nil"/>
              <w:right w:val="nil"/>
            </w:tcBorders>
            <w:tcMar>
              <w:top w:w="48" w:type="dxa"/>
              <w:left w:w="96" w:type="dxa"/>
              <w:bottom w:w="48" w:type="dxa"/>
              <w:right w:w="96" w:type="dxa"/>
            </w:tcMar>
            <w:hideMark/>
          </w:tcPr>
          <w:p w:rsidR="00B66940" w:rsidRPr="00B66940" w:rsidRDefault="00B66940" w:rsidP="00B66940">
            <w:pPr>
              <w:spacing w:after="0" w:line="240" w:lineRule="auto"/>
              <w:rPr>
                <w:rFonts w:ascii="Times New Roman" w:eastAsia="Times New Roman" w:hAnsi="Times New Roman" w:cs="Times New Roman"/>
                <w:color w:val="000000" w:themeColor="text1"/>
                <w:sz w:val="24"/>
                <w:szCs w:val="24"/>
                <w:lang w:eastAsia="it-IT"/>
              </w:rPr>
            </w:pPr>
            <w:r w:rsidRPr="00B66940">
              <w:rPr>
                <w:rFonts w:ascii="Times New Roman" w:eastAsia="Times New Roman" w:hAnsi="Times New Roman" w:cs="Times New Roman"/>
                <w:color w:val="000000" w:themeColor="text1"/>
                <w:sz w:val="24"/>
                <w:szCs w:val="24"/>
                <w:lang w:eastAsia="it-IT"/>
              </w:rPr>
              <w:t>High</w:t>
            </w:r>
          </w:p>
        </w:tc>
        <w:tc>
          <w:tcPr>
            <w:tcW w:w="0" w:type="auto"/>
            <w:vMerge w:val="restart"/>
            <w:tcBorders>
              <w:top w:val="double" w:sz="4" w:space="0" w:color="auto"/>
              <w:left w:val="nil"/>
              <w:right w:val="nil"/>
            </w:tcBorders>
            <w:tcMar>
              <w:top w:w="48" w:type="dxa"/>
              <w:left w:w="96" w:type="dxa"/>
              <w:bottom w:w="48" w:type="dxa"/>
              <w:right w:w="96" w:type="dxa"/>
            </w:tcMar>
            <w:hideMark/>
          </w:tcPr>
          <w:p w:rsidR="00B66940" w:rsidRPr="00B66940" w:rsidRDefault="00B66940" w:rsidP="00B66940">
            <w:pPr>
              <w:spacing w:after="0" w:line="240" w:lineRule="auto"/>
              <w:rPr>
                <w:rFonts w:ascii="Times New Roman" w:eastAsia="Times New Roman" w:hAnsi="Times New Roman" w:cs="Times New Roman"/>
                <w:color w:val="000000" w:themeColor="text1"/>
                <w:sz w:val="24"/>
                <w:szCs w:val="24"/>
                <w:lang w:val="en-GB" w:eastAsia="it-IT"/>
              </w:rPr>
            </w:pPr>
            <w:r w:rsidRPr="00B66940">
              <w:rPr>
                <w:rFonts w:ascii="Times New Roman" w:eastAsia="Times New Roman" w:hAnsi="Times New Roman" w:cs="Times New Roman"/>
                <w:color w:val="000000" w:themeColor="text1"/>
                <w:sz w:val="24"/>
                <w:szCs w:val="24"/>
                <w:lang w:val="en-GB" w:eastAsia="it-IT"/>
              </w:rPr>
              <w:t>Risk of bias</w:t>
            </w:r>
            <w:r w:rsidRPr="00B66940">
              <w:rPr>
                <w:rFonts w:ascii="Times New Roman" w:eastAsia="Times New Roman" w:hAnsi="Times New Roman" w:cs="Times New Roman"/>
                <w:color w:val="000000" w:themeColor="text1"/>
                <w:sz w:val="24"/>
                <w:szCs w:val="24"/>
                <w:lang w:val="en-GB" w:eastAsia="it-IT"/>
              </w:rPr>
              <w:br/>
              <w:t> −1 Serious</w:t>
            </w:r>
            <w:r w:rsidRPr="00B66940">
              <w:rPr>
                <w:rFonts w:ascii="Times New Roman" w:eastAsia="Times New Roman" w:hAnsi="Times New Roman" w:cs="Times New Roman"/>
                <w:color w:val="000000" w:themeColor="text1"/>
                <w:sz w:val="24"/>
                <w:szCs w:val="24"/>
                <w:lang w:val="en-GB" w:eastAsia="it-IT"/>
              </w:rPr>
              <w:br/>
              <w:t> −2 Very serious</w:t>
            </w:r>
            <w:r w:rsidRPr="00B66940">
              <w:rPr>
                <w:rFonts w:ascii="Times New Roman" w:eastAsia="Times New Roman" w:hAnsi="Times New Roman" w:cs="Times New Roman"/>
                <w:color w:val="000000" w:themeColor="text1"/>
                <w:sz w:val="24"/>
                <w:szCs w:val="24"/>
                <w:lang w:val="en-GB" w:eastAsia="it-IT"/>
              </w:rPr>
              <w:br/>
              <w:t> −3 Extremely serious</w:t>
            </w:r>
            <w:r w:rsidRPr="00B66940">
              <w:rPr>
                <w:rFonts w:ascii="Times New Roman" w:eastAsia="Times New Roman" w:hAnsi="Times New Roman" w:cs="Times New Roman"/>
                <w:color w:val="000000" w:themeColor="text1"/>
                <w:sz w:val="24"/>
                <w:szCs w:val="24"/>
                <w:lang w:val="en-GB" w:eastAsia="it-IT"/>
              </w:rPr>
              <w:br/>
              <w:t>Inconsistency</w:t>
            </w:r>
            <w:r w:rsidRPr="00B66940">
              <w:rPr>
                <w:rFonts w:ascii="Times New Roman" w:eastAsia="Times New Roman" w:hAnsi="Times New Roman" w:cs="Times New Roman"/>
                <w:color w:val="000000" w:themeColor="text1"/>
                <w:sz w:val="24"/>
                <w:szCs w:val="24"/>
                <w:lang w:val="en-GB" w:eastAsia="it-IT"/>
              </w:rPr>
              <w:br/>
              <w:t> −1 Serious</w:t>
            </w:r>
            <w:r w:rsidRPr="00B66940">
              <w:rPr>
                <w:rFonts w:ascii="Times New Roman" w:eastAsia="Times New Roman" w:hAnsi="Times New Roman" w:cs="Times New Roman"/>
                <w:color w:val="000000" w:themeColor="text1"/>
                <w:sz w:val="24"/>
                <w:szCs w:val="24"/>
                <w:lang w:val="en-GB" w:eastAsia="it-IT"/>
              </w:rPr>
              <w:br/>
              <w:t> −2 Very serious</w:t>
            </w:r>
            <w:r w:rsidRPr="00B66940">
              <w:rPr>
                <w:rFonts w:ascii="Times New Roman" w:eastAsia="Times New Roman" w:hAnsi="Times New Roman" w:cs="Times New Roman"/>
                <w:color w:val="000000" w:themeColor="text1"/>
                <w:sz w:val="24"/>
                <w:szCs w:val="24"/>
                <w:lang w:val="en-GB" w:eastAsia="it-IT"/>
              </w:rPr>
              <w:br/>
              <w:t>Imprecision</w:t>
            </w:r>
            <w:r w:rsidRPr="00B66940">
              <w:rPr>
                <w:rFonts w:ascii="Times New Roman" w:eastAsia="Times New Roman" w:hAnsi="Times New Roman" w:cs="Times New Roman"/>
                <w:color w:val="000000" w:themeColor="text1"/>
                <w:sz w:val="24"/>
                <w:szCs w:val="24"/>
                <w:lang w:val="en-GB" w:eastAsia="it-IT"/>
              </w:rPr>
              <w:br/>
              <w:t> −1 total </w:t>
            </w:r>
            <w:r w:rsidRPr="00B66940">
              <w:rPr>
                <w:rFonts w:ascii="Times New Roman" w:eastAsia="Times New Roman" w:hAnsi="Times New Roman" w:cs="Times New Roman"/>
                <w:i/>
                <w:iCs/>
                <w:color w:val="000000" w:themeColor="text1"/>
                <w:sz w:val="24"/>
                <w:szCs w:val="24"/>
                <w:lang w:val="en-GB" w:eastAsia="it-IT"/>
              </w:rPr>
              <w:t>n</w:t>
            </w:r>
            <w:r w:rsidRPr="00B66940">
              <w:rPr>
                <w:rFonts w:ascii="Times New Roman" w:eastAsia="Times New Roman" w:hAnsi="Times New Roman" w:cs="Times New Roman"/>
                <w:color w:val="000000" w:themeColor="text1"/>
                <w:sz w:val="24"/>
                <w:szCs w:val="24"/>
                <w:lang w:val="en-GB" w:eastAsia="it-IT"/>
              </w:rPr>
              <w:t> = 50–100</w:t>
            </w:r>
            <w:r w:rsidRPr="00B66940">
              <w:rPr>
                <w:rFonts w:ascii="Times New Roman" w:eastAsia="Times New Roman" w:hAnsi="Times New Roman" w:cs="Times New Roman"/>
                <w:color w:val="000000" w:themeColor="text1"/>
                <w:sz w:val="24"/>
                <w:szCs w:val="24"/>
                <w:lang w:val="en-GB" w:eastAsia="it-IT"/>
              </w:rPr>
              <w:br/>
              <w:t> −2 total </w:t>
            </w:r>
            <w:r w:rsidRPr="00B66940">
              <w:rPr>
                <w:rFonts w:ascii="Times New Roman" w:eastAsia="Times New Roman" w:hAnsi="Times New Roman" w:cs="Times New Roman"/>
                <w:i/>
                <w:iCs/>
                <w:color w:val="000000" w:themeColor="text1"/>
                <w:sz w:val="24"/>
                <w:szCs w:val="24"/>
                <w:lang w:val="en-GB" w:eastAsia="it-IT"/>
              </w:rPr>
              <w:t>n</w:t>
            </w:r>
            <w:r w:rsidRPr="00B66940">
              <w:rPr>
                <w:rFonts w:ascii="Times New Roman" w:eastAsia="Times New Roman" w:hAnsi="Times New Roman" w:cs="Times New Roman"/>
                <w:color w:val="000000" w:themeColor="text1"/>
                <w:sz w:val="24"/>
                <w:szCs w:val="24"/>
                <w:lang w:val="en-GB" w:eastAsia="it-IT"/>
              </w:rPr>
              <w:t> &lt; 50</w:t>
            </w:r>
            <w:r w:rsidRPr="00B66940">
              <w:rPr>
                <w:rFonts w:ascii="Times New Roman" w:eastAsia="Times New Roman" w:hAnsi="Times New Roman" w:cs="Times New Roman"/>
                <w:color w:val="000000" w:themeColor="text1"/>
                <w:sz w:val="24"/>
                <w:szCs w:val="24"/>
                <w:lang w:val="en-GB" w:eastAsia="it-IT"/>
              </w:rPr>
              <w:br/>
              <w:t>Indirectness</w:t>
            </w:r>
            <w:r w:rsidRPr="00B66940">
              <w:rPr>
                <w:rFonts w:ascii="Times New Roman" w:eastAsia="Times New Roman" w:hAnsi="Times New Roman" w:cs="Times New Roman"/>
                <w:color w:val="000000" w:themeColor="text1"/>
                <w:sz w:val="24"/>
                <w:szCs w:val="24"/>
                <w:lang w:val="en-GB" w:eastAsia="it-IT"/>
              </w:rPr>
              <w:br/>
              <w:t> −1 Serious</w:t>
            </w:r>
            <w:r w:rsidRPr="00B66940">
              <w:rPr>
                <w:rFonts w:ascii="Times New Roman" w:eastAsia="Times New Roman" w:hAnsi="Times New Roman" w:cs="Times New Roman"/>
                <w:color w:val="000000" w:themeColor="text1"/>
                <w:sz w:val="24"/>
                <w:szCs w:val="24"/>
                <w:lang w:val="en-GB" w:eastAsia="it-IT"/>
              </w:rPr>
              <w:br/>
              <w:t> −2 Very serious</w:t>
            </w:r>
          </w:p>
        </w:tc>
      </w:tr>
      <w:tr w:rsidR="00B66940" w:rsidRPr="00B66940" w:rsidTr="00B66940">
        <w:trPr>
          <w:trHeight w:val="705"/>
        </w:trPr>
        <w:tc>
          <w:tcPr>
            <w:tcW w:w="0" w:type="auto"/>
            <w:tcBorders>
              <w:top w:val="nil"/>
              <w:left w:val="nil"/>
              <w:bottom w:val="nil"/>
              <w:right w:val="nil"/>
            </w:tcBorders>
            <w:tcMar>
              <w:top w:w="48" w:type="dxa"/>
              <w:left w:w="96" w:type="dxa"/>
              <w:bottom w:w="48" w:type="dxa"/>
              <w:right w:w="96" w:type="dxa"/>
            </w:tcMar>
            <w:vAlign w:val="center"/>
            <w:hideMark/>
          </w:tcPr>
          <w:p w:rsidR="00B66940" w:rsidRPr="00B66940" w:rsidRDefault="00B66940" w:rsidP="00B66940">
            <w:pPr>
              <w:spacing w:after="0" w:line="240" w:lineRule="auto"/>
              <w:rPr>
                <w:rFonts w:ascii="Times New Roman" w:eastAsia="Times New Roman" w:hAnsi="Times New Roman" w:cs="Times New Roman"/>
                <w:color w:val="000000" w:themeColor="text1"/>
                <w:sz w:val="24"/>
                <w:szCs w:val="24"/>
                <w:lang w:eastAsia="it-IT"/>
              </w:rPr>
            </w:pPr>
            <w:r w:rsidRPr="00B66940">
              <w:rPr>
                <w:rFonts w:ascii="Times New Roman" w:eastAsia="Times New Roman" w:hAnsi="Times New Roman" w:cs="Times New Roman"/>
                <w:color w:val="000000" w:themeColor="text1"/>
                <w:sz w:val="24"/>
                <w:szCs w:val="24"/>
                <w:lang w:eastAsia="it-IT"/>
              </w:rPr>
              <w:t>Moderate</w:t>
            </w:r>
          </w:p>
        </w:tc>
        <w:tc>
          <w:tcPr>
            <w:tcW w:w="0" w:type="auto"/>
            <w:vMerge/>
            <w:tcBorders>
              <w:left w:val="nil"/>
              <w:right w:val="nil"/>
            </w:tcBorders>
            <w:vAlign w:val="center"/>
            <w:hideMark/>
          </w:tcPr>
          <w:p w:rsidR="00B66940" w:rsidRPr="00B66940" w:rsidRDefault="00B66940" w:rsidP="00B66940">
            <w:pPr>
              <w:spacing w:after="0" w:line="240" w:lineRule="auto"/>
              <w:rPr>
                <w:rFonts w:ascii="Times New Roman" w:eastAsia="Times New Roman" w:hAnsi="Times New Roman" w:cs="Times New Roman"/>
                <w:color w:val="000000" w:themeColor="text1"/>
                <w:sz w:val="21"/>
                <w:szCs w:val="21"/>
                <w:lang w:eastAsia="it-IT"/>
              </w:rPr>
            </w:pPr>
          </w:p>
        </w:tc>
      </w:tr>
      <w:tr w:rsidR="00B66940" w:rsidRPr="00B66940" w:rsidTr="00B66940">
        <w:trPr>
          <w:trHeight w:val="705"/>
        </w:trPr>
        <w:tc>
          <w:tcPr>
            <w:tcW w:w="0" w:type="auto"/>
            <w:tcBorders>
              <w:top w:val="nil"/>
              <w:left w:val="nil"/>
              <w:bottom w:val="nil"/>
              <w:right w:val="nil"/>
            </w:tcBorders>
            <w:tcMar>
              <w:top w:w="48" w:type="dxa"/>
              <w:left w:w="96" w:type="dxa"/>
              <w:bottom w:w="48" w:type="dxa"/>
              <w:right w:w="96" w:type="dxa"/>
            </w:tcMar>
            <w:vAlign w:val="center"/>
            <w:hideMark/>
          </w:tcPr>
          <w:p w:rsidR="00B66940" w:rsidRPr="00B66940" w:rsidRDefault="00B66940" w:rsidP="00B66940">
            <w:pPr>
              <w:spacing w:after="0" w:line="240" w:lineRule="auto"/>
              <w:rPr>
                <w:rFonts w:ascii="Times New Roman" w:eastAsia="Times New Roman" w:hAnsi="Times New Roman" w:cs="Times New Roman"/>
                <w:color w:val="000000" w:themeColor="text1"/>
                <w:sz w:val="24"/>
                <w:szCs w:val="24"/>
                <w:lang w:eastAsia="it-IT"/>
              </w:rPr>
            </w:pPr>
            <w:proofErr w:type="spellStart"/>
            <w:r w:rsidRPr="00B66940">
              <w:rPr>
                <w:rFonts w:ascii="Times New Roman" w:eastAsia="Times New Roman" w:hAnsi="Times New Roman" w:cs="Times New Roman"/>
                <w:color w:val="000000" w:themeColor="text1"/>
                <w:sz w:val="24"/>
                <w:szCs w:val="24"/>
                <w:lang w:eastAsia="it-IT"/>
              </w:rPr>
              <w:t>Low</w:t>
            </w:r>
            <w:proofErr w:type="spellEnd"/>
          </w:p>
        </w:tc>
        <w:tc>
          <w:tcPr>
            <w:tcW w:w="0" w:type="auto"/>
            <w:vMerge/>
            <w:tcBorders>
              <w:left w:val="nil"/>
              <w:right w:val="nil"/>
            </w:tcBorders>
            <w:vAlign w:val="center"/>
            <w:hideMark/>
          </w:tcPr>
          <w:p w:rsidR="00B66940" w:rsidRPr="00B66940" w:rsidRDefault="00B66940" w:rsidP="00B66940">
            <w:pPr>
              <w:spacing w:after="0" w:line="240" w:lineRule="auto"/>
              <w:rPr>
                <w:rFonts w:ascii="Times New Roman" w:eastAsia="Times New Roman" w:hAnsi="Times New Roman" w:cs="Times New Roman"/>
                <w:color w:val="000000" w:themeColor="text1"/>
                <w:sz w:val="21"/>
                <w:szCs w:val="21"/>
                <w:lang w:eastAsia="it-IT"/>
              </w:rPr>
            </w:pPr>
          </w:p>
        </w:tc>
      </w:tr>
      <w:tr w:rsidR="00B66940" w:rsidRPr="00B66940" w:rsidTr="00B66940">
        <w:trPr>
          <w:trHeight w:val="706"/>
        </w:trPr>
        <w:tc>
          <w:tcPr>
            <w:tcW w:w="0" w:type="auto"/>
            <w:tcBorders>
              <w:top w:val="nil"/>
              <w:left w:val="nil"/>
              <w:right w:val="nil"/>
            </w:tcBorders>
            <w:tcMar>
              <w:top w:w="48" w:type="dxa"/>
              <w:left w:w="96" w:type="dxa"/>
              <w:bottom w:w="48" w:type="dxa"/>
              <w:right w:w="96" w:type="dxa"/>
            </w:tcMar>
            <w:hideMark/>
          </w:tcPr>
          <w:p w:rsidR="00B66940" w:rsidRPr="00B66940" w:rsidRDefault="00B66940" w:rsidP="00B66940">
            <w:pPr>
              <w:spacing w:after="0" w:line="240" w:lineRule="auto"/>
              <w:rPr>
                <w:rFonts w:ascii="Times New Roman" w:eastAsia="Times New Roman" w:hAnsi="Times New Roman" w:cs="Times New Roman"/>
                <w:color w:val="000000" w:themeColor="text1"/>
                <w:sz w:val="24"/>
                <w:szCs w:val="24"/>
                <w:lang w:eastAsia="it-IT"/>
              </w:rPr>
            </w:pPr>
            <w:proofErr w:type="spellStart"/>
            <w:r w:rsidRPr="00B66940">
              <w:rPr>
                <w:rFonts w:ascii="Times New Roman" w:eastAsia="Times New Roman" w:hAnsi="Times New Roman" w:cs="Times New Roman"/>
                <w:color w:val="000000" w:themeColor="text1"/>
                <w:sz w:val="24"/>
                <w:szCs w:val="24"/>
                <w:lang w:eastAsia="it-IT"/>
              </w:rPr>
              <w:t>Very</w:t>
            </w:r>
            <w:proofErr w:type="spellEnd"/>
            <w:r w:rsidRPr="00B66940">
              <w:rPr>
                <w:rFonts w:ascii="Times New Roman" w:eastAsia="Times New Roman" w:hAnsi="Times New Roman" w:cs="Times New Roman"/>
                <w:color w:val="000000" w:themeColor="text1"/>
                <w:sz w:val="24"/>
                <w:szCs w:val="24"/>
                <w:lang w:eastAsia="it-IT"/>
              </w:rPr>
              <w:t xml:space="preserve"> </w:t>
            </w:r>
            <w:proofErr w:type="spellStart"/>
            <w:r w:rsidRPr="00B66940">
              <w:rPr>
                <w:rFonts w:ascii="Times New Roman" w:eastAsia="Times New Roman" w:hAnsi="Times New Roman" w:cs="Times New Roman"/>
                <w:color w:val="000000" w:themeColor="text1"/>
                <w:sz w:val="24"/>
                <w:szCs w:val="24"/>
                <w:lang w:eastAsia="it-IT"/>
              </w:rPr>
              <w:t>low</w:t>
            </w:r>
            <w:proofErr w:type="spellEnd"/>
          </w:p>
        </w:tc>
        <w:tc>
          <w:tcPr>
            <w:tcW w:w="0" w:type="auto"/>
            <w:vMerge/>
            <w:tcBorders>
              <w:left w:val="nil"/>
              <w:right w:val="nil"/>
            </w:tcBorders>
            <w:vAlign w:val="center"/>
            <w:hideMark/>
          </w:tcPr>
          <w:p w:rsidR="00B66940" w:rsidRPr="00B66940" w:rsidRDefault="00B66940" w:rsidP="00B66940">
            <w:pPr>
              <w:spacing w:after="0" w:line="240" w:lineRule="auto"/>
              <w:rPr>
                <w:rFonts w:ascii="Times New Roman" w:eastAsia="Times New Roman" w:hAnsi="Times New Roman" w:cs="Times New Roman"/>
                <w:color w:val="000000" w:themeColor="text1"/>
                <w:sz w:val="21"/>
                <w:szCs w:val="21"/>
                <w:lang w:eastAsia="it-IT"/>
              </w:rPr>
            </w:pPr>
          </w:p>
        </w:tc>
      </w:tr>
    </w:tbl>
    <w:p w:rsidR="00B66940" w:rsidRPr="00B66940" w:rsidRDefault="00B66940" w:rsidP="00B66940">
      <w:pPr>
        <w:shd w:val="clear" w:color="auto" w:fill="FFFFFF"/>
        <w:spacing w:before="400" w:after="400" w:line="240" w:lineRule="auto"/>
        <w:rPr>
          <w:rFonts w:ascii="Cambria" w:eastAsia="Times New Roman" w:hAnsi="Cambria" w:cs="Times New Roman"/>
          <w:color w:val="000000" w:themeColor="text1"/>
          <w:sz w:val="24"/>
          <w:szCs w:val="24"/>
          <w:lang w:val="en-GB" w:eastAsia="it-IT"/>
        </w:rPr>
      </w:pPr>
      <w:r w:rsidRPr="00B66940">
        <w:rPr>
          <w:rFonts w:ascii="Cambria" w:eastAsia="Times New Roman" w:hAnsi="Cambria" w:cs="Times New Roman"/>
          <w:color w:val="000000" w:themeColor="text1"/>
          <w:sz w:val="24"/>
          <w:szCs w:val="24"/>
          <w:lang w:val="en-GB" w:eastAsia="it-IT"/>
        </w:rPr>
        <w:t>The starting point is the assumption that the evidence is of high quality. The quality of evidence is subsequently downgraded with one or two levels for each factor (i.e., risk of bias, inconsistency, imprecision, indirectness) to moderate, low, or very low when there is risk of bias (low study quality), (unexplained) inconsistency i</w:t>
      </w:r>
      <w:r>
        <w:rPr>
          <w:rFonts w:ascii="Cambria" w:eastAsia="Times New Roman" w:hAnsi="Cambria" w:cs="Times New Roman"/>
          <w:color w:val="000000" w:themeColor="text1"/>
          <w:sz w:val="24"/>
          <w:szCs w:val="24"/>
          <w:lang w:val="en-GB" w:eastAsia="it-IT"/>
        </w:rPr>
        <w:t>n results, or indirect results.</w:t>
      </w:r>
      <w:r w:rsidRPr="00B66940">
        <w:rPr>
          <w:rFonts w:ascii="Cambria" w:eastAsia="Times New Roman" w:hAnsi="Cambria" w:cs="Times New Roman"/>
          <w:color w:val="000000" w:themeColor="text1"/>
          <w:sz w:val="24"/>
          <w:szCs w:val="24"/>
          <w:lang w:val="en-GB" w:eastAsia="it-IT"/>
        </w:rPr>
        <w:t xml:space="preserve"> Information on how to downgrade is described in de</w:t>
      </w:r>
      <w:r>
        <w:rPr>
          <w:rFonts w:ascii="Cambria" w:eastAsia="Times New Roman" w:hAnsi="Cambria" w:cs="Times New Roman"/>
          <w:color w:val="000000" w:themeColor="text1"/>
          <w:sz w:val="24"/>
          <w:szCs w:val="24"/>
          <w:lang w:val="en-GB" w:eastAsia="it-IT"/>
        </w:rPr>
        <w:t>tail in the COSMIN user manual.</w:t>
      </w:r>
    </w:p>
    <w:p w:rsidR="00B66940" w:rsidRDefault="00B66940" w:rsidP="007D21FE">
      <w:pPr>
        <w:shd w:val="clear" w:color="auto" w:fill="FFFFFF"/>
        <w:spacing w:before="400" w:after="400" w:line="240" w:lineRule="auto"/>
      </w:pPr>
      <w:r w:rsidRPr="00B66940">
        <w:rPr>
          <w:rFonts w:ascii="Cambria" w:eastAsia="Times New Roman" w:hAnsi="Cambria" w:cs="Times New Roman"/>
          <w:i/>
          <w:iCs/>
          <w:color w:val="000000" w:themeColor="text1"/>
          <w:sz w:val="24"/>
          <w:szCs w:val="24"/>
          <w:lang w:eastAsia="it-IT"/>
        </w:rPr>
        <w:t>n</w:t>
      </w:r>
      <w:r w:rsidRPr="00B66940">
        <w:rPr>
          <w:rFonts w:ascii="Cambria" w:eastAsia="Times New Roman" w:hAnsi="Cambria" w:cs="Times New Roman"/>
          <w:color w:val="000000" w:themeColor="text1"/>
          <w:sz w:val="24"/>
          <w:szCs w:val="24"/>
          <w:lang w:eastAsia="it-IT"/>
        </w:rPr>
        <w:t xml:space="preserve"> = sample </w:t>
      </w:r>
      <w:proofErr w:type="spellStart"/>
      <w:r w:rsidRPr="00B66940">
        <w:rPr>
          <w:rFonts w:ascii="Cambria" w:eastAsia="Times New Roman" w:hAnsi="Cambria" w:cs="Times New Roman"/>
          <w:color w:val="000000" w:themeColor="text1"/>
          <w:sz w:val="24"/>
          <w:szCs w:val="24"/>
          <w:lang w:eastAsia="it-IT"/>
        </w:rPr>
        <w:t>size</w:t>
      </w:r>
      <w:bookmarkStart w:id="0" w:name="_GoBack"/>
      <w:bookmarkEnd w:id="0"/>
      <w:proofErr w:type="spellEnd"/>
    </w:p>
    <w:sectPr w:rsidR="00B66940" w:rsidSect="007D21FE">
      <w:pgSz w:w="11906" w:h="16838"/>
      <w:pgMar w:top="993"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940"/>
    <w:rsid w:val="007D21FE"/>
    <w:rsid w:val="00B66940"/>
    <w:rsid w:val="00BA30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75A26"/>
  <w15:chartTrackingRefBased/>
  <w15:docId w15:val="{37905EE7-19C9-43DF-9891-364115480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link w:val="Titolo1Carattere"/>
    <w:uiPriority w:val="9"/>
    <w:qFormat/>
    <w:rsid w:val="00B6694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66940"/>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semiHidden/>
    <w:unhideWhenUsed/>
    <w:rsid w:val="00B66940"/>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B66940"/>
    <w:rPr>
      <w:i/>
      <w:iCs/>
    </w:rPr>
  </w:style>
  <w:style w:type="character" w:styleId="Collegamentoipertestuale">
    <w:name w:val="Hyperlink"/>
    <w:basedOn w:val="Carpredefinitoparagrafo"/>
    <w:uiPriority w:val="99"/>
    <w:semiHidden/>
    <w:unhideWhenUsed/>
    <w:rsid w:val="00B669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2837226">
      <w:bodyDiv w:val="1"/>
      <w:marLeft w:val="0"/>
      <w:marRight w:val="0"/>
      <w:marTop w:val="0"/>
      <w:marBottom w:val="0"/>
      <w:divBdr>
        <w:top w:val="none" w:sz="0" w:space="0" w:color="auto"/>
        <w:left w:val="none" w:sz="0" w:space="0" w:color="auto"/>
        <w:bottom w:val="none" w:sz="0" w:space="0" w:color="auto"/>
        <w:right w:val="none" w:sz="0" w:space="0" w:color="auto"/>
      </w:divBdr>
      <w:divsChild>
        <w:div w:id="1596859398">
          <w:marLeft w:val="0"/>
          <w:marRight w:val="0"/>
          <w:marTop w:val="200"/>
          <w:marBottom w:val="200"/>
          <w:divBdr>
            <w:top w:val="none" w:sz="0" w:space="0" w:color="auto"/>
            <w:left w:val="none" w:sz="0" w:space="0" w:color="auto"/>
            <w:bottom w:val="none" w:sz="0" w:space="0" w:color="auto"/>
            <w:right w:val="none" w:sz="0" w:space="0" w:color="auto"/>
          </w:divBdr>
        </w:div>
        <w:div w:id="384834140">
          <w:marLeft w:val="0"/>
          <w:marRight w:val="0"/>
          <w:marTop w:val="0"/>
          <w:marBottom w:val="0"/>
          <w:divBdr>
            <w:top w:val="none" w:sz="0" w:space="0" w:color="auto"/>
            <w:left w:val="none" w:sz="0" w:space="0" w:color="auto"/>
            <w:bottom w:val="none" w:sz="0" w:space="0" w:color="auto"/>
            <w:right w:val="none" w:sz="0" w:space="0" w:color="auto"/>
          </w:divBdr>
        </w:div>
        <w:div w:id="1077364352">
          <w:marLeft w:val="200"/>
          <w:marRight w:val="200"/>
          <w:marTop w:val="200"/>
          <w:marBottom w:val="200"/>
          <w:divBdr>
            <w:top w:val="none" w:sz="0" w:space="0" w:color="auto"/>
            <w:left w:val="none" w:sz="0" w:space="0" w:color="auto"/>
            <w:bottom w:val="none" w:sz="0" w:space="0" w:color="auto"/>
            <w:right w:val="none" w:sz="0" w:space="0" w:color="auto"/>
          </w:divBdr>
        </w:div>
        <w:div w:id="956721531">
          <w:marLeft w:val="0"/>
          <w:marRight w:val="0"/>
          <w:marTop w:val="200"/>
          <w:marBottom w:val="0"/>
          <w:divBdr>
            <w:top w:val="none" w:sz="0" w:space="0" w:color="auto"/>
            <w:left w:val="none" w:sz="0" w:space="0" w:color="auto"/>
            <w:bottom w:val="none" w:sz="0" w:space="0" w:color="auto"/>
            <w:right w:val="none" w:sz="0" w:space="0" w:color="auto"/>
          </w:divBdr>
        </w:div>
      </w:divsChild>
    </w:div>
    <w:div w:id="1051150532">
      <w:bodyDiv w:val="1"/>
      <w:marLeft w:val="0"/>
      <w:marRight w:val="0"/>
      <w:marTop w:val="0"/>
      <w:marBottom w:val="0"/>
      <w:divBdr>
        <w:top w:val="none" w:sz="0" w:space="0" w:color="auto"/>
        <w:left w:val="none" w:sz="0" w:space="0" w:color="auto"/>
        <w:bottom w:val="none" w:sz="0" w:space="0" w:color="auto"/>
        <w:right w:val="none" w:sz="0" w:space="0" w:color="auto"/>
      </w:divBdr>
      <w:divsChild>
        <w:div w:id="2038190339">
          <w:marLeft w:val="0"/>
          <w:marRight w:val="0"/>
          <w:marTop w:val="200"/>
          <w:marBottom w:val="200"/>
          <w:divBdr>
            <w:top w:val="none" w:sz="0" w:space="0" w:color="auto"/>
            <w:left w:val="none" w:sz="0" w:space="0" w:color="auto"/>
            <w:bottom w:val="none" w:sz="0" w:space="0" w:color="auto"/>
            <w:right w:val="none" w:sz="0" w:space="0" w:color="auto"/>
          </w:divBdr>
        </w:div>
        <w:div w:id="1055932767">
          <w:marLeft w:val="0"/>
          <w:marRight w:val="0"/>
          <w:marTop w:val="0"/>
          <w:marBottom w:val="0"/>
          <w:divBdr>
            <w:top w:val="none" w:sz="0" w:space="0" w:color="auto"/>
            <w:left w:val="none" w:sz="0" w:space="0" w:color="auto"/>
            <w:bottom w:val="none" w:sz="0" w:space="0" w:color="auto"/>
            <w:right w:val="none" w:sz="0" w:space="0" w:color="auto"/>
          </w:divBdr>
        </w:div>
        <w:div w:id="1830248123">
          <w:marLeft w:val="0"/>
          <w:marRight w:val="0"/>
          <w:marTop w:val="200"/>
          <w:marBottom w:val="2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259</Words>
  <Characters>1478</Characters>
  <Application>Microsoft Office Word</Application>
  <DocSecurity>0</DocSecurity>
  <Lines>12</Lines>
  <Paragraphs>3</Paragraphs>
  <ScaleCrop>false</ScaleCrop>
  <Company>Policlinico San Donato</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Baroni</dc:creator>
  <cp:keywords/>
  <dc:description/>
  <cp:lastModifiedBy>Irene Baroni</cp:lastModifiedBy>
  <cp:revision>2</cp:revision>
  <dcterms:created xsi:type="dcterms:W3CDTF">2024-04-16T16:14:00Z</dcterms:created>
  <dcterms:modified xsi:type="dcterms:W3CDTF">2024-04-16T16:22:00Z</dcterms:modified>
</cp:coreProperties>
</file>