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B788E" w14:textId="2C850BFB" w:rsidR="00A37175" w:rsidRPr="001327BA" w:rsidRDefault="00A37175" w:rsidP="00A37175">
      <w:pPr>
        <w:pStyle w:val="ViHHeading1"/>
        <w:rPr>
          <w:rFonts w:ascii="Times New Roman" w:hAnsi="Times New Roman" w:cs="Times New Roman"/>
        </w:rPr>
      </w:pPr>
      <w:bookmarkStart w:id="0" w:name="_Ref145585469"/>
      <w:r w:rsidRPr="001327BA">
        <w:rPr>
          <w:rFonts w:ascii="Times New Roman" w:hAnsi="Times New Roman" w:cs="Times New Roman"/>
        </w:rPr>
        <w:t xml:space="preserve">Appendix </w:t>
      </w:r>
      <w:bookmarkEnd w:id="0"/>
      <w:r w:rsidR="006807C8">
        <w:rPr>
          <w:rFonts w:ascii="Times New Roman" w:hAnsi="Times New Roman" w:cs="Times New Roman"/>
        </w:rPr>
        <w:t>F</w:t>
      </w:r>
      <w:r w:rsidRPr="001327BA">
        <w:rPr>
          <w:rFonts w:ascii="Times New Roman" w:hAnsi="Times New Roman" w:cs="Times New Roman"/>
        </w:rPr>
        <w:t xml:space="preserve"> Sensitivity analysis: treatment of immediate death as '0'</w:t>
      </w:r>
    </w:p>
    <w:p w14:paraId="243CACEA" w14:textId="72F3E458" w:rsidR="00A37175" w:rsidRPr="001327BA" w:rsidRDefault="00A37175" w:rsidP="00A37175">
      <w:pPr>
        <w:rPr>
          <w:rFonts w:cs="Times New Roman"/>
          <w:szCs w:val="24"/>
        </w:rPr>
      </w:pPr>
      <w:r w:rsidRPr="001327BA">
        <w:rPr>
          <w:rFonts w:cs="Times New Roman"/>
          <w:szCs w:val="24"/>
        </w:rPr>
        <w:t xml:space="preserve">In the analysis of the </w:t>
      </w:r>
      <w:r w:rsidRPr="001327BA">
        <w:rPr>
          <w:rFonts w:cs="Times New Roman"/>
          <w:i/>
          <w:szCs w:val="24"/>
        </w:rPr>
        <w:t>death</w:t>
      </w:r>
      <w:r w:rsidRPr="001327BA">
        <w:rPr>
          <w:rFonts w:cs="Times New Roman"/>
          <w:szCs w:val="24"/>
        </w:rPr>
        <w:t xml:space="preserve"> arms, immediate death is treated as a health state with 0 years in duration. This assumption was tested by allowing a death dummy parameter. Results are summarised in </w:t>
      </w:r>
      <w:r w:rsidRPr="001327BA">
        <w:rPr>
          <w:rFonts w:cs="Times New Roman"/>
          <w:szCs w:val="24"/>
        </w:rPr>
        <w:fldChar w:fldCharType="begin"/>
      </w:r>
      <w:r w:rsidRPr="001327BA">
        <w:rPr>
          <w:rFonts w:cs="Times New Roman"/>
          <w:szCs w:val="24"/>
        </w:rPr>
        <w:instrText xml:space="preserve"> REF _Ref124760785 \h  \* MERGEFORMAT </w:instrText>
      </w:r>
      <w:r w:rsidRPr="001327BA">
        <w:rPr>
          <w:rFonts w:cs="Times New Roman"/>
          <w:szCs w:val="24"/>
        </w:rPr>
      </w:r>
      <w:r w:rsidRPr="001327BA">
        <w:rPr>
          <w:rFonts w:cs="Times New Roman"/>
          <w:szCs w:val="24"/>
        </w:rPr>
        <w:fldChar w:fldCharType="separate"/>
      </w:r>
      <w:r w:rsidRPr="001327BA">
        <w:rPr>
          <w:rFonts w:cs="Times New Roman"/>
          <w:szCs w:val="24"/>
        </w:rPr>
        <w:t>Table 7</w:t>
      </w:r>
      <w:r w:rsidRPr="001327BA">
        <w:rPr>
          <w:rFonts w:cs="Times New Roman"/>
          <w:szCs w:val="24"/>
        </w:rPr>
        <w:fldChar w:fldCharType="end"/>
      </w:r>
      <w:r w:rsidRPr="001327BA">
        <w:rPr>
          <w:rFonts w:cs="Times New Roman"/>
          <w:szCs w:val="24"/>
        </w:rPr>
        <w:t xml:space="preserve">. Apart from the </w:t>
      </w:r>
      <w:r w:rsidRPr="001327BA">
        <w:rPr>
          <w:rFonts w:cs="Times New Roman"/>
          <w:i/>
          <w:szCs w:val="24"/>
        </w:rPr>
        <w:t>death_gen</w:t>
      </w:r>
      <w:r w:rsidRPr="001327BA">
        <w:rPr>
          <w:rFonts w:cs="Times New Roman"/>
          <w:szCs w:val="24"/>
        </w:rPr>
        <w:t xml:space="preserve"> arm in the Peruvian data, all the other arms had a death dummy estimate that included 0 in the 95% credible interval. This suggests the assumption of immediate death as represented by 0 years in duration does hold in </w:t>
      </w:r>
      <w:proofErr w:type="gramStart"/>
      <w:r w:rsidRPr="001327BA">
        <w:rPr>
          <w:rFonts w:cs="Times New Roman"/>
          <w:szCs w:val="24"/>
        </w:rPr>
        <w:t>the majority of</w:t>
      </w:r>
      <w:proofErr w:type="gramEnd"/>
      <w:r w:rsidRPr="001327BA">
        <w:rPr>
          <w:rFonts w:cs="Times New Roman"/>
          <w:szCs w:val="24"/>
        </w:rPr>
        <w:t xml:space="preserve"> cases, at least when nonlinear modelling is used.</w:t>
      </w:r>
    </w:p>
    <w:p w14:paraId="46C251DE" w14:textId="77777777" w:rsidR="00A37175" w:rsidRPr="00CD26CB" w:rsidRDefault="00A37175" w:rsidP="00A37175">
      <w:pPr>
        <w:rPr>
          <w:i/>
        </w:rPr>
      </w:pPr>
      <w:bookmarkStart w:id="1" w:name="_Ref124760785"/>
      <w:r w:rsidRPr="00CD26CB">
        <w:rPr>
          <w:i/>
        </w:rPr>
        <w:t xml:space="preserve">Table </w:t>
      </w:r>
      <w:r w:rsidRPr="00CD26CB">
        <w:rPr>
          <w:i/>
        </w:rPr>
        <w:fldChar w:fldCharType="begin"/>
      </w:r>
      <w:r w:rsidRPr="00CD26CB">
        <w:rPr>
          <w:i/>
        </w:rPr>
        <w:instrText xml:space="preserve"> SEQ Table \* ARABIC </w:instrText>
      </w:r>
      <w:r w:rsidRPr="00CD26CB">
        <w:rPr>
          <w:i/>
        </w:rPr>
        <w:fldChar w:fldCharType="separate"/>
      </w:r>
      <w:r>
        <w:rPr>
          <w:i/>
          <w:noProof/>
        </w:rPr>
        <w:t>6</w:t>
      </w:r>
      <w:r w:rsidRPr="00CD26CB">
        <w:fldChar w:fldCharType="end"/>
      </w:r>
      <w:bookmarkEnd w:id="1"/>
      <w:r w:rsidRPr="00CD26CB">
        <w:rPr>
          <w:i/>
        </w:rPr>
        <w:t xml:space="preserve"> Nonlinear MXL: Death dummies</w:t>
      </w:r>
    </w:p>
    <w:tbl>
      <w:tblPr>
        <w:tblStyle w:val="PlainTable4"/>
        <w:tblW w:w="5000" w:type="pct"/>
        <w:tblLayout w:type="fixed"/>
        <w:tblLook w:val="06A0" w:firstRow="1" w:lastRow="0" w:firstColumn="1" w:lastColumn="0" w:noHBand="1" w:noVBand="1"/>
      </w:tblPr>
      <w:tblGrid>
        <w:gridCol w:w="2704"/>
        <w:gridCol w:w="3276"/>
        <w:gridCol w:w="3036"/>
      </w:tblGrid>
      <w:tr w:rsidR="00A37175" w:rsidRPr="001327BA" w14:paraId="7C200589" w14:textId="77777777" w:rsidTr="00B321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88B8" w14:textId="77777777" w:rsidR="00A37175" w:rsidRPr="001327BA" w:rsidRDefault="00A37175" w:rsidP="00B321EA">
            <w:pPr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>Death dummy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8B0DE" w14:textId="77777777" w:rsidR="00A37175" w:rsidRPr="001327BA" w:rsidRDefault="00A37175" w:rsidP="00B321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>Denmark (95% CI)</w:t>
            </w:r>
          </w:p>
        </w:tc>
        <w:tc>
          <w:tcPr>
            <w:tcW w:w="30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0D10" w14:textId="77777777" w:rsidR="00A37175" w:rsidRPr="001327BA" w:rsidRDefault="00A37175" w:rsidP="00B321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>Peru (95% CI)</w:t>
            </w:r>
          </w:p>
        </w:tc>
      </w:tr>
      <w:tr w:rsidR="00A37175" w:rsidRPr="001327BA" w14:paraId="497FCD78" w14:textId="77777777" w:rsidTr="00B321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815A2B" w14:textId="77777777" w:rsidR="00A37175" w:rsidRPr="001327BA" w:rsidRDefault="00A37175" w:rsidP="00B321EA">
            <w:pPr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>Death_gen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</w:tcBorders>
          </w:tcPr>
          <w:p w14:paraId="446D1822" w14:textId="6137C8DC" w:rsidR="00A37175" w:rsidRPr="001327BA" w:rsidRDefault="00A37175" w:rsidP="00B32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 xml:space="preserve">-0.06 (-0.16 - 0.18) </w:t>
            </w:r>
          </w:p>
        </w:tc>
        <w:tc>
          <w:tcPr>
            <w:tcW w:w="3039" w:type="dxa"/>
            <w:tcBorders>
              <w:top w:val="single" w:sz="4" w:space="0" w:color="000000"/>
              <w:right w:val="single" w:sz="4" w:space="0" w:color="000000"/>
            </w:tcBorders>
          </w:tcPr>
          <w:p w14:paraId="2843BB93" w14:textId="77777777" w:rsidR="00A37175" w:rsidRPr="001327BA" w:rsidRDefault="00A37175" w:rsidP="00B32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>0.08 (0.03 – 0.12)</w:t>
            </w:r>
          </w:p>
        </w:tc>
      </w:tr>
      <w:tr w:rsidR="00A37175" w:rsidRPr="001327BA" w14:paraId="0FF722AA" w14:textId="77777777" w:rsidTr="00B321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50FB" w14:textId="77777777" w:rsidR="00A37175" w:rsidRPr="001327BA" w:rsidRDefault="00A37175" w:rsidP="00B321EA">
            <w:pPr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>Death_</w:t>
            </w:r>
            <w:proofErr w:type="gramStart"/>
            <w:r w:rsidRPr="001327BA">
              <w:rPr>
                <w:sz w:val="18"/>
                <w:szCs w:val="18"/>
              </w:rPr>
              <w:t>eff</w:t>
            </w:r>
            <w:proofErr w:type="gramEnd"/>
          </w:p>
        </w:tc>
        <w:tc>
          <w:tcPr>
            <w:tcW w:w="3280" w:type="dxa"/>
            <w:tcBorders>
              <w:left w:val="single" w:sz="4" w:space="0" w:color="000000"/>
              <w:bottom w:val="single" w:sz="4" w:space="0" w:color="000000"/>
            </w:tcBorders>
          </w:tcPr>
          <w:p w14:paraId="0C01859A" w14:textId="77777777" w:rsidR="00A37175" w:rsidRPr="001327BA" w:rsidRDefault="00A37175" w:rsidP="00B32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 xml:space="preserve">-0.06 (-0.14 – 0.04) </w:t>
            </w:r>
          </w:p>
        </w:tc>
        <w:tc>
          <w:tcPr>
            <w:tcW w:w="3039" w:type="dxa"/>
            <w:tcBorders>
              <w:bottom w:val="single" w:sz="4" w:space="0" w:color="000000"/>
              <w:right w:val="single" w:sz="4" w:space="0" w:color="000000"/>
            </w:tcBorders>
          </w:tcPr>
          <w:p w14:paraId="316F254F" w14:textId="77777777" w:rsidR="00A37175" w:rsidRPr="001327BA" w:rsidRDefault="00A37175" w:rsidP="00B32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27BA">
              <w:rPr>
                <w:sz w:val="18"/>
                <w:szCs w:val="18"/>
              </w:rPr>
              <w:t>-0.11 (-0.25 – 0.02)</w:t>
            </w:r>
          </w:p>
        </w:tc>
      </w:tr>
    </w:tbl>
    <w:p w14:paraId="4FCF38A6" w14:textId="77777777" w:rsidR="003D75AF" w:rsidRDefault="003D75AF"/>
    <w:sectPr w:rsidR="003D75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17092" w14:textId="77777777" w:rsidR="001B20C6" w:rsidRDefault="001B20C6" w:rsidP="001327BA">
      <w:pPr>
        <w:spacing w:after="0" w:line="240" w:lineRule="auto"/>
      </w:pPr>
      <w:r>
        <w:separator/>
      </w:r>
    </w:p>
  </w:endnote>
  <w:endnote w:type="continuationSeparator" w:id="0">
    <w:p w14:paraId="58C5AF29" w14:textId="77777777" w:rsidR="001B20C6" w:rsidRDefault="001B20C6" w:rsidP="0013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1C7C" w14:textId="77777777" w:rsidR="001B20C6" w:rsidRDefault="001B20C6" w:rsidP="001327BA">
      <w:pPr>
        <w:spacing w:after="0" w:line="240" w:lineRule="auto"/>
      </w:pPr>
      <w:r>
        <w:separator/>
      </w:r>
    </w:p>
  </w:footnote>
  <w:footnote w:type="continuationSeparator" w:id="0">
    <w:p w14:paraId="24135754" w14:textId="77777777" w:rsidR="001B20C6" w:rsidRDefault="001B20C6" w:rsidP="001327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175"/>
    <w:rsid w:val="001327BA"/>
    <w:rsid w:val="001B20C6"/>
    <w:rsid w:val="00283DB1"/>
    <w:rsid w:val="002B46A7"/>
    <w:rsid w:val="003B294E"/>
    <w:rsid w:val="003D75AF"/>
    <w:rsid w:val="003F21EA"/>
    <w:rsid w:val="004C5426"/>
    <w:rsid w:val="005353AC"/>
    <w:rsid w:val="006807C8"/>
    <w:rsid w:val="006D3894"/>
    <w:rsid w:val="008C08E4"/>
    <w:rsid w:val="00A37175"/>
    <w:rsid w:val="00A72A76"/>
    <w:rsid w:val="00CF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FF4A5"/>
  <w15:chartTrackingRefBased/>
  <w15:docId w15:val="{65E21814-B2C1-4CB6-A5C0-97F4D97E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7BA"/>
    <w:pPr>
      <w:suppressAutoHyphens/>
      <w:spacing w:line="480" w:lineRule="auto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A76"/>
    <w:pPr>
      <w:keepNext/>
      <w:keepLines/>
      <w:suppressAutoHyphens w:val="0"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A76"/>
    <w:pPr>
      <w:keepNext/>
      <w:keepLines/>
      <w:suppressAutoHyphens w:val="0"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A76"/>
    <w:pPr>
      <w:keepNext/>
      <w:keepLines/>
      <w:suppressAutoHyphens w:val="0"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Yheading1">
    <w:name w:val="AY heading 1"/>
    <w:basedOn w:val="Heading1"/>
    <w:next w:val="Normal"/>
    <w:link w:val="AYheading1Char"/>
    <w:qFormat/>
    <w:rsid w:val="00A72A76"/>
    <w:rPr>
      <w:b/>
      <w:bCs/>
    </w:rPr>
  </w:style>
  <w:style w:type="character" w:customStyle="1" w:styleId="AYheading1Char">
    <w:name w:val="AY heading 1 Char"/>
    <w:basedOn w:val="Heading1Char"/>
    <w:link w:val="AYheading1"/>
    <w:rsid w:val="00A72A76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72A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YHeading2">
    <w:name w:val="AY Heading 2"/>
    <w:basedOn w:val="Heading2"/>
    <w:next w:val="Normal"/>
    <w:link w:val="AYHeading2Char"/>
    <w:qFormat/>
    <w:rsid w:val="00A72A76"/>
    <w:rPr>
      <w:b/>
    </w:rPr>
  </w:style>
  <w:style w:type="character" w:customStyle="1" w:styleId="AYHeading2Char">
    <w:name w:val="AY Heading 2 Char"/>
    <w:basedOn w:val="Heading2Char"/>
    <w:link w:val="AYHeading2"/>
    <w:rsid w:val="00A72A76"/>
    <w:rPr>
      <w:rFonts w:asciiTheme="majorHAnsi" w:eastAsiaTheme="majorEastAsia" w:hAnsiTheme="majorHAnsi" w:cstheme="majorBidi"/>
      <w:b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A7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AYHeading3">
    <w:name w:val="AY Heading 3"/>
    <w:basedOn w:val="Heading3"/>
    <w:next w:val="Normal"/>
    <w:link w:val="AYHeading3Char"/>
    <w:qFormat/>
    <w:rsid w:val="00A72A76"/>
    <w:rPr>
      <w:b/>
      <w:i/>
    </w:rPr>
  </w:style>
  <w:style w:type="character" w:customStyle="1" w:styleId="AYHeading3Char">
    <w:name w:val="AY Heading 3 Char"/>
    <w:basedOn w:val="Heading3Char"/>
    <w:link w:val="AYHeading3"/>
    <w:rsid w:val="00A72A76"/>
    <w:rPr>
      <w:rFonts w:asciiTheme="majorHAnsi" w:eastAsiaTheme="majorEastAsia" w:hAnsiTheme="majorHAnsi" w:cstheme="majorBidi"/>
      <w:b/>
      <w:i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A7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ViHHeading1Char">
    <w:name w:val="ViH Heading 1 Char"/>
    <w:basedOn w:val="Heading1Char"/>
    <w:link w:val="ViHHeading1"/>
    <w:qFormat/>
    <w:rsid w:val="00A37175"/>
    <w:rPr>
      <w:rFonts w:ascii="Arial" w:eastAsiaTheme="majorEastAsia" w:hAnsi="Arial" w:cstheme="majorBidi"/>
      <w:b/>
      <w:color w:val="2F5496" w:themeColor="accent1" w:themeShade="BF"/>
      <w:kern w:val="0"/>
      <w:sz w:val="32"/>
      <w:szCs w:val="32"/>
      <w14:ligatures w14:val="none"/>
    </w:rPr>
  </w:style>
  <w:style w:type="paragraph" w:customStyle="1" w:styleId="ViHHeading1">
    <w:name w:val="ViH Heading 1"/>
    <w:basedOn w:val="Heading1"/>
    <w:next w:val="Normal"/>
    <w:link w:val="ViHHeading1Char"/>
    <w:qFormat/>
    <w:rsid w:val="00A37175"/>
    <w:pPr>
      <w:suppressAutoHyphens/>
    </w:pPr>
    <w:rPr>
      <w:rFonts w:ascii="Arial" w:hAnsi="Arial"/>
      <w:b/>
      <w:color w:val="auto"/>
    </w:rPr>
  </w:style>
  <w:style w:type="table" w:styleId="PlainTable4">
    <w:name w:val="Plain Table 4"/>
    <w:basedOn w:val="TableNormal"/>
    <w:uiPriority w:val="44"/>
    <w:rsid w:val="00A37175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32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7BA"/>
    <w:rPr>
      <w:rFonts w:ascii="Cambria" w:hAnsi="Cambria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2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7BA"/>
    <w:rPr>
      <w:rFonts w:ascii="Cambria" w:hAnsi="Cambria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Yu</dc:creator>
  <cp:keywords/>
  <dc:description/>
  <cp:lastModifiedBy>Alice Yu</cp:lastModifiedBy>
  <cp:revision>5</cp:revision>
  <dcterms:created xsi:type="dcterms:W3CDTF">2023-09-15T01:37:00Z</dcterms:created>
  <dcterms:modified xsi:type="dcterms:W3CDTF">2024-02-29T05:56:00Z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2023-09-15T01:39:47Z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b03f6a9d-f6c2-44a7-92c6-4415ed94342c</vt:lpwstr>
  </property>
  <property fmtid="{D5CDD505-2E9C-101B-9397-08002B2CF9AE}" pid="8" name="MSIP_Label_51a6c3db-1667-4f49-995a-8b9973972958_ContentBits">
    <vt:lpwstr>0</vt:lpwstr>
  </property>
</Properties>
</file>