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0392C" w14:textId="77777777" w:rsidR="009C6073" w:rsidRDefault="009C6073" w:rsidP="009C6073">
      <w:pPr>
        <w:pStyle w:val="Heading3"/>
        <w:numPr>
          <w:ilvl w:val="2"/>
          <w:numId w:val="0"/>
        </w:numPr>
        <w:tabs>
          <w:tab w:val="num" w:pos="360"/>
        </w:tabs>
        <w:spacing w:line="360" w:lineRule="auto"/>
        <w:jc w:val="both"/>
        <w:rPr>
          <w:rFonts w:cs="Times New Roman"/>
          <w:b/>
          <w:bCs/>
          <w:color w:val="000000" w:themeColor="text1"/>
          <w:sz w:val="22"/>
          <w:szCs w:val="22"/>
          <w:shd w:val="clear" w:color="auto" w:fill="FFFFFF"/>
        </w:rPr>
      </w:pPr>
      <w:r>
        <w:rPr>
          <w:rFonts w:cs="Times New Roman"/>
          <w:b/>
          <w:bCs/>
          <w:color w:val="000000" w:themeColor="text1"/>
          <w:sz w:val="22"/>
          <w:szCs w:val="22"/>
          <w:shd w:val="clear" w:color="auto" w:fill="FFFFFF"/>
        </w:rPr>
        <w:t xml:space="preserve">Supplementary Data 1 </w:t>
      </w:r>
    </w:p>
    <w:p w14:paraId="010E11FF" w14:textId="77777777" w:rsidR="009C6073" w:rsidRPr="00C52456" w:rsidRDefault="009C6073" w:rsidP="009C6073">
      <w:pPr>
        <w:pStyle w:val="Heading3"/>
        <w:numPr>
          <w:ilvl w:val="2"/>
          <w:numId w:val="0"/>
        </w:numPr>
        <w:tabs>
          <w:tab w:val="num" w:pos="360"/>
        </w:tabs>
        <w:spacing w:line="360" w:lineRule="auto"/>
        <w:jc w:val="both"/>
        <w:rPr>
          <w:rFonts w:cs="Times New Roman"/>
          <w:b/>
          <w:bCs/>
          <w:color w:val="000000" w:themeColor="text1"/>
          <w:sz w:val="22"/>
          <w:szCs w:val="22"/>
          <w:shd w:val="clear" w:color="auto" w:fill="FFFFFF"/>
        </w:rPr>
      </w:pPr>
      <w:r w:rsidRPr="00C52456">
        <w:rPr>
          <w:rFonts w:cs="Times New Roman"/>
          <w:b/>
          <w:bCs/>
          <w:color w:val="000000" w:themeColor="text1"/>
          <w:sz w:val="22"/>
          <w:szCs w:val="22"/>
          <w:shd w:val="clear" w:color="auto" w:fill="FFFFFF"/>
        </w:rPr>
        <w:t xml:space="preserve">Self-rated health </w:t>
      </w:r>
    </w:p>
    <w:p w14:paraId="13D52248" w14:textId="77777777" w:rsidR="009C6073" w:rsidRDefault="009C6073" w:rsidP="009C6073">
      <w:pPr>
        <w:pStyle w:val="Heading3"/>
        <w:numPr>
          <w:ilvl w:val="2"/>
          <w:numId w:val="0"/>
        </w:numPr>
        <w:tabs>
          <w:tab w:val="num" w:pos="360"/>
        </w:tabs>
        <w:spacing w:before="0" w:after="0" w:line="360" w:lineRule="auto"/>
        <w:jc w:val="both"/>
        <w:rPr>
          <w:rFonts w:cs="Times New Roman"/>
          <w:i/>
          <w:iCs/>
          <w:color w:val="000000" w:themeColor="text1"/>
          <w:sz w:val="22"/>
          <w:szCs w:val="22"/>
          <w:shd w:val="clear" w:color="auto" w:fill="FFFFFF"/>
        </w:rPr>
      </w:pPr>
      <w:r w:rsidRPr="00C52456">
        <w:rPr>
          <w:rFonts w:cs="Times New Roman"/>
          <w:color w:val="000000" w:themeColor="text1"/>
          <w:sz w:val="22"/>
          <w:szCs w:val="22"/>
          <w:shd w:val="clear" w:color="auto" w:fill="FFFFFF"/>
        </w:rPr>
        <w:t xml:space="preserve">A single-item </w:t>
      </w:r>
      <w:r>
        <w:rPr>
          <w:rFonts w:cs="Times New Roman"/>
          <w:color w:val="000000" w:themeColor="text1"/>
          <w:sz w:val="22"/>
          <w:szCs w:val="22"/>
          <w:shd w:val="clear" w:color="auto" w:fill="FFFFFF"/>
        </w:rPr>
        <w:t>self-rated health (</w:t>
      </w:r>
      <w:r w:rsidRPr="00C52456">
        <w:rPr>
          <w:rFonts w:cs="Times New Roman"/>
          <w:color w:val="000000" w:themeColor="text1"/>
          <w:sz w:val="22"/>
          <w:szCs w:val="22"/>
          <w:shd w:val="clear" w:color="auto" w:fill="FFFFFF"/>
        </w:rPr>
        <w:t>SRH</w:t>
      </w:r>
      <w:r>
        <w:rPr>
          <w:rFonts w:cs="Times New Roman"/>
          <w:color w:val="000000" w:themeColor="text1"/>
          <w:sz w:val="22"/>
          <w:szCs w:val="22"/>
          <w:shd w:val="clear" w:color="auto" w:fill="FFFFFF"/>
        </w:rPr>
        <w:t>)</w:t>
      </w:r>
      <w:r w:rsidRPr="00C52456">
        <w:rPr>
          <w:rFonts w:cs="Times New Roman"/>
          <w:color w:val="000000" w:themeColor="text1"/>
          <w:sz w:val="22"/>
          <w:szCs w:val="22"/>
          <w:shd w:val="clear" w:color="auto" w:fill="FFFFFF"/>
        </w:rPr>
        <w:t xml:space="preserve"> question</w:t>
      </w:r>
      <w:r>
        <w:rPr>
          <w:rFonts w:cs="Times New Roman"/>
          <w:color w:val="000000" w:themeColor="text1"/>
          <w:sz w:val="22"/>
          <w:szCs w:val="22"/>
          <w:shd w:val="clear" w:color="auto" w:fill="FFFFFF"/>
        </w:rPr>
        <w:t xml:space="preserve"> was included in the questionnaire</w:t>
      </w:r>
      <w:r w:rsidRPr="00C52456">
        <w:rPr>
          <w:rFonts w:cs="Times New Roman"/>
          <w:color w:val="000000" w:themeColor="text1"/>
          <w:sz w:val="22"/>
          <w:szCs w:val="22"/>
          <w:shd w:val="clear" w:color="auto" w:fill="FFFFFF"/>
        </w:rPr>
        <w:t>, previously used in studies involving children and adolescent</w:t>
      </w:r>
      <w:r>
        <w:rPr>
          <w:rFonts w:cs="Times New Roman"/>
          <w:color w:val="000000" w:themeColor="text1"/>
          <w:sz w:val="22"/>
          <w:szCs w:val="22"/>
          <w:shd w:val="clear" w:color="auto" w:fill="FFFFFF"/>
        </w:rPr>
        <w:t>s</w:t>
      </w:r>
      <w:r>
        <w:rPr>
          <w:rFonts w:cs="Times New Roman"/>
          <w:color w:val="000000" w:themeColor="text1"/>
          <w:sz w:val="22"/>
          <w:szCs w:val="22"/>
          <w:shd w:val="clear" w:color="auto" w:fill="FFFFFF"/>
        </w:rPr>
        <w:fldChar w:fldCharType="begin">
          <w:fldData xml:space="preserve">PEVuZE5vdGU+PENpdGU+PEF1dGhvcj7DhXN0csO2bTwvQXV0aG9yPjxZZWFyPjIwMTg8L1llYXI+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</w:fldData>
        </w:fldChar>
      </w:r>
      <w:r>
        <w:rPr>
          <w:rFonts w:cs="Times New Roman"/>
          <w:color w:val="000000" w:themeColor="text1"/>
          <w:sz w:val="22"/>
          <w:szCs w:val="22"/>
          <w:shd w:val="clear" w:color="auto" w:fill="FFFFFF"/>
        </w:rPr>
        <w:instrText xml:space="preserve"> ADDIN EN.CITE </w:instrText>
      </w:r>
      <w:r>
        <w:rPr>
          <w:rFonts w:cs="Times New Roman"/>
          <w:color w:val="000000" w:themeColor="text1"/>
          <w:sz w:val="22"/>
          <w:szCs w:val="22"/>
          <w:shd w:val="clear" w:color="auto" w:fill="FFFFFF"/>
        </w:rPr>
        <w:fldChar w:fldCharType="begin">
          <w:fldData xml:space="preserve">PEVuZE5vdGU+PENpdGU+PEF1dGhvcj7DhXN0csO2bTwvQXV0aG9yPjxZZWFyPjIwMTg8L1llYXI+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</w:fldData>
        </w:fldChar>
      </w:r>
      <w:r>
        <w:rPr>
          <w:rFonts w:cs="Times New Roman"/>
          <w:color w:val="000000" w:themeColor="text1"/>
          <w:sz w:val="22"/>
          <w:szCs w:val="22"/>
          <w:shd w:val="clear" w:color="auto" w:fill="FFFFFF"/>
        </w:rPr>
        <w:instrText xml:space="preserve"> ADDIN EN.CITE.DATA </w:instrText>
      </w:r>
      <w:r>
        <w:rPr>
          <w:rFonts w:cs="Times New Roman"/>
          <w:color w:val="000000" w:themeColor="text1"/>
          <w:sz w:val="22"/>
          <w:szCs w:val="22"/>
          <w:shd w:val="clear" w:color="auto" w:fill="FFFFFF"/>
        </w:rPr>
      </w:r>
      <w:r>
        <w:rPr>
          <w:rFonts w:cs="Times New Roman"/>
          <w:color w:val="000000" w:themeColor="text1"/>
          <w:sz w:val="22"/>
          <w:szCs w:val="22"/>
          <w:shd w:val="clear" w:color="auto" w:fill="FFFFFF"/>
        </w:rPr>
        <w:fldChar w:fldCharType="end"/>
      </w:r>
      <w:r>
        <w:rPr>
          <w:rFonts w:cs="Times New Roman"/>
          <w:color w:val="000000" w:themeColor="text1"/>
          <w:sz w:val="22"/>
          <w:szCs w:val="22"/>
          <w:shd w:val="clear" w:color="auto" w:fill="FFFFFF"/>
        </w:rPr>
        <w:fldChar w:fldCharType="separate"/>
      </w:r>
      <w:r>
        <w:rPr>
          <w:rFonts w:cs="Times New Roman"/>
          <w:noProof/>
          <w:color w:val="000000" w:themeColor="text1"/>
          <w:sz w:val="22"/>
          <w:szCs w:val="22"/>
          <w:shd w:val="clear" w:color="auto" w:fill="FFFFFF"/>
        </w:rPr>
        <w:t>[7, 21]</w:t>
      </w:r>
      <w:r>
        <w:rPr>
          <w:rFonts w:cs="Times New Roman"/>
          <w:color w:val="000000" w:themeColor="text1"/>
          <w:sz w:val="22"/>
          <w:szCs w:val="22"/>
          <w:shd w:val="clear" w:color="auto" w:fill="FFFFFF"/>
        </w:rPr>
        <w:fldChar w:fldCharType="end"/>
      </w:r>
      <w:r w:rsidRPr="00C52456">
        <w:rPr>
          <w:rFonts w:cs="Times New Roman"/>
          <w:color w:val="000000" w:themeColor="text1"/>
          <w:sz w:val="22"/>
          <w:szCs w:val="22"/>
          <w:shd w:val="clear" w:color="auto" w:fill="FFFFFF"/>
        </w:rPr>
        <w:t>. Participants were asked</w:t>
      </w:r>
      <w:r>
        <w:rPr>
          <w:rFonts w:cs="Times New Roman"/>
          <w:color w:val="000000" w:themeColor="text1"/>
          <w:sz w:val="22"/>
          <w:szCs w:val="22"/>
          <w:shd w:val="clear" w:color="auto" w:fill="FFFFFF"/>
        </w:rPr>
        <w:t>,</w:t>
      </w:r>
      <w:r w:rsidRPr="00C52456">
        <w:rPr>
          <w:rFonts w:cs="Times New Roman"/>
          <w:color w:val="000000" w:themeColor="text1"/>
          <w:sz w:val="22"/>
          <w:szCs w:val="22"/>
          <w:shd w:val="clear" w:color="auto" w:fill="FFFFFF"/>
        </w:rPr>
        <w:t xml:space="preserve"> “How is your overall health?” with five response options: </w:t>
      </w:r>
      <w:r w:rsidRPr="00C52456">
        <w:rPr>
          <w:rFonts w:cs="Times New Roman"/>
          <w:i/>
          <w:iCs/>
          <w:color w:val="000000" w:themeColor="text1"/>
          <w:sz w:val="22"/>
          <w:szCs w:val="22"/>
          <w:shd w:val="clear" w:color="auto" w:fill="FFFFFF"/>
        </w:rPr>
        <w:t xml:space="preserve">very good, good, neither good nor bad, fair, </w:t>
      </w:r>
      <w:r w:rsidRPr="00C52456">
        <w:rPr>
          <w:rFonts w:cs="Times New Roman"/>
          <w:color w:val="000000" w:themeColor="text1"/>
          <w:sz w:val="22"/>
          <w:szCs w:val="22"/>
          <w:shd w:val="clear" w:color="auto" w:fill="FFFFFF"/>
        </w:rPr>
        <w:t>and</w:t>
      </w:r>
      <w:r w:rsidRPr="00C52456">
        <w:rPr>
          <w:rFonts w:cs="Times New Roman"/>
          <w:i/>
          <w:iCs/>
          <w:color w:val="000000" w:themeColor="text1"/>
          <w:sz w:val="22"/>
          <w:szCs w:val="22"/>
          <w:shd w:val="clear" w:color="auto" w:fill="FFFFFF"/>
        </w:rPr>
        <w:t xml:space="preserve"> poor.</w:t>
      </w:r>
    </w:p>
    <w:p w14:paraId="7290D1F0" w14:textId="77777777" w:rsidR="009C6073" w:rsidRPr="00E74A31" w:rsidRDefault="009C6073" w:rsidP="009C6073">
      <w:pPr>
        <w:autoSpaceDE w:val="0"/>
        <w:autoSpaceDN w:val="0"/>
        <w:adjustRightInd w:val="0"/>
        <w:spacing w:line="360" w:lineRule="auto"/>
        <w:jc w:val="both"/>
        <w:rPr>
          <w:b/>
          <w:bCs/>
          <w:color w:val="202122"/>
          <w:szCs w:val="22"/>
          <w:shd w:val="clear" w:color="auto" w:fill="FFFFFF"/>
        </w:rPr>
      </w:pPr>
      <w:r w:rsidRPr="00E74A31">
        <w:rPr>
          <w:b/>
          <w:bCs/>
          <w:color w:val="202122"/>
          <w:szCs w:val="22"/>
          <w:shd w:val="clear" w:color="auto" w:fill="FFFFFF"/>
        </w:rPr>
        <w:t xml:space="preserve">Asthma symptom control assessment </w:t>
      </w:r>
    </w:p>
    <w:p w14:paraId="38D2C8DB" w14:textId="77777777" w:rsidR="009C6073" w:rsidRPr="00ED682E" w:rsidRDefault="009C6073" w:rsidP="009C6073">
      <w:pPr>
        <w:autoSpaceDE w:val="0"/>
        <w:autoSpaceDN w:val="0"/>
        <w:adjustRightInd w:val="0"/>
        <w:spacing w:line="360" w:lineRule="auto"/>
        <w:jc w:val="both"/>
        <w:rPr>
          <w:color w:val="202122"/>
          <w:sz w:val="22"/>
          <w:szCs w:val="20"/>
          <w:shd w:val="clear" w:color="auto" w:fill="FFFFFF"/>
        </w:rPr>
      </w:pPr>
      <w:r w:rsidRPr="00ED682E">
        <w:rPr>
          <w:color w:val="202122"/>
          <w:sz w:val="22"/>
          <w:szCs w:val="20"/>
          <w:shd w:val="clear" w:color="auto" w:fill="FFFFFF"/>
        </w:rPr>
        <w:t>Asthma symptom control was assessed using the Global Initiative for Asthma (GINA) assessment criteria for children and adolescents</w:t>
      </w:r>
      <w:r>
        <w:rPr>
          <w:color w:val="202122"/>
          <w:sz w:val="22"/>
          <w:szCs w:val="20"/>
          <w:shd w:val="clear" w:color="auto" w:fill="FFFFFF"/>
        </w:rPr>
        <w:t xml:space="preserve"> </w:t>
      </w:r>
      <w:r>
        <w:rPr>
          <w:color w:val="202122"/>
          <w:sz w:val="22"/>
          <w:szCs w:val="20"/>
          <w:shd w:val="clear" w:color="auto" w:fill="FFFFFF"/>
        </w:rPr>
        <w:fldChar w:fldCharType="begin"/>
      </w:r>
      <w:r>
        <w:rPr>
          <w:color w:val="202122"/>
          <w:sz w:val="22"/>
          <w:szCs w:val="20"/>
          <w:shd w:val="clear" w:color="auto" w:fill="FFFFFF"/>
        </w:rPr>
        <w:instrText xml:space="preserve"> ADDIN EN.CITE &lt;EndNote&gt;&lt;Cite&gt;&lt;Author&gt;Global Initiative for Asthma.&lt;/Author&gt;&lt;Year&gt;2024.&lt;/Year&gt;&lt;RecNum&gt;26&lt;/RecNum&gt;&lt;DisplayText&gt;[24]&lt;/DisplayText&gt;&lt;record&gt;&lt;rec-number&gt;26&lt;/rec-number&gt;&lt;foreign-keys&gt;&lt;key app="EN" db-id="eavs0adr9xea9re55fzxfrxfsw52patasp0t" timestamp="1766210867"&gt;26&lt;/key&gt;&lt;/foreign-keys&gt;&lt;ref-type name="Web Page"&gt;12&lt;/ref-type&gt;&lt;contributors&gt;&lt;authors&gt;&lt;author&gt;Global Initiative for Asthma., &lt;/author&gt;&lt;/authors&gt;&lt;/contributors&gt;&lt;titles&gt;&lt;title&gt;Global Strategy for Asthma Management and Prevention.&lt;/title&gt;&lt;/titles&gt;&lt;number&gt;Accessed on: 12 May 2024&lt;/number&gt;&lt;dates&gt;&lt;year&gt;2024.&lt;/year&gt;&lt;/dates&gt;&lt;urls&gt;&lt;related-urls&gt;&lt;url&gt;www.ginasthma.org.&lt;/url&gt;&lt;/related-urls&gt;&lt;/urls&gt;&lt;/record&gt;&lt;/Cite&gt;&lt;/EndNote&gt;</w:instrText>
      </w:r>
      <w:r>
        <w:rPr>
          <w:color w:val="202122"/>
          <w:sz w:val="22"/>
          <w:szCs w:val="20"/>
          <w:shd w:val="clear" w:color="auto" w:fill="FFFFFF"/>
        </w:rPr>
        <w:fldChar w:fldCharType="separate"/>
      </w:r>
      <w:r>
        <w:rPr>
          <w:noProof/>
          <w:color w:val="202122"/>
          <w:sz w:val="22"/>
          <w:szCs w:val="20"/>
          <w:shd w:val="clear" w:color="auto" w:fill="FFFFFF"/>
        </w:rPr>
        <w:t>[24]</w:t>
      </w:r>
      <w:r>
        <w:rPr>
          <w:color w:val="202122"/>
          <w:sz w:val="22"/>
          <w:szCs w:val="20"/>
          <w:shd w:val="clear" w:color="auto" w:fill="FFFFFF"/>
        </w:rPr>
        <w:fldChar w:fldCharType="end"/>
      </w:r>
      <w:r w:rsidRPr="00ED682E">
        <w:rPr>
          <w:color w:val="202122"/>
          <w:sz w:val="22"/>
          <w:szCs w:val="20"/>
          <w:shd w:val="clear" w:color="auto" w:fill="FFFFFF"/>
        </w:rPr>
        <w:t>. Participants were asked for yes/no questions about symptom control experienced in the past four week</w:t>
      </w:r>
      <w:r>
        <w:rPr>
          <w:color w:val="202122"/>
          <w:sz w:val="22"/>
          <w:szCs w:val="20"/>
          <w:shd w:val="clear" w:color="auto" w:fill="FFFFFF"/>
        </w:rPr>
        <w:t>s</w:t>
      </w:r>
      <w:r w:rsidRPr="00ED682E">
        <w:rPr>
          <w:color w:val="202122"/>
          <w:sz w:val="22"/>
          <w:szCs w:val="20"/>
          <w:shd w:val="clear" w:color="auto" w:fill="FFFFFF"/>
        </w:rPr>
        <w:t xml:space="preserve"> if he/she had: 1) daytime asthma symptoms more than twice/week; 2) any night waking due to asthma; 3) use of a Short-Acting Beta-Agonist (SABA) reliever for symptoms more than twice/week; and 4) any activity limitation due to asthma. Based on their responses, participants’ asthma control was categorized as “well controlled” if no symptoms were reported, “partly controlled” if 1-2 symptoms were reported, and “uncontrolled” if 3-4 symptoms were reported.</w:t>
      </w:r>
    </w:p>
    <w:p w14:paraId="09704191" w14:textId="77777777" w:rsidR="009C6073" w:rsidRPr="00E74A31" w:rsidRDefault="009C6073" w:rsidP="009C6073">
      <w:pPr>
        <w:autoSpaceDE w:val="0"/>
        <w:autoSpaceDN w:val="0"/>
        <w:adjustRightInd w:val="0"/>
        <w:spacing w:line="360" w:lineRule="auto"/>
        <w:jc w:val="both"/>
        <w:rPr>
          <w:b/>
          <w:bCs/>
          <w:szCs w:val="22"/>
        </w:rPr>
      </w:pPr>
      <w:r w:rsidRPr="00E74A31">
        <w:rPr>
          <w:b/>
          <w:bCs/>
          <w:szCs w:val="22"/>
        </w:rPr>
        <w:t xml:space="preserve">Acute </w:t>
      </w:r>
      <w:r w:rsidRPr="00803850">
        <w:rPr>
          <w:b/>
          <w:bCs/>
          <w:iCs/>
          <w:szCs w:val="22"/>
        </w:rPr>
        <w:t xml:space="preserve">lymphoblastic </w:t>
      </w:r>
      <w:r>
        <w:rPr>
          <w:b/>
          <w:bCs/>
          <w:szCs w:val="22"/>
        </w:rPr>
        <w:t>leukaemia</w:t>
      </w:r>
      <w:r w:rsidRPr="00E74A31">
        <w:rPr>
          <w:b/>
          <w:bCs/>
          <w:szCs w:val="22"/>
        </w:rPr>
        <w:t xml:space="preserve"> treatment status classification</w:t>
      </w:r>
    </w:p>
    <w:p w14:paraId="32902082" w14:textId="77777777" w:rsidR="009C6073" w:rsidRPr="00ED682E" w:rsidRDefault="009C6073" w:rsidP="009C6073">
      <w:pPr>
        <w:autoSpaceDE w:val="0"/>
        <w:autoSpaceDN w:val="0"/>
        <w:adjustRightInd w:val="0"/>
        <w:spacing w:line="360" w:lineRule="auto"/>
        <w:jc w:val="both"/>
        <w:rPr>
          <w:color w:val="202122"/>
          <w:sz w:val="22"/>
          <w:szCs w:val="20"/>
          <w:shd w:val="clear" w:color="auto" w:fill="FFFFFF"/>
        </w:rPr>
      </w:pPr>
      <w:r w:rsidRPr="00ED682E">
        <w:rPr>
          <w:sz w:val="22"/>
          <w:szCs w:val="20"/>
        </w:rPr>
        <w:t xml:space="preserve">Acute </w:t>
      </w:r>
      <w:r w:rsidRPr="00ED682E">
        <w:rPr>
          <w:iCs/>
          <w:sz w:val="22"/>
          <w:szCs w:val="20"/>
        </w:rPr>
        <w:t xml:space="preserve">lymphoblastic </w:t>
      </w:r>
      <w:r w:rsidRPr="00ED682E">
        <w:rPr>
          <w:sz w:val="22"/>
          <w:szCs w:val="20"/>
        </w:rPr>
        <w:t>leukaemia</w:t>
      </w:r>
      <w:r w:rsidRPr="00ED682E" w:rsidDel="00C84FA0">
        <w:rPr>
          <w:color w:val="202122"/>
          <w:sz w:val="22"/>
          <w:szCs w:val="20"/>
          <w:shd w:val="clear" w:color="auto" w:fill="FFFFFF"/>
        </w:rPr>
        <w:t xml:space="preserve"> </w:t>
      </w:r>
      <w:r w:rsidRPr="00ED682E">
        <w:rPr>
          <w:color w:val="202122"/>
          <w:sz w:val="22"/>
          <w:szCs w:val="20"/>
          <w:shd w:val="clear" w:color="auto" w:fill="FFFFFF"/>
        </w:rPr>
        <w:t>patients were grouped according to their treatment status into three groups: on-treatment, on-follow-up (treatment completed), and relapse. These classifications were determined through medical chart review. Because patients in treatment or relapse group were expected to experience greater health instability, retest assessments for these groups were conducted two days after baseline, whereas reassessment for those on follow-up were conducted one week later.</w:t>
      </w:r>
    </w:p>
    <w:p w14:paraId="5E3BE3FB" w14:textId="77777777" w:rsidR="009C6073" w:rsidRPr="00E74A31" w:rsidRDefault="009C6073" w:rsidP="009C6073">
      <w:pPr>
        <w:spacing w:line="360" w:lineRule="auto"/>
        <w:jc w:val="both"/>
        <w:rPr>
          <w:b/>
          <w:bCs/>
          <w:color w:val="202122"/>
          <w:szCs w:val="22"/>
          <w:shd w:val="clear" w:color="auto" w:fill="FFFFFF"/>
        </w:rPr>
      </w:pPr>
      <w:r w:rsidRPr="00E74A31">
        <w:rPr>
          <w:b/>
          <w:bCs/>
          <w:color w:val="202122"/>
          <w:szCs w:val="22"/>
          <w:shd w:val="clear" w:color="auto" w:fill="FFFFFF"/>
        </w:rPr>
        <w:t>C</w:t>
      </w:r>
      <w:r>
        <w:rPr>
          <w:b/>
          <w:bCs/>
          <w:color w:val="202122"/>
          <w:szCs w:val="22"/>
          <w:shd w:val="clear" w:color="auto" w:fill="FFFFFF"/>
        </w:rPr>
        <w:t>ongestive heart failure</w:t>
      </w:r>
      <w:r w:rsidRPr="00E74A31">
        <w:rPr>
          <w:b/>
          <w:bCs/>
          <w:color w:val="202122"/>
          <w:szCs w:val="22"/>
          <w:shd w:val="clear" w:color="auto" w:fill="FFFFFF"/>
        </w:rPr>
        <w:t xml:space="preserve"> severity classification </w:t>
      </w:r>
    </w:p>
    <w:p w14:paraId="37EB6C6B" w14:textId="3AA5FC56" w:rsidR="0046056D" w:rsidRPr="0046056D" w:rsidRDefault="009C6073" w:rsidP="009C6073">
      <w:pPr>
        <w:spacing w:line="360" w:lineRule="auto"/>
        <w:jc w:val="both"/>
      </w:pPr>
      <w:r w:rsidRPr="00ED682E">
        <w:rPr>
          <w:color w:val="202122"/>
          <w:sz w:val="22"/>
          <w:szCs w:val="20"/>
          <w:shd w:val="clear" w:color="auto" w:fill="FFFFFF"/>
        </w:rPr>
        <w:t>CHF severity was categorized using the New York Heart Association (NYHA) functional classification based on limitation in physical activities and the presence of symptoms (fatigue, palpitation, dyspnoea, or angina). Children were classified as class I: no limitation with physical activities, class II: experience symptoms with moderate exertion, none at rest, class III: symptoms with minimal exertion that interfere with daily activities, and class IV: unable to carry out any physical activity, symptoms at rest that worsen with any physical activity. Data on NYHA classification were obtained from participants’ clinical charts</w:t>
      </w:r>
      <w:r w:rsidR="0046056D">
        <w:rPr>
          <w:color w:val="202122"/>
          <w:szCs w:val="22"/>
          <w:shd w:val="clear" w:color="auto" w:fill="FFFFFF"/>
        </w:rPr>
        <w:t>.</w:t>
      </w:r>
      <w:r w:rsidR="0046056D" w:rsidRPr="0046056D">
        <w:t xml:space="preserve"> </w:t>
      </w:r>
    </w:p>
    <w:sectPr w:rsidR="0046056D" w:rsidRPr="0046056D" w:rsidSect="00380EE1">
      <w:pgSz w:w="11906" w:h="16838"/>
      <w:pgMar w:top="1440" w:right="1440" w:bottom="1440" w:left="1440" w:header="1361" w:footer="136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56D"/>
    <w:rsid w:val="0001077B"/>
    <w:rsid w:val="000D32C3"/>
    <w:rsid w:val="00106913"/>
    <w:rsid w:val="00117AEB"/>
    <w:rsid w:val="0012123B"/>
    <w:rsid w:val="0013623D"/>
    <w:rsid w:val="001834DA"/>
    <w:rsid w:val="00186B85"/>
    <w:rsid w:val="001A5999"/>
    <w:rsid w:val="001B724B"/>
    <w:rsid w:val="0021445D"/>
    <w:rsid w:val="00247C21"/>
    <w:rsid w:val="00275DE2"/>
    <w:rsid w:val="002F2730"/>
    <w:rsid w:val="00301C1E"/>
    <w:rsid w:val="00311A01"/>
    <w:rsid w:val="00312CD4"/>
    <w:rsid w:val="00380EE1"/>
    <w:rsid w:val="003A1045"/>
    <w:rsid w:val="003B4E4A"/>
    <w:rsid w:val="003D1102"/>
    <w:rsid w:val="004044B8"/>
    <w:rsid w:val="00410A89"/>
    <w:rsid w:val="00437243"/>
    <w:rsid w:val="00437B44"/>
    <w:rsid w:val="0046056D"/>
    <w:rsid w:val="00470051"/>
    <w:rsid w:val="004A34A4"/>
    <w:rsid w:val="004B1C43"/>
    <w:rsid w:val="004D437D"/>
    <w:rsid w:val="00566036"/>
    <w:rsid w:val="005701B6"/>
    <w:rsid w:val="00575C4A"/>
    <w:rsid w:val="005A7834"/>
    <w:rsid w:val="005A79A8"/>
    <w:rsid w:val="005C6A13"/>
    <w:rsid w:val="005D25E7"/>
    <w:rsid w:val="00603FA5"/>
    <w:rsid w:val="00672F3B"/>
    <w:rsid w:val="006921E8"/>
    <w:rsid w:val="006A13F5"/>
    <w:rsid w:val="006A3494"/>
    <w:rsid w:val="006B5687"/>
    <w:rsid w:val="006C0477"/>
    <w:rsid w:val="00705C37"/>
    <w:rsid w:val="007213E4"/>
    <w:rsid w:val="00734173"/>
    <w:rsid w:val="00757361"/>
    <w:rsid w:val="007639C8"/>
    <w:rsid w:val="007644A2"/>
    <w:rsid w:val="00796C28"/>
    <w:rsid w:val="007B5747"/>
    <w:rsid w:val="007D464A"/>
    <w:rsid w:val="007E77A5"/>
    <w:rsid w:val="0080521A"/>
    <w:rsid w:val="00822733"/>
    <w:rsid w:val="00860FB3"/>
    <w:rsid w:val="0086688D"/>
    <w:rsid w:val="008776C1"/>
    <w:rsid w:val="008938DF"/>
    <w:rsid w:val="00900BA8"/>
    <w:rsid w:val="0093657B"/>
    <w:rsid w:val="00947B6D"/>
    <w:rsid w:val="0098318C"/>
    <w:rsid w:val="009A2E1F"/>
    <w:rsid w:val="009C6073"/>
    <w:rsid w:val="009F7789"/>
    <w:rsid w:val="00A36E71"/>
    <w:rsid w:val="00AC6DB9"/>
    <w:rsid w:val="00AC6E63"/>
    <w:rsid w:val="00B00F2A"/>
    <w:rsid w:val="00B43344"/>
    <w:rsid w:val="00B579DE"/>
    <w:rsid w:val="00B643F7"/>
    <w:rsid w:val="00BA6848"/>
    <w:rsid w:val="00BC762F"/>
    <w:rsid w:val="00C07A17"/>
    <w:rsid w:val="00C45346"/>
    <w:rsid w:val="00C51C5C"/>
    <w:rsid w:val="00C52D72"/>
    <w:rsid w:val="00C978C1"/>
    <w:rsid w:val="00D17083"/>
    <w:rsid w:val="00D26BFB"/>
    <w:rsid w:val="00D73190"/>
    <w:rsid w:val="00DB0C2B"/>
    <w:rsid w:val="00E05A51"/>
    <w:rsid w:val="00E368EA"/>
    <w:rsid w:val="00E660C9"/>
    <w:rsid w:val="00E83A8E"/>
    <w:rsid w:val="00EA092B"/>
    <w:rsid w:val="00EC62AC"/>
    <w:rsid w:val="00EE6284"/>
    <w:rsid w:val="00F0462B"/>
    <w:rsid w:val="00F33E0E"/>
    <w:rsid w:val="00F35319"/>
    <w:rsid w:val="00F6204A"/>
    <w:rsid w:val="00F64906"/>
    <w:rsid w:val="00F83005"/>
    <w:rsid w:val="00F942EE"/>
    <w:rsid w:val="00FC530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0171CB47"/>
  <w15:chartTrackingRefBased/>
  <w15:docId w15:val="{709D72AF-61E5-4748-9A60-8FA4CFD37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56D"/>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qFormat/>
    <w:rsid w:val="004605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4605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4605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05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5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5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5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5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5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5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05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4605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5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5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5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5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5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56D"/>
    <w:rPr>
      <w:rFonts w:eastAsiaTheme="majorEastAsia" w:cstheme="majorBidi"/>
      <w:color w:val="272727" w:themeColor="text1" w:themeTint="D8"/>
    </w:rPr>
  </w:style>
  <w:style w:type="paragraph" w:styleId="Title">
    <w:name w:val="Title"/>
    <w:basedOn w:val="Normal"/>
    <w:next w:val="Normal"/>
    <w:link w:val="TitleChar"/>
    <w:uiPriority w:val="10"/>
    <w:qFormat/>
    <w:rsid w:val="004605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5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5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56D"/>
    <w:pPr>
      <w:spacing w:before="160"/>
      <w:jc w:val="center"/>
    </w:pPr>
    <w:rPr>
      <w:i/>
      <w:iCs/>
      <w:color w:val="404040" w:themeColor="text1" w:themeTint="BF"/>
    </w:rPr>
  </w:style>
  <w:style w:type="character" w:customStyle="1" w:styleId="QuoteChar">
    <w:name w:val="Quote Char"/>
    <w:basedOn w:val="DefaultParagraphFont"/>
    <w:link w:val="Quote"/>
    <w:uiPriority w:val="29"/>
    <w:rsid w:val="0046056D"/>
    <w:rPr>
      <w:i/>
      <w:iCs/>
      <w:color w:val="404040" w:themeColor="text1" w:themeTint="BF"/>
    </w:rPr>
  </w:style>
  <w:style w:type="paragraph" w:styleId="ListParagraph">
    <w:name w:val="List Paragraph"/>
    <w:basedOn w:val="Normal"/>
    <w:uiPriority w:val="34"/>
    <w:qFormat/>
    <w:rsid w:val="0046056D"/>
    <w:pPr>
      <w:ind w:left="720"/>
      <w:contextualSpacing/>
    </w:pPr>
  </w:style>
  <w:style w:type="character" w:styleId="IntenseEmphasis">
    <w:name w:val="Intense Emphasis"/>
    <w:basedOn w:val="DefaultParagraphFont"/>
    <w:uiPriority w:val="21"/>
    <w:qFormat/>
    <w:rsid w:val="0046056D"/>
    <w:rPr>
      <w:i/>
      <w:iCs/>
      <w:color w:val="0F4761" w:themeColor="accent1" w:themeShade="BF"/>
    </w:rPr>
  </w:style>
  <w:style w:type="paragraph" w:styleId="IntenseQuote">
    <w:name w:val="Intense Quote"/>
    <w:basedOn w:val="Normal"/>
    <w:next w:val="Normal"/>
    <w:link w:val="IntenseQuoteChar"/>
    <w:uiPriority w:val="30"/>
    <w:qFormat/>
    <w:rsid w:val="00460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56D"/>
    <w:rPr>
      <w:i/>
      <w:iCs/>
      <w:color w:val="0F4761" w:themeColor="accent1" w:themeShade="BF"/>
    </w:rPr>
  </w:style>
  <w:style w:type="character" w:styleId="IntenseReference">
    <w:name w:val="Intense Reference"/>
    <w:basedOn w:val="DefaultParagraphFont"/>
    <w:uiPriority w:val="32"/>
    <w:qFormat/>
    <w:rsid w:val="004605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452</Words>
  <Characters>2581</Characters>
  <Application>Microsoft Office Word</Application>
  <DocSecurity>0</DocSecurity>
  <Lines>21</Lines>
  <Paragraphs>6</Paragraphs>
  <ScaleCrop>false</ScaleCrop>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Goitom Takele</dc:creator>
  <cp:keywords/>
  <dc:description/>
  <cp:lastModifiedBy>Goitom Takele</cp:lastModifiedBy>
  <cp:revision>3</cp:revision>
  <dcterms:created xsi:type="dcterms:W3CDTF">2026-04-11T07:09:00Z</dcterms:created>
  <dcterms:modified xsi:type="dcterms:W3CDTF">2026-04-23T07:44:00Z</dcterms:modified>
</cp:coreProperties>
</file>