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2A6" w:rsidRPr="00C642A6" w:rsidRDefault="00C642A6" w:rsidP="001C4F78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proofErr w:type="gramStart"/>
      <w:r w:rsidRPr="00C642A6">
        <w:rPr>
          <w:rFonts w:ascii="Times New Roman" w:hAnsi="Times New Roman" w:cs="Times New Roman"/>
          <w:b/>
          <w:kern w:val="0"/>
          <w:sz w:val="24"/>
          <w:szCs w:val="24"/>
        </w:rPr>
        <w:t>Additional file 3</w:t>
      </w:r>
      <w:r w:rsidRPr="00C642A6">
        <w:rPr>
          <w:rFonts w:ascii="Times New Roman" w:eastAsia="宋体" w:hAnsi="Times New Roman" w:cs="Times New Roman"/>
          <w:b/>
          <w:sz w:val="24"/>
          <w:szCs w:val="24"/>
        </w:rPr>
        <w:t>.</w:t>
      </w:r>
      <w:proofErr w:type="gramEnd"/>
      <w:r w:rsidRPr="00C642A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proofErr w:type="spellStart"/>
      <w:r w:rsidRPr="00C642A6">
        <w:rPr>
          <w:rFonts w:ascii="Times New Roman" w:eastAsia="宋体" w:hAnsi="Times New Roman" w:cs="Times New Roman"/>
          <w:b/>
          <w:sz w:val="24"/>
          <w:szCs w:val="24"/>
        </w:rPr>
        <w:t>Clinicopathologic</w:t>
      </w:r>
      <w:proofErr w:type="spellEnd"/>
      <w:r w:rsidRPr="00C642A6">
        <w:rPr>
          <w:rFonts w:ascii="Times New Roman" w:eastAsia="宋体" w:hAnsi="Times New Roman" w:cs="Times New Roman"/>
          <w:b/>
          <w:sz w:val="24"/>
          <w:szCs w:val="24"/>
        </w:rPr>
        <w:t xml:space="preserve"> characteristics between patients with 1-2 and ≥ 3 ALN metastasis</w:t>
      </w:r>
    </w:p>
    <w:tbl>
      <w:tblPr>
        <w:tblStyle w:val="a4"/>
        <w:tblW w:w="5320" w:type="pct"/>
        <w:tblInd w:w="-31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1846"/>
        <w:gridCol w:w="1980"/>
        <w:gridCol w:w="1278"/>
      </w:tblGrid>
      <w:tr w:rsidR="00C642A6" w:rsidRPr="00C642A6" w:rsidTr="0088527B">
        <w:tc>
          <w:tcPr>
            <w:tcW w:w="2188" w:type="pct"/>
            <w:vMerge w:val="restart"/>
            <w:tcBorders>
              <w:top w:val="single" w:sz="4" w:space="0" w:color="auto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10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Case No. (%)</w:t>
            </w: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Merge/>
            <w:tcBorders>
              <w:bottom w:val="single" w:sz="4" w:space="0" w:color="auto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ALN 1-2+</w:t>
            </w:r>
          </w:p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(N = 248)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ALN ≥ 3+</w:t>
            </w:r>
          </w:p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(N = 140)</w:t>
            </w:r>
          </w:p>
        </w:tc>
        <w:tc>
          <w:tcPr>
            <w:tcW w:w="704" w:type="pct"/>
            <w:tcBorders>
              <w:top w:val="nil"/>
              <w:bottom w:val="single" w:sz="4" w:space="0" w:color="auto"/>
            </w:tcBorders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C642A6" w:rsidRPr="00C642A6" w:rsidTr="0088527B">
        <w:tc>
          <w:tcPr>
            <w:tcW w:w="2188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ALN metastasis identified by</w:t>
            </w:r>
          </w:p>
        </w:tc>
        <w:tc>
          <w:tcPr>
            <w:tcW w:w="101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&lt; 0.001</w:t>
            </w:r>
          </w:p>
        </w:tc>
      </w:tr>
      <w:tr w:rsidR="00C642A6" w:rsidRPr="00C642A6" w:rsidTr="0088527B">
        <w:tc>
          <w:tcPr>
            <w:tcW w:w="2188" w:type="pct"/>
            <w:tcBorders>
              <w:top w:val="nil"/>
            </w:tcBorders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FNA</w:t>
            </w:r>
          </w:p>
        </w:tc>
        <w:tc>
          <w:tcPr>
            <w:tcW w:w="1017" w:type="pct"/>
            <w:tcBorders>
              <w:top w:val="nil"/>
            </w:tcBorders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84 (33.87)</w:t>
            </w:r>
          </w:p>
        </w:tc>
        <w:tc>
          <w:tcPr>
            <w:tcW w:w="1091" w:type="pct"/>
            <w:tcBorders>
              <w:top w:val="nil"/>
            </w:tcBorders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118 (84.29)</w:t>
            </w:r>
          </w:p>
        </w:tc>
        <w:tc>
          <w:tcPr>
            <w:tcW w:w="704" w:type="pct"/>
            <w:tcBorders>
              <w:top w:val="nil"/>
            </w:tcBorders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SLNB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164 (66.13)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22 (15.71)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Age [mean (range)] (year)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54.65 (31-84)</w:t>
            </w: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53.91 (31-78)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0.508</w:t>
            </w: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Tumor stage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0.005</w:t>
            </w: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T1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101 (40.73)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37 (26.43)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T2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147 (59.27)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103 (73.57)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Number of suspicious ALNs at ultrasound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&lt; 0.001</w:t>
            </w: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≤ 1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175 (70.56)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32 (22.86)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&gt; 1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73 (29.44)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108 (77.14)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92"/>
            <w:bookmarkStart w:id="1" w:name="OLE_LINK93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Fatty </w:t>
            </w:r>
            <w:proofErr w:type="spellStart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hilum</w:t>
            </w:r>
            <w:bookmarkEnd w:id="0"/>
            <w:bookmarkEnd w:id="1"/>
            <w:proofErr w:type="spellEnd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at </w:t>
            </w:r>
            <w:proofErr w:type="spellStart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axillary</w:t>
            </w:r>
            <w:proofErr w:type="spellEnd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ultrasound*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0.463</w:t>
            </w: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38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36.54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50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41.32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66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63.46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71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58.68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OLE_LINK96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Thickness of the cortex</w:t>
            </w:r>
            <w:bookmarkEnd w:id="2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at ultrasound (mm)*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0.037</w:t>
            </w: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≤ 3.5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43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41.35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34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28.10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&gt; 3.5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61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58.65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87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71.90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Pathological type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0.522</w:t>
            </w: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 xml:space="preserve">Invasive </w:t>
            </w:r>
            <w:proofErr w:type="spellStart"/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ductal</w:t>
            </w:r>
            <w:proofErr w:type="spellEnd"/>
            <w:r w:rsidRPr="00C642A6">
              <w:rPr>
                <w:rFonts w:ascii="Times New Roman" w:hAnsi="Times New Roman" w:cs="Times New Roman"/>
                <w:sz w:val="24"/>
                <w:szCs w:val="24"/>
              </w:rPr>
              <w:t xml:space="preserve"> carcinoma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234 (94.35)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135 (96.43)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Invasive lobular carcinoma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8 (3.23)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 (1.43)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6 (2.42)</w:t>
            </w:r>
          </w:p>
        </w:tc>
        <w:tc>
          <w:tcPr>
            <w:tcW w:w="1091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 (2.14)</w:t>
            </w:r>
          </w:p>
        </w:tc>
        <w:tc>
          <w:tcPr>
            <w:tcW w:w="704" w:type="pct"/>
            <w:shd w:val="clear" w:color="auto" w:fill="FFFFFF" w:themeFill="background1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Histological grade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0.002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12 (4.84)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 (2.14)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130 (52.42)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52 (37.14)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106 (42.74)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85 (60.71)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LVI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&lt; 0.001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225 (90.73)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100 (71.43)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23 (9.27)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40 (28.57)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Multifocality</w:t>
            </w:r>
            <w:proofErr w:type="spellEnd"/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0.003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Unifocal</w:t>
            </w:r>
            <w:proofErr w:type="spellEnd"/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230 (92.74)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116 (82.86)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Multifocal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18 (7.26)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24 (17.14)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ER status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0.102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51 (20.56)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39 (27.86)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197 (79.44)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101 (72.14)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OLE_LINK196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>Progesterone receptor</w:t>
            </w:r>
            <w:bookmarkEnd w:id="3"/>
            <w:r w:rsidRPr="00C64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status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0.058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79 (31.85)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58 (41.43)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169 (68.15)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82 (58.57)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HER2 status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0.022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196 (79.03)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96 (68.57)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52 (20.97)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44 (31.43)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Ki67 (%, mean)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0.019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&lt; 14%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83 (33.47)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31 (22.14)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≥ 14%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165 (66.53)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109 (77.86)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Molecular subtypes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0.098</w:t>
            </w: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Luminal A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57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22.98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21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Luminal B-HER2 negative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116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46.77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63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45.00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Luminal B-HER2 positive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25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10.08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17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12.14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HER2 positive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27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10.89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27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19.29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642A6" w:rsidRPr="00C642A6" w:rsidTr="0088527B">
        <w:tc>
          <w:tcPr>
            <w:tcW w:w="2188" w:type="pct"/>
            <w:vAlign w:val="center"/>
          </w:tcPr>
          <w:p w:rsidR="00C642A6" w:rsidRPr="00C642A6" w:rsidRDefault="00C642A6" w:rsidP="00C642A6">
            <w:pPr>
              <w:spacing w:line="276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Triple negative</w:t>
            </w:r>
          </w:p>
        </w:tc>
        <w:tc>
          <w:tcPr>
            <w:tcW w:w="1017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23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9.27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12 (</w:t>
            </w:r>
            <w:r w:rsidRPr="00C6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8.57</w:t>
            </w:r>
            <w:r w:rsidRPr="00C642A6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4" w:type="pct"/>
            <w:vAlign w:val="center"/>
          </w:tcPr>
          <w:p w:rsidR="00C642A6" w:rsidRPr="00C642A6" w:rsidRDefault="00C642A6" w:rsidP="00C642A6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C642A6" w:rsidRPr="00C642A6" w:rsidRDefault="00C642A6" w:rsidP="001C4F78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C642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ALN </w:t>
      </w:r>
      <w:proofErr w:type="spellStart"/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>axillary</w:t>
      </w:r>
      <w:proofErr w:type="spellEnd"/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lymph node, </w:t>
      </w:r>
      <w:r w:rsidRPr="00C642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FNA </w:t>
      </w:r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>fine-needle aspiration,</w:t>
      </w:r>
      <w:r w:rsidRPr="00C642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SLNB </w:t>
      </w:r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sentinel lymph node biopsy, </w:t>
      </w:r>
      <w:r w:rsidRPr="00C642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LVI </w:t>
      </w:r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lymph vascular invasion, </w:t>
      </w:r>
      <w:r w:rsidRPr="00C642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ER</w:t>
      </w:r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estrogen receptor, </w:t>
      </w:r>
      <w:r w:rsidRPr="00C642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HER2</w:t>
      </w:r>
      <w:r w:rsidRPr="00C642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human epidermal growth factor receptor type 2</w:t>
      </w:r>
    </w:p>
    <w:p w:rsidR="008B488A" w:rsidRPr="00C642A6" w:rsidRDefault="00C642A6" w:rsidP="001C4F78">
      <w:pPr>
        <w:tabs>
          <w:tab w:val="left" w:pos="1352"/>
        </w:tabs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642A6">
        <w:rPr>
          <w:rFonts w:ascii="Times New Roman" w:hAnsi="Times New Roman" w:cs="Times New Roman"/>
          <w:sz w:val="24"/>
          <w:szCs w:val="24"/>
        </w:rPr>
        <w:t>*225 patients with suspicious ALN at ultrasound were evaluated for this characteristic</w:t>
      </w:r>
    </w:p>
    <w:sectPr w:rsidR="008B488A" w:rsidRPr="00C642A6" w:rsidSect="006341A1">
      <w:pgSz w:w="11906" w:h="16838" w:code="9"/>
      <w:pgMar w:top="1440" w:right="1797" w:bottom="1440" w:left="1797" w:header="851" w:footer="992" w:gutter="0"/>
      <w:cols w:space="425"/>
      <w:docGrid w:type="linesAndChar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42A6"/>
    <w:rsid w:val="001C4F78"/>
    <w:rsid w:val="00202C5F"/>
    <w:rsid w:val="00243413"/>
    <w:rsid w:val="002908F8"/>
    <w:rsid w:val="002C678A"/>
    <w:rsid w:val="0037231B"/>
    <w:rsid w:val="005C3D71"/>
    <w:rsid w:val="005F3FE1"/>
    <w:rsid w:val="006D7B18"/>
    <w:rsid w:val="0073441F"/>
    <w:rsid w:val="007D2599"/>
    <w:rsid w:val="007F7CD9"/>
    <w:rsid w:val="00851E72"/>
    <w:rsid w:val="008B45ED"/>
    <w:rsid w:val="008B488A"/>
    <w:rsid w:val="00B97585"/>
    <w:rsid w:val="00C3370A"/>
    <w:rsid w:val="00C642A6"/>
    <w:rsid w:val="00D02F9B"/>
    <w:rsid w:val="00DC65A2"/>
    <w:rsid w:val="00EB1AE6"/>
    <w:rsid w:val="00F4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2A6"/>
    <w:pPr>
      <w:widowControl w:val="0"/>
      <w:spacing w:line="240" w:lineRule="auto"/>
    </w:pPr>
    <w:rPr>
      <w:rFonts w:asciiTheme="minorHAnsi" w:eastAsiaTheme="minorEastAsia" w:hAnsiTheme="minorHAns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70A"/>
    <w:pPr>
      <w:spacing w:line="360" w:lineRule="auto"/>
      <w:ind w:firstLineChars="200" w:firstLine="420"/>
    </w:pPr>
    <w:rPr>
      <w:rFonts w:ascii="Times New Roman" w:eastAsia="宋体" w:hAnsi="Times New Roman"/>
      <w:sz w:val="24"/>
    </w:rPr>
  </w:style>
  <w:style w:type="table" w:styleId="a4">
    <w:name w:val="Table Grid"/>
    <w:basedOn w:val="a1"/>
    <w:uiPriority w:val="39"/>
    <w:rsid w:val="00C642A6"/>
    <w:pPr>
      <w:spacing w:line="240" w:lineRule="auto"/>
      <w:jc w:val="left"/>
    </w:pPr>
    <w:rPr>
      <w:rFonts w:asciiTheme="minorHAnsi" w:eastAsiaTheme="minorEastAsia" w:hAnsiTheme="minorHAnsi"/>
      <w:sz w:val="21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</cp:revision>
  <dcterms:created xsi:type="dcterms:W3CDTF">2018-09-01T03:33:00Z</dcterms:created>
  <dcterms:modified xsi:type="dcterms:W3CDTF">2018-09-01T03:35:00Z</dcterms:modified>
</cp:coreProperties>
</file>