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4"/>
          <w:rFonts w:hint="eastAsia" w:ascii="Times New Roman" w:hAnsi="Times New Roman" w:eastAsia="宋体" w:cs="Times New Roman"/>
          <w:lang w:val="en-US" w:eastAsia="zh-CN"/>
        </w:rPr>
      </w:pPr>
      <w:r>
        <w:rPr>
          <w:rStyle w:val="4"/>
          <w:rFonts w:hint="eastAsia" w:ascii="Times New Roman" w:hAnsi="Times New Roman" w:eastAsia="宋体" w:cs="Times New Roman"/>
          <w:lang w:val="en-US" w:eastAsia="zh-CN"/>
        </w:rPr>
        <w:t xml:space="preserve">Additional  Table 1. </w:t>
      </w:r>
      <w:bookmarkStart w:id="0" w:name="_GoBack"/>
      <w:bookmarkEnd w:id="0"/>
      <w:r>
        <w:rPr>
          <w:rStyle w:val="4"/>
          <w:rFonts w:hint="eastAsia" w:ascii="Times New Roman" w:hAnsi="Times New Roman" w:eastAsia="宋体" w:cs="Times New Roman"/>
          <w:lang w:val="en-US" w:eastAsia="zh-CN"/>
        </w:rPr>
        <w:t>T</w:t>
      </w:r>
      <w:r>
        <w:rPr>
          <w:rStyle w:val="4"/>
          <w:rFonts w:hint="default" w:ascii="Times New Roman" w:hAnsi="Times New Roman" w:cs="Times New Roman"/>
        </w:rPr>
        <w:t>he current staging criteria for colorectal cancer</w:t>
      </w:r>
      <w:r>
        <w:rPr>
          <w:rStyle w:val="4"/>
          <w:rFonts w:hint="eastAsia" w:ascii="Times New Roman" w:hAnsi="Times New Roman" w:eastAsia="宋体" w:cs="Times New Roman"/>
          <w:lang w:val="en-US" w:eastAsia="zh-CN"/>
        </w:rPr>
        <w:t>. (AJCC 8th)</w:t>
      </w:r>
    </w:p>
    <w:p>
      <w:pPr>
        <w:rPr>
          <w:rStyle w:val="4"/>
          <w:rFonts w:hint="default" w:ascii="Times New Roman" w:hAnsi="Times New Roman" w:eastAsia="宋体" w:cs="Times New Roman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Style w:val="4"/>
          <w:rFonts w:hint="default" w:ascii="Times New Roman" w:hAnsi="Times New Roman" w:cs="Times New Roman"/>
        </w:rPr>
        <w:t>Definition of Primary Tumor (T)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tbl>
      <w:tblPr>
        <w:tblStyle w:val="2"/>
        <w:tblW w:w="862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746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 Category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T Criteria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TX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Primary tumor cannot be assessed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T0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No evidence of primary tumor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Tis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Carcinoma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 xml:space="preserve">in situ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(intramucosal carcinoma;invasion of the lamina propria or extension into but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not through the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muscularis mucosae)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Tis(LAMN)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Low-grade appendiceal mucinous neoplasm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confined by the muscularis propria. Acellular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mucin or mucinous epithelium may invade into the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muscularis propria.T1 and T2 are not applicable to LAMN. Acellular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mucin or mucinous epithelium that extends into the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subserosa or serosa should be classified as T3 or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T4a, respectively.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T1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invades the submucosa (through the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muscularis mucosa but not into the muscularis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propria)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T2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invades the muscularis propria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T3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invades through the muscularis propria into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the subserosa or the mesoappendix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T4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invades the visceral peritoneum, including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the acellular mucin or mucinous epithelium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involving the serosa of the appendix or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mesoappendix, and/or directly invades adjacent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organs or structures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T4a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invades through the visceral peritoneum,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including the acellular mucin or mucinous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epithelium involving the serosa of the appendix or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serosa of the mesoappendix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 xml:space="preserve">T4b </w:t>
            </w:r>
          </w:p>
        </w:tc>
        <w:tc>
          <w:tcPr>
            <w:tcW w:w="7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Tumor directly invades or adheres to adjacent</w:t>
            </w: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organs or structures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Style w:val="4"/>
          <w:rFonts w:hint="default" w:ascii="Times New Roman" w:hAnsi="Times New Roman" w:cs="Times New Roman"/>
          <w:i w:val="0"/>
          <w:iCs w:val="0"/>
          <w:color w:val="231F20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olor w:val="231F20"/>
        </w:rPr>
        <w:t xml:space="preserve">Definition of Regional Lymph Node (N) </w:t>
      </w:r>
    </w:p>
    <w:tbl>
      <w:tblPr>
        <w:tblStyle w:val="2"/>
        <w:tblW w:w="862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747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Category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 Criteria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NX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Regional lymph nodes cannot be assessed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No regional lymph node metastasis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One to three regional lymph nodes are positive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(tumor in lymph node measuring </w:t>
            </w:r>
            <w:r>
              <w:rPr>
                <w:rFonts w:hint="default" w:ascii="Times New Roman" w:hAnsi="Times New Roman" w:eastAsia="STIXGeneral-Regular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0.2 mm) or any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number of tumor deposits is present, and all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identifiable lymph nodes are negative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N1a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One regional lymph node is positive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N1b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Two or three regional lymph nodes are positive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N1c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No regional lymph nodes are positive, but there are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tumor deposits in the subserosa or mesentery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N2 </w:t>
            </w:r>
          </w:p>
        </w:tc>
        <w:tc>
          <w:tcPr>
            <w:tcW w:w="7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Four or more regional lymph nodes are positive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Style w:val="4"/>
          <w:rFonts w:hint="default" w:ascii="Times New Roman" w:hAnsi="Times New Roman" w:cs="Times New Roman"/>
          <w:i w:val="0"/>
          <w:iCs w:val="0"/>
          <w:color w:val="231F20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olor w:val="231F20"/>
          <w:lang w:val="en-US" w:eastAsia="zh-CN"/>
        </w:rPr>
        <w:t>Definition of Distant Metastasis (M)</w:t>
      </w:r>
    </w:p>
    <w:tbl>
      <w:tblPr>
        <w:tblStyle w:val="2"/>
        <w:tblW w:w="862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751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 Category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M Criteria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No distant metastasis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Distant metastasis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M1a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Intraperitoneal acellular mucin, without identifiable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tumor cells in the disseminated peritoneal mucinous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deposits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M1b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Intraperitoneal metastasis only, including peritoneal</w:t>
            </w:r>
            <w:r>
              <w:rPr>
                <w:rFonts w:hint="eastAsia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mucinous deposits containing tumor cells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M1c 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Metastasis to sites other than peritoneum</w:t>
            </w:r>
          </w:p>
        </w:tc>
      </w:tr>
    </w:tbl>
    <w:p>
      <w:pPr>
        <w:rPr>
          <w:rStyle w:val="4"/>
          <w:rFonts w:hint="default" w:ascii="Times New Roman" w:hAnsi="Times New Roman" w:cs="Times New Roman"/>
          <w:i w:val="0"/>
          <w:iCs w:val="0"/>
          <w:color w:val="231F20"/>
          <w:lang w:val="en-US" w:eastAsia="zh-CN"/>
        </w:rPr>
      </w:pPr>
    </w:p>
    <w:p>
      <w:pPr>
        <w:rPr>
          <w:rStyle w:val="4"/>
          <w:rFonts w:hint="default" w:ascii="Times New Roman" w:hAnsi="Times New Roman" w:cs="Times New Roman"/>
          <w:i w:val="0"/>
          <w:iCs w:val="0"/>
          <w:color w:val="231F20"/>
          <w:lang w:val="en-US" w:eastAsia="zh-CN"/>
        </w:rPr>
      </w:pPr>
      <w:r>
        <w:rPr>
          <w:rStyle w:val="4"/>
          <w:rFonts w:hint="default" w:ascii="Times New Roman" w:hAnsi="Times New Roman" w:cs="Times New Roman"/>
          <w:i w:val="0"/>
          <w:iCs w:val="0"/>
          <w:color w:val="231F20"/>
          <w:lang w:val="en-US" w:eastAsia="zh-CN"/>
        </w:rPr>
        <w:t>AJCC PROGNOSTIC STAGE GROUPS</w:t>
      </w:r>
    </w:p>
    <w:tbl>
      <w:tblPr>
        <w:tblStyle w:val="2"/>
        <w:tblW w:w="862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724"/>
        <w:gridCol w:w="1724"/>
        <w:gridCol w:w="1724"/>
        <w:gridCol w:w="17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When T is…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N is…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 is…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And grade is…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Then the</w:t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stage</w:t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-Bold" w:cs="Times New Roman"/>
                <w:b/>
                <w:bCs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group is…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Tis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Tis(LAMN)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T2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T3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IIA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T4a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IIB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T4b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IIC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IIIA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T2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IIIA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T3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IIIB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T4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IIIB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T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N2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M0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IIIC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T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N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M1a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IVA</w:t>
            </w:r>
          </w:p>
        </w:tc>
        <w:tc>
          <w:tcPr>
            <w:tcW w:w="1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T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N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M1b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G1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IVA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T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N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M1b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G2, G3, or GX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IVB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T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N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M1c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 xml:space="preserve">Any G 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-Roman" w:cs="Times New Roman"/>
                <w:b w:val="0"/>
                <w:bCs w:val="0"/>
                <w:i w:val="0"/>
                <w:iCs w:val="0"/>
                <w:color w:val="231F20"/>
                <w:kern w:val="0"/>
                <w:sz w:val="18"/>
                <w:szCs w:val="18"/>
                <w:lang w:val="en-US" w:eastAsia="zh-CN" w:bidi="ar"/>
              </w:rPr>
              <w:t>IVC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Style w:val="4"/>
          <w:rFonts w:hint="default" w:ascii="Times New Roman" w:hAnsi="Times New Roman" w:cs="Times New Roman"/>
          <w:i w:val="0"/>
          <w:iCs w:val="0"/>
          <w:color w:val="231F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riad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IXGeneral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F553E"/>
    <w:rsid w:val="2B69771A"/>
    <w:rsid w:val="3B087904"/>
    <w:rsid w:val="4D937DFC"/>
    <w:rsid w:val="51924DD3"/>
    <w:rsid w:val="59D35B1C"/>
    <w:rsid w:val="7424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uiPriority w:val="0"/>
    <w:rPr>
      <w:rFonts w:ascii="Myriad-Bold" w:hAnsi="Myriad-Bold" w:eastAsia="Myriad-Bold" w:cs="Myriad-Bold"/>
      <w:b/>
      <w:bCs/>
      <w:color w:val="231F20"/>
      <w:sz w:val="22"/>
      <w:szCs w:val="22"/>
    </w:rPr>
  </w:style>
  <w:style w:type="character" w:customStyle="1" w:styleId="5">
    <w:name w:val="fontstyle21"/>
    <w:basedOn w:val="3"/>
    <w:uiPriority w:val="0"/>
    <w:rPr>
      <w:rFonts w:ascii="Times-Roman" w:hAnsi="Times-Roman" w:eastAsia="Times-Roman" w:cs="Times-Roman"/>
      <w:color w:val="231F20"/>
      <w:sz w:val="18"/>
      <w:szCs w:val="18"/>
    </w:rPr>
  </w:style>
  <w:style w:type="character" w:customStyle="1" w:styleId="6">
    <w:name w:val="fontstyle31"/>
    <w:basedOn w:val="3"/>
    <w:uiPriority w:val="0"/>
    <w:rPr>
      <w:rFonts w:ascii="Times-Italic" w:hAnsi="Times-Italic" w:eastAsia="Times-Italic" w:cs="Times-Italic"/>
      <w:i/>
      <w:iCs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2021-12-27T14:32:00Z</dcterms:created>
  <dc:creator>吴文豪</dc:creator>
  <cp:lastModifiedBy>吴文豪</cp:lastModifiedBy>
  <dcterms:modified xsi:type="dcterms:W3CDTF">2021-12-28T13:13:31Z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57A66558F4954B74BD2A16908FC6117F</vt:lpwstr>
  </property>
</Properties>
</file>