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568"/>
      </w:tblGrid>
      <w:tr w:rsidR="00CB0E8C" w:rsidRPr="009C0AEE" w:rsidTr="00357C26">
        <w:tc>
          <w:tcPr>
            <w:tcW w:w="9212" w:type="dxa"/>
            <w:gridSpan w:val="2"/>
          </w:tcPr>
          <w:p w:rsidR="00CB0E8C" w:rsidRPr="009C0AEE" w:rsidRDefault="004C1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Supplementary </w:t>
            </w:r>
            <w:r w:rsidR="00CB0E8C" w:rsidRPr="009C0AEE">
              <w:rPr>
                <w:rFonts w:ascii="Times New Roman" w:hAnsi="Times New Roman" w:cs="Times New Roman"/>
                <w:i/>
                <w:sz w:val="24"/>
                <w:szCs w:val="24"/>
              </w:rPr>
              <w:t>Table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</w:t>
            </w:r>
            <w:bookmarkEnd w:id="0"/>
            <w:r w:rsidR="00CB0E8C" w:rsidRPr="009C0AEE">
              <w:rPr>
                <w:rFonts w:ascii="Times New Roman" w:hAnsi="Times New Roman" w:cs="Times New Roman"/>
                <w:i/>
                <w:sz w:val="24"/>
                <w:szCs w:val="24"/>
              </w:rPr>
              <w:t>. The fulfilment of EAU quality criteria.</w:t>
            </w: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CB0E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b/>
                <w:sz w:val="24"/>
                <w:szCs w:val="24"/>
              </w:rPr>
              <w:t>EAU quality Criteria</w:t>
            </w:r>
          </w:p>
        </w:tc>
        <w:tc>
          <w:tcPr>
            <w:tcW w:w="4568" w:type="dxa"/>
          </w:tcPr>
          <w:p w:rsidR="00CB0E8C" w:rsidRPr="009C0AEE" w:rsidRDefault="00CB0E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b/>
                <w:sz w:val="24"/>
                <w:szCs w:val="24"/>
              </w:rPr>
              <w:t>Compliance</w:t>
            </w: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CB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1. Define the method of accruing data</w:t>
            </w:r>
          </w:p>
        </w:tc>
        <w:tc>
          <w:tcPr>
            <w:tcW w:w="4568" w:type="dxa"/>
          </w:tcPr>
          <w:p w:rsidR="00CB0E8C" w:rsidRPr="009C0AEE" w:rsidRDefault="00357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 xml:space="preserve">Retrospective </w:t>
            </w:r>
            <w:r w:rsidR="008A1132" w:rsidRPr="009C0AEE">
              <w:rPr>
                <w:rFonts w:ascii="Times New Roman" w:hAnsi="Times New Roman" w:cs="Times New Roman"/>
                <w:sz w:val="24"/>
                <w:szCs w:val="24"/>
              </w:rPr>
              <w:t xml:space="preserve">digitalized </w:t>
            </w: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chart review</w:t>
            </w:r>
            <w:r w:rsidR="008A1132" w:rsidRPr="009C0AEE">
              <w:rPr>
                <w:rFonts w:ascii="Times New Roman" w:hAnsi="Times New Roman" w:cs="Times New Roman"/>
                <w:sz w:val="24"/>
                <w:szCs w:val="24"/>
              </w:rPr>
              <w:t xml:space="preserve"> of our medical records for inpatient, outpatient and the emergency clinics</w:t>
            </w: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8A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2. Define who collected the data</w:t>
            </w:r>
          </w:p>
        </w:tc>
        <w:tc>
          <w:tcPr>
            <w:tcW w:w="4568" w:type="dxa"/>
          </w:tcPr>
          <w:p w:rsidR="00CB0E8C" w:rsidRPr="009C0AEE" w:rsidRDefault="00BB56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A1132" w:rsidRPr="009C0AEE">
              <w:rPr>
                <w:rFonts w:ascii="Times New Roman" w:hAnsi="Times New Roman" w:cs="Times New Roman"/>
                <w:sz w:val="24"/>
                <w:szCs w:val="24"/>
              </w:rPr>
              <w:t>wo urology residents (BC, KC)</w:t>
            </w: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8A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3. Indicate the duration of follow-up</w:t>
            </w:r>
          </w:p>
        </w:tc>
        <w:tc>
          <w:tcPr>
            <w:tcW w:w="4568" w:type="dxa"/>
          </w:tcPr>
          <w:p w:rsidR="00CB0E8C" w:rsidRPr="009C0AEE" w:rsidRDefault="0073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30-day and 90-day after open radical cystectomy</w:t>
            </w: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73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4. Include outpatient information</w:t>
            </w:r>
          </w:p>
        </w:tc>
        <w:tc>
          <w:tcPr>
            <w:tcW w:w="4568" w:type="dxa"/>
          </w:tcPr>
          <w:p w:rsidR="00CB0E8C" w:rsidRPr="009C0AEE" w:rsidRDefault="0073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Outpatient information was included</w:t>
            </w: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73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5. Include mortality data and causes of death</w:t>
            </w:r>
          </w:p>
        </w:tc>
        <w:tc>
          <w:tcPr>
            <w:tcW w:w="4568" w:type="dxa"/>
          </w:tcPr>
          <w:p w:rsidR="00CB0E8C" w:rsidRPr="009C0AEE" w:rsidRDefault="0073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Mortality and causes of death were reported</w:t>
            </w:r>
            <w:r w:rsidR="009C0AEE" w:rsidRPr="009C0AEE">
              <w:rPr>
                <w:rFonts w:ascii="Times New Roman" w:hAnsi="Times New Roman" w:cs="Times New Roman"/>
                <w:sz w:val="24"/>
                <w:szCs w:val="24"/>
              </w:rPr>
              <w:t xml:space="preserve"> in table 2</w:t>
            </w: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73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6. Include definitions of complications</w:t>
            </w:r>
          </w:p>
        </w:tc>
        <w:tc>
          <w:tcPr>
            <w:tcW w:w="4568" w:type="dxa"/>
          </w:tcPr>
          <w:p w:rsidR="00CB0E8C" w:rsidRPr="009C0AEE" w:rsidRDefault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All complications were defined</w:t>
            </w: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73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7. Define procedure-specific complications</w:t>
            </w:r>
          </w:p>
        </w:tc>
        <w:tc>
          <w:tcPr>
            <w:tcW w:w="4568" w:type="dxa"/>
          </w:tcPr>
          <w:p w:rsidR="00CB0E8C" w:rsidRPr="009C0AEE" w:rsidRDefault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Procedure-specific complications were defined</w:t>
            </w: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8. Report intraoperative and postoperative complications separately</w:t>
            </w:r>
          </w:p>
        </w:tc>
        <w:tc>
          <w:tcPr>
            <w:tcW w:w="4568" w:type="dxa"/>
          </w:tcPr>
          <w:p w:rsidR="00CB0E8C" w:rsidRPr="009C0AEE" w:rsidRDefault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We separately reported intraoperative and postoperative complications</w:t>
            </w:r>
          </w:p>
        </w:tc>
      </w:tr>
      <w:tr w:rsidR="00CB0E8C" w:rsidRPr="009C0AEE" w:rsidTr="009C0AEE">
        <w:tc>
          <w:tcPr>
            <w:tcW w:w="4644" w:type="dxa"/>
          </w:tcPr>
          <w:p w:rsidR="009C0AEE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9. Use a severity grading system for postoperative complications</w:t>
            </w:r>
          </w:p>
          <w:p w:rsidR="009C0AEE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 xml:space="preserve">(avoiding the distinction minor/major); </w:t>
            </w:r>
            <w:proofErr w:type="spellStart"/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Clavien-Dindo</w:t>
            </w:r>
            <w:proofErr w:type="spellEnd"/>
            <w:r w:rsidRPr="009C0AEE">
              <w:rPr>
                <w:rFonts w:ascii="Times New Roman" w:hAnsi="Times New Roman" w:cs="Times New Roman"/>
                <w:sz w:val="24"/>
                <w:szCs w:val="24"/>
              </w:rPr>
              <w:t xml:space="preserve"> system is</w:t>
            </w:r>
          </w:p>
          <w:p w:rsidR="00CB0E8C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recommended</w:t>
            </w:r>
          </w:p>
        </w:tc>
        <w:tc>
          <w:tcPr>
            <w:tcW w:w="4568" w:type="dxa"/>
          </w:tcPr>
          <w:p w:rsidR="00CB0E8C" w:rsidRPr="009C0AEE" w:rsidRDefault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Clavien-Dindo</w:t>
            </w:r>
            <w:proofErr w:type="spellEnd"/>
            <w:r w:rsidRPr="009C0AEE">
              <w:rPr>
                <w:rFonts w:ascii="Times New Roman" w:hAnsi="Times New Roman" w:cs="Times New Roman"/>
                <w:sz w:val="24"/>
                <w:szCs w:val="24"/>
              </w:rPr>
              <w:t xml:space="preserve"> classification and the Comprehensive Complication Index were used</w:t>
            </w:r>
          </w:p>
        </w:tc>
      </w:tr>
      <w:tr w:rsidR="00CB0E8C" w:rsidRPr="009C0AEE" w:rsidTr="009C0AEE">
        <w:tc>
          <w:tcPr>
            <w:tcW w:w="4644" w:type="dxa"/>
          </w:tcPr>
          <w:p w:rsidR="009C0AEE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10. Postoperative complications should be presented in a table either by</w:t>
            </w:r>
          </w:p>
          <w:p w:rsidR="009C0AEE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grade or by complication type (specific grades should always be</w:t>
            </w:r>
          </w:p>
          <w:p w:rsidR="00CB0E8C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provided; grouping is not accepted)</w:t>
            </w:r>
          </w:p>
        </w:tc>
        <w:tc>
          <w:tcPr>
            <w:tcW w:w="4568" w:type="dxa"/>
          </w:tcPr>
          <w:p w:rsidR="00CB0E8C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A detailed table of postoperative complications, including grading, treatment, frequencies, and proportions was provided</w:t>
            </w: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11. Include risk factors</w:t>
            </w:r>
          </w:p>
        </w:tc>
        <w:tc>
          <w:tcPr>
            <w:tcW w:w="4568" w:type="dxa"/>
          </w:tcPr>
          <w:p w:rsidR="00CB0E8C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 xml:space="preserve">The age-adjusted </w:t>
            </w:r>
            <w:proofErr w:type="spellStart"/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Charlson</w:t>
            </w:r>
            <w:proofErr w:type="spellEnd"/>
            <w:r w:rsidRPr="009C0AEE">
              <w:rPr>
                <w:rFonts w:ascii="Times New Roman" w:hAnsi="Times New Roman" w:cs="Times New Roman"/>
                <w:sz w:val="24"/>
                <w:szCs w:val="24"/>
              </w:rPr>
              <w:t xml:space="preserve"> comorbidity index was included into analyses</w:t>
            </w:r>
          </w:p>
        </w:tc>
      </w:tr>
      <w:tr w:rsidR="009C0AEE" w:rsidRPr="009C0AEE" w:rsidTr="009C0AEE">
        <w:tc>
          <w:tcPr>
            <w:tcW w:w="4644" w:type="dxa"/>
          </w:tcPr>
          <w:p w:rsidR="009C0AEE" w:rsidRPr="009C0AEE" w:rsidRDefault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12. Include readmissions and causes</w:t>
            </w:r>
          </w:p>
        </w:tc>
        <w:tc>
          <w:tcPr>
            <w:tcW w:w="4568" w:type="dxa"/>
            <w:vMerge w:val="restart"/>
          </w:tcPr>
          <w:p w:rsidR="009C0AEE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A detailed table of readmissions ( and causes) and  reoperations (types and causes)were provided</w:t>
            </w:r>
          </w:p>
        </w:tc>
      </w:tr>
      <w:tr w:rsidR="009C0AEE" w:rsidRPr="009C0AEE" w:rsidTr="009C0AEE">
        <w:tc>
          <w:tcPr>
            <w:tcW w:w="4644" w:type="dxa"/>
          </w:tcPr>
          <w:p w:rsidR="009C0AEE" w:rsidRPr="009C0AEE" w:rsidRDefault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13. Include reoperations, types and causes</w:t>
            </w:r>
          </w:p>
        </w:tc>
        <w:tc>
          <w:tcPr>
            <w:tcW w:w="4568" w:type="dxa"/>
            <w:vMerge/>
          </w:tcPr>
          <w:p w:rsidR="009C0AEE" w:rsidRPr="009C0AEE" w:rsidRDefault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E8C" w:rsidRPr="009C0AEE" w:rsidTr="009C0AEE">
        <w:tc>
          <w:tcPr>
            <w:tcW w:w="4644" w:type="dxa"/>
          </w:tcPr>
          <w:p w:rsidR="00CB0E8C" w:rsidRPr="009C0AEE" w:rsidRDefault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14. Include the percentage of patients lost to follow-up</w:t>
            </w:r>
          </w:p>
        </w:tc>
        <w:tc>
          <w:tcPr>
            <w:tcW w:w="4568" w:type="dxa"/>
          </w:tcPr>
          <w:p w:rsidR="009C0AEE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Follow-up was available for all patients, given the retrospective review of digitalized</w:t>
            </w:r>
          </w:p>
          <w:p w:rsidR="00CB0E8C" w:rsidRPr="009C0AEE" w:rsidRDefault="009C0AEE" w:rsidP="009C0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AEE">
              <w:rPr>
                <w:rFonts w:ascii="Times New Roman" w:hAnsi="Times New Roman" w:cs="Times New Roman"/>
                <w:sz w:val="24"/>
                <w:szCs w:val="24"/>
              </w:rPr>
              <w:t>charts and 30-day and 90-day follow-up period</w:t>
            </w:r>
          </w:p>
        </w:tc>
      </w:tr>
    </w:tbl>
    <w:p w:rsidR="00A36BB0" w:rsidRPr="009C0AEE" w:rsidRDefault="00A36BB0">
      <w:pPr>
        <w:rPr>
          <w:rFonts w:ascii="Times New Roman" w:hAnsi="Times New Roman" w:cs="Times New Roman"/>
          <w:sz w:val="24"/>
          <w:szCs w:val="24"/>
        </w:rPr>
      </w:pPr>
    </w:p>
    <w:sectPr w:rsidR="00A36BB0" w:rsidRPr="009C0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02"/>
    <w:rsid w:val="00174B02"/>
    <w:rsid w:val="00357C26"/>
    <w:rsid w:val="004C12A1"/>
    <w:rsid w:val="007328A6"/>
    <w:rsid w:val="008A1132"/>
    <w:rsid w:val="009C0AEE"/>
    <w:rsid w:val="00A36BB0"/>
    <w:rsid w:val="00BB56DB"/>
    <w:rsid w:val="00CB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0E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0E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</cp:revision>
  <dcterms:created xsi:type="dcterms:W3CDTF">2022-08-01T06:46:00Z</dcterms:created>
  <dcterms:modified xsi:type="dcterms:W3CDTF">2022-10-03T13:53:00Z</dcterms:modified>
</cp:coreProperties>
</file>