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635" w:rsidRDefault="005C5635" w:rsidP="005C5635">
      <w:pPr>
        <w:spacing w:line="480" w:lineRule="auto"/>
      </w:pPr>
    </w:p>
    <w:p w:rsidR="005C5635" w:rsidRPr="001619DE" w:rsidRDefault="005C5635" w:rsidP="005C5635">
      <w:pPr>
        <w:spacing w:line="480" w:lineRule="auto"/>
        <w:rPr>
          <w:rFonts w:ascii="Times New Roman" w:hAnsi="Times New Roman" w:cs="Times New Roman"/>
          <w:b/>
          <w:bCs/>
        </w:rPr>
      </w:pPr>
      <w:r w:rsidRPr="001619DE">
        <w:rPr>
          <w:rFonts w:ascii="Times New Roman" w:hAnsi="Times New Roman" w:cs="Times New Roman"/>
          <w:b/>
          <w:bCs/>
        </w:rPr>
        <w:t>Supplementary Materials</w:t>
      </w:r>
    </w:p>
    <w:p w:rsidR="005C5635" w:rsidRDefault="005C5635" w:rsidP="005C5635">
      <w:pPr>
        <w:rPr>
          <w:rFonts w:ascii="Times New Roman" w:hAnsi="Times New Roman" w:cs="Times New Roman"/>
        </w:rPr>
      </w:pPr>
      <w:r>
        <w:rPr>
          <w:noProof/>
          <w:lang w:eastAsia="en-US"/>
        </w:rPr>
        <w:drawing>
          <wp:inline distT="0" distB="0" distL="0" distR="0" wp14:anchorId="7AB2667E" wp14:editId="2912EAF5">
            <wp:extent cx="5274310" cy="5912485"/>
            <wp:effectExtent l="0" t="0" r="2540" b="0"/>
            <wp:docPr id="18" name="图片 18" descr="图示, 图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示, 图标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1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35" w:rsidRDefault="005C5635" w:rsidP="005C563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Figure 1: The scatter plots show</w:t>
      </w:r>
      <w:r>
        <w:rPr>
          <w:rFonts w:ascii="Times New Roman" w:hAnsi="Times New Roman" w:cs="Times New Roman" w:hint="eastAsia"/>
        </w:rPr>
        <w:t>ed</w:t>
      </w:r>
      <w:r>
        <w:rPr>
          <w:rFonts w:ascii="Times New Roman" w:hAnsi="Times New Roman" w:cs="Times New Roman"/>
        </w:rPr>
        <w:t xml:space="preserve"> the expression status of FOXM1 mRNA in HCC and non-HCC tissue samples.</w:t>
      </w:r>
    </w:p>
    <w:p w:rsidR="005C5635" w:rsidRDefault="005C5635" w:rsidP="005C5635">
      <w:pPr>
        <w:spacing w:line="480" w:lineRule="auto"/>
        <w:rPr>
          <w:rFonts w:ascii="Times New Roman" w:hAnsi="Times New Roman" w:cs="Times New Roman"/>
        </w:rPr>
      </w:pPr>
      <w:r>
        <w:rPr>
          <w:rFonts w:ascii="Arial" w:hAnsi="Arial" w:cs="Arial"/>
        </w:rPr>
        <w:t xml:space="preserve">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&lt;0.05; </w:t>
      </w:r>
      <w:r>
        <w:rPr>
          <w:rFonts w:ascii="Arial" w:hAnsi="Arial" w:cs="Arial"/>
        </w:rPr>
        <w:t>**</w:t>
      </w:r>
      <w:r>
        <w:rPr>
          <w:rFonts w:ascii="Times New Roman" w:hAnsi="Times New Roman" w:cs="Times New Roman"/>
          <w:i/>
          <w:iCs/>
        </w:rPr>
        <w:t xml:space="preserve"> p</w:t>
      </w:r>
      <w:r>
        <w:rPr>
          <w:rFonts w:ascii="Times New Roman" w:hAnsi="Times New Roman" w:cs="Times New Roman"/>
        </w:rPr>
        <w:t>&lt;0.01</w:t>
      </w:r>
      <w:r>
        <w:rPr>
          <w:rFonts w:ascii="Times New Roman" w:hAnsi="Times New Roman" w:cs="Times New Roman" w:hint="eastAsia"/>
        </w:rPr>
        <w:t>;</w:t>
      </w:r>
      <w:r>
        <w:rPr>
          <w:rFonts w:ascii="Arial" w:hAnsi="Arial" w:cs="Arial"/>
        </w:rPr>
        <w:t xml:space="preserve"> ***</w:t>
      </w:r>
      <w:r>
        <w:rPr>
          <w:rFonts w:ascii="Times New Roman" w:hAnsi="Times New Roman" w:cs="Times New Roman"/>
          <w:i/>
          <w:iCs/>
        </w:rPr>
        <w:t xml:space="preserve"> p</w:t>
      </w:r>
      <w:r>
        <w:rPr>
          <w:rFonts w:ascii="Times New Roman" w:hAnsi="Times New Roman" w:cs="Times New Roman"/>
        </w:rPr>
        <w:t>&lt;0.001;</w:t>
      </w:r>
      <w:r>
        <w:rPr>
          <w:rFonts w:ascii="Arial" w:hAnsi="Arial" w:cs="Arial"/>
        </w:rPr>
        <w:t xml:space="preserve"> ****</w:t>
      </w:r>
      <w:r>
        <w:rPr>
          <w:rFonts w:ascii="Times New Roman" w:hAnsi="Times New Roman" w:cs="Times New Roman"/>
          <w:i/>
          <w:iCs/>
        </w:rPr>
        <w:t xml:space="preserve"> p</w:t>
      </w:r>
      <w:r>
        <w:rPr>
          <w:rFonts w:ascii="Times New Roman" w:hAnsi="Times New Roman" w:cs="Times New Roman"/>
        </w:rPr>
        <w:t>&lt;0.0001; NS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not significant</w:t>
      </w:r>
    </w:p>
    <w:p w:rsidR="005C5635" w:rsidRDefault="005C5635" w:rsidP="005C5635">
      <w:pPr>
        <w:rPr>
          <w:rFonts w:ascii="Times New Roman" w:hAnsi="Times New Roman" w:cs="Times New Roman"/>
        </w:rPr>
      </w:pPr>
      <w:r>
        <w:rPr>
          <w:noProof/>
          <w:lang w:eastAsia="en-US"/>
        </w:rPr>
        <w:lastRenderedPageBreak/>
        <w:drawing>
          <wp:inline distT="0" distB="0" distL="0" distR="0" wp14:anchorId="55CC8428" wp14:editId="21F6D37E">
            <wp:extent cx="5274310" cy="5756275"/>
            <wp:effectExtent l="0" t="0" r="2540" b="0"/>
            <wp:docPr id="19" name="图片 19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地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5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35" w:rsidRDefault="005C5635" w:rsidP="005C563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Supplemental Figure 2: The ROC curves showed the discrimination ability of FOXM1 </w:t>
      </w:r>
      <w:r>
        <w:rPr>
          <w:rFonts w:ascii="Times New Roman" w:hAnsi="Times New Roman" w:cs="Times New Roman" w:hint="eastAsia"/>
        </w:rPr>
        <w:t>mRNA</w:t>
      </w:r>
      <w:r>
        <w:rPr>
          <w:rFonts w:ascii="Times New Roman" w:hAnsi="Times New Roman" w:cs="Times New Roman"/>
        </w:rPr>
        <w:t xml:space="preserve"> in HCC and non-HCC tissue samples.</w:t>
      </w:r>
    </w:p>
    <w:p w:rsidR="005C5635" w:rsidRDefault="005C5635" w:rsidP="005C56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51C3DE7" wp14:editId="777F7213">
            <wp:extent cx="5274310" cy="6873875"/>
            <wp:effectExtent l="0" t="0" r="2540" b="3175"/>
            <wp:docPr id="4" name="图片 4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示, 示意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7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35" w:rsidRDefault="005C5635" w:rsidP="005C563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Supplemental Figure 3: Accuracy of FOXM1 overexpression in discriminating HCC and non-HCC </w:t>
      </w:r>
      <w:r>
        <w:rPr>
          <w:rFonts w:ascii="Times New Roman" w:hAnsi="Times New Roman" w:cs="Times New Roman" w:hint="eastAsia"/>
        </w:rPr>
        <w:t>tissue</w:t>
      </w:r>
    </w:p>
    <w:p w:rsidR="005C5635" w:rsidRDefault="005C5635" w:rsidP="005C563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A) Forest plot of sensitivity (B) Forest plot of specificity (C) Forest plot of p</w:t>
      </w:r>
      <w:r>
        <w:rPr>
          <w:rFonts w:ascii="Times New Roman" w:hAnsi="Times New Roman" w:cs="Times New Roman" w:hint="eastAsia"/>
        </w:rPr>
        <w:t>ositive</w:t>
      </w:r>
      <w:r>
        <w:rPr>
          <w:rFonts w:ascii="Times New Roman" w:hAnsi="Times New Roman" w:cs="Times New Roman"/>
        </w:rPr>
        <w:t xml:space="preserve"> likelihood ratio (D) Forest plot of negative likelihood ratio</w:t>
      </w:r>
    </w:p>
    <w:p w:rsidR="005C5635" w:rsidRDefault="005C5635" w:rsidP="005C5635">
      <w:pPr>
        <w:rPr>
          <w:rFonts w:ascii="Times New Roman" w:hAnsi="Times New Roman" w:cs="Times New Roman"/>
        </w:rPr>
      </w:pPr>
      <w:r w:rsidRPr="00812DAF">
        <w:t xml:space="preserve"> </w:t>
      </w:r>
      <w:r>
        <w:rPr>
          <w:noProof/>
          <w:lang w:eastAsia="en-US"/>
        </w:rPr>
        <w:lastRenderedPageBreak/>
        <w:drawing>
          <wp:inline distT="0" distB="0" distL="0" distR="0" wp14:anchorId="7274A102" wp14:editId="7F51C5F4">
            <wp:extent cx="5274310" cy="5541010"/>
            <wp:effectExtent l="0" t="0" r="2540" b="2540"/>
            <wp:docPr id="14" name="图片 1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4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35" w:rsidRDefault="005C5635" w:rsidP="005C5635">
      <w:pPr>
        <w:pStyle w:val="Caption"/>
        <w:spacing w:line="480" w:lineRule="auto"/>
        <w:jc w:val="left"/>
      </w:pPr>
      <w:r>
        <w:t>Supplemental Figure 4: The comprehensive prognostic significance of FOXM1 in HCC based on the in-house immunohistochemistry, scientific literature, and high throughput sequencing data.</w:t>
      </w:r>
    </w:p>
    <w:p w:rsidR="005C5635" w:rsidRPr="002C21E2" w:rsidRDefault="005C5635" w:rsidP="005C5635">
      <w:pPr>
        <w:pStyle w:val="Caption"/>
        <w:spacing w:line="480" w:lineRule="auto"/>
        <w:jc w:val="left"/>
      </w:pPr>
      <w:r>
        <w:t xml:space="preserve">(A) Forest plot of hazard ratio (B) </w:t>
      </w:r>
      <w:r w:rsidRPr="00166583">
        <w:rPr>
          <w:color w:val="FF0000"/>
          <w:lang w:eastAsia="zh-CN"/>
        </w:rPr>
        <w:t>F</w:t>
      </w:r>
      <w:r>
        <w:t xml:space="preserve">unnel </w:t>
      </w:r>
      <w:r>
        <w:rPr>
          <w:rFonts w:hint="eastAsia"/>
          <w:lang w:eastAsia="zh-CN"/>
        </w:rPr>
        <w:t>plot</w:t>
      </w:r>
      <w:r>
        <w:rPr>
          <w:lang w:eastAsia="zh-CN"/>
        </w:rPr>
        <w:t xml:space="preserve"> </w:t>
      </w:r>
      <w:r w:rsidRPr="00166583">
        <w:rPr>
          <w:color w:val="FF0000"/>
          <w:lang w:eastAsia="zh-CN"/>
        </w:rPr>
        <w:t xml:space="preserve">with </w:t>
      </w:r>
      <w:r w:rsidRPr="00166583">
        <w:rPr>
          <w:color w:val="FF0000"/>
        </w:rPr>
        <w:t xml:space="preserve">Begg’s test and </w:t>
      </w:r>
      <w:r w:rsidRPr="00166583">
        <w:rPr>
          <w:color w:val="FF0000"/>
          <w:lang w:eastAsia="zh-CN"/>
        </w:rPr>
        <w:t>Egger</w:t>
      </w:r>
      <w:r w:rsidRPr="00166583">
        <w:rPr>
          <w:color w:val="FF0000"/>
        </w:rPr>
        <w:t>’s test</w:t>
      </w:r>
      <w:r>
        <w:t xml:space="preserve"> (C) Galbraith plot.</w:t>
      </w:r>
    </w:p>
    <w:p w:rsidR="00677C64" w:rsidRDefault="00677C64">
      <w:bookmarkStart w:id="0" w:name="_GoBack"/>
      <w:bookmarkEnd w:id="0"/>
    </w:p>
    <w:sectPr w:rsidR="00677C64" w:rsidSect="005C56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35"/>
    <w:rsid w:val="000127D4"/>
    <w:rsid w:val="000137BF"/>
    <w:rsid w:val="000D2AB4"/>
    <w:rsid w:val="000F1F0B"/>
    <w:rsid w:val="0018417B"/>
    <w:rsid w:val="001876EC"/>
    <w:rsid w:val="001C75D8"/>
    <w:rsid w:val="001F58DB"/>
    <w:rsid w:val="00216169"/>
    <w:rsid w:val="002215D8"/>
    <w:rsid w:val="003074C9"/>
    <w:rsid w:val="00330048"/>
    <w:rsid w:val="003303F9"/>
    <w:rsid w:val="003C1BA5"/>
    <w:rsid w:val="003E01AF"/>
    <w:rsid w:val="003F2868"/>
    <w:rsid w:val="004230C1"/>
    <w:rsid w:val="004565F1"/>
    <w:rsid w:val="00493ED5"/>
    <w:rsid w:val="004D1589"/>
    <w:rsid w:val="00506882"/>
    <w:rsid w:val="00515352"/>
    <w:rsid w:val="00531D18"/>
    <w:rsid w:val="00534539"/>
    <w:rsid w:val="00543BC8"/>
    <w:rsid w:val="005C5635"/>
    <w:rsid w:val="006311E4"/>
    <w:rsid w:val="00677C64"/>
    <w:rsid w:val="006C5D84"/>
    <w:rsid w:val="006C6CF7"/>
    <w:rsid w:val="0071449D"/>
    <w:rsid w:val="00724048"/>
    <w:rsid w:val="00726ED0"/>
    <w:rsid w:val="00773B41"/>
    <w:rsid w:val="007742FE"/>
    <w:rsid w:val="0078657A"/>
    <w:rsid w:val="007A4456"/>
    <w:rsid w:val="007A648B"/>
    <w:rsid w:val="007C2AA4"/>
    <w:rsid w:val="007D056E"/>
    <w:rsid w:val="007D2D79"/>
    <w:rsid w:val="00820A9F"/>
    <w:rsid w:val="008447BC"/>
    <w:rsid w:val="00871B66"/>
    <w:rsid w:val="00876CF3"/>
    <w:rsid w:val="00970E36"/>
    <w:rsid w:val="009C7165"/>
    <w:rsid w:val="009D160B"/>
    <w:rsid w:val="009E2746"/>
    <w:rsid w:val="00A03A66"/>
    <w:rsid w:val="00A25383"/>
    <w:rsid w:val="00A40823"/>
    <w:rsid w:val="00A74BBE"/>
    <w:rsid w:val="00A92350"/>
    <w:rsid w:val="00AC1700"/>
    <w:rsid w:val="00AC449B"/>
    <w:rsid w:val="00AC69C4"/>
    <w:rsid w:val="00AE4B34"/>
    <w:rsid w:val="00B4569F"/>
    <w:rsid w:val="00B45F09"/>
    <w:rsid w:val="00B535A3"/>
    <w:rsid w:val="00B75456"/>
    <w:rsid w:val="00B96829"/>
    <w:rsid w:val="00BA26C1"/>
    <w:rsid w:val="00BD0888"/>
    <w:rsid w:val="00C165E8"/>
    <w:rsid w:val="00C366AA"/>
    <w:rsid w:val="00C621AB"/>
    <w:rsid w:val="00C97BF7"/>
    <w:rsid w:val="00CA21EB"/>
    <w:rsid w:val="00CB5225"/>
    <w:rsid w:val="00CC1A89"/>
    <w:rsid w:val="00CD076D"/>
    <w:rsid w:val="00CD68F2"/>
    <w:rsid w:val="00D203CE"/>
    <w:rsid w:val="00D31E52"/>
    <w:rsid w:val="00D52F10"/>
    <w:rsid w:val="00D62CDA"/>
    <w:rsid w:val="00E202B6"/>
    <w:rsid w:val="00EA4CFE"/>
    <w:rsid w:val="00F1164A"/>
    <w:rsid w:val="00F15224"/>
    <w:rsid w:val="00F32448"/>
    <w:rsid w:val="00F43DEC"/>
    <w:rsid w:val="00F51382"/>
    <w:rsid w:val="00F73BA6"/>
    <w:rsid w:val="00FB7F8E"/>
    <w:rsid w:val="00FE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895E4A-7040-46A0-8A3E-0BBE9CC5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63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C5635"/>
    <w:pPr>
      <w:widowControl/>
      <w:spacing w:after="80"/>
      <w:jc w:val="center"/>
    </w:pPr>
    <w:rPr>
      <w:rFonts w:ascii="Times New Roman" w:hAnsi="Times New Roman" w:cs="Times New Roman"/>
      <w:iCs/>
      <w:color w:val="000000" w:themeColor="text1"/>
      <w:kern w:val="0"/>
      <w:sz w:val="20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Omale</dc:creator>
  <cp:keywords/>
  <dc:description/>
  <cp:lastModifiedBy>Kenneth Omale</cp:lastModifiedBy>
  <cp:revision>1</cp:revision>
  <dcterms:created xsi:type="dcterms:W3CDTF">2023-11-21T05:31:00Z</dcterms:created>
  <dcterms:modified xsi:type="dcterms:W3CDTF">2023-11-21T05:32:00Z</dcterms:modified>
</cp:coreProperties>
</file>