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</w:pPr>
      <w:r>
        <w:t xml:space="preserve">Supplementary </w:t>
      </w:r>
      <w:r>
        <w:rPr>
          <w:rFonts w:ascii="Times New Roman" w:hAnsi="Times New Roman"/>
          <w:color w:val="000000"/>
          <w:szCs w:val="21"/>
        </w:rPr>
        <w:t xml:space="preserve">Table </w:t>
      </w:r>
      <w:r>
        <w:rPr>
          <w:rFonts w:hint="default"/>
          <w:color w:val="000000"/>
          <w:szCs w:val="21"/>
          <w:lang w:val="en-US"/>
        </w:rPr>
        <w:t>2</w:t>
      </w:r>
      <w:bookmarkStart w:id="0" w:name="_GoBack"/>
      <w:bookmarkEnd w:id="0"/>
      <w:r>
        <w:rPr>
          <w:rFonts w:ascii="Times New Roman" w:hAnsi="Times New Roman"/>
          <w:color w:val="000000"/>
          <w:szCs w:val="21"/>
        </w:rPr>
        <w:t xml:space="preserve"> </w:t>
      </w:r>
      <w:r>
        <w:t xml:space="preserve"> Risk of bias in the included cohort studies (by the MINORS quality assessment tool)</w:t>
      </w:r>
    </w:p>
    <w:tbl>
      <w:tblPr>
        <w:tblStyle w:val="3"/>
        <w:tblW w:w="142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086"/>
        <w:gridCol w:w="1397"/>
        <w:gridCol w:w="1379"/>
        <w:gridCol w:w="1448"/>
        <w:gridCol w:w="1414"/>
        <w:gridCol w:w="1604"/>
        <w:gridCol w:w="1155"/>
        <w:gridCol w:w="1172"/>
        <w:gridCol w:w="1284"/>
        <w:gridCol w:w="781"/>
      </w:tblGrid>
      <w:tr>
        <w:trPr>
          <w:trHeight w:val="1450" w:hRule="atLeast"/>
          <w:jc w:val="center"/>
        </w:trPr>
        <w:tc>
          <w:tcPr>
            <w:tcW w:w="1513" w:type="dxa"/>
            <w:tcBorders>
              <w:top w:val="single" w:color="808080" w:sz="24" w:space="0"/>
              <w:bottom w:val="single" w:color="808080" w:sz="12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b/>
                <w:highlight w:val="none"/>
              </w:rPr>
            </w:pPr>
          </w:p>
        </w:tc>
        <w:tc>
          <w:tcPr>
            <w:tcW w:w="1086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" w:hAnsi="Times" w:eastAsia="Times" w:cs="Times"/>
                <w:b/>
                <w:sz w:val="18"/>
                <w:szCs w:val="18"/>
                <w:highlight w:val="none"/>
              </w:rPr>
              <w:t>A clearly stated aim</w:t>
            </w:r>
          </w:p>
        </w:tc>
        <w:tc>
          <w:tcPr>
            <w:tcW w:w="1397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" w:hAnsi="Times" w:eastAsia="Times" w:cs="Times"/>
                <w:b/>
                <w:sz w:val="18"/>
                <w:szCs w:val="18"/>
                <w:highlight w:val="none"/>
              </w:rPr>
              <w:t xml:space="preserve">Inclusion of consecutive patients </w:t>
            </w:r>
          </w:p>
        </w:tc>
        <w:tc>
          <w:tcPr>
            <w:tcW w:w="1379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" w:hAnsi="Times" w:eastAsia="Times" w:cs="Times"/>
                <w:b/>
                <w:sz w:val="18"/>
                <w:szCs w:val="18"/>
                <w:highlight w:val="none"/>
              </w:rPr>
              <w:t>Prospective collection of data</w:t>
            </w:r>
          </w:p>
        </w:tc>
        <w:tc>
          <w:tcPr>
            <w:tcW w:w="1448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" w:hAnsi="Times" w:eastAsia="Times" w:cs="Times"/>
                <w:b/>
                <w:sz w:val="18"/>
                <w:szCs w:val="18"/>
                <w:highlight w:val="none"/>
              </w:rPr>
              <w:t xml:space="preserve">Endpoints appropriate to the aim of the study </w:t>
            </w:r>
          </w:p>
        </w:tc>
        <w:tc>
          <w:tcPr>
            <w:tcW w:w="1414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" w:hAnsi="Times" w:eastAsia="Times" w:cs="Times"/>
                <w:b/>
                <w:sz w:val="18"/>
                <w:szCs w:val="18"/>
                <w:highlight w:val="none"/>
              </w:rPr>
              <w:t xml:space="preserve">Unbiased assessment of the study endpoint </w:t>
            </w:r>
          </w:p>
        </w:tc>
        <w:tc>
          <w:tcPr>
            <w:tcW w:w="1604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" w:hAnsi="Times" w:eastAsia="Times" w:cs="Times"/>
                <w:b/>
                <w:sz w:val="18"/>
                <w:szCs w:val="18"/>
                <w:highlight w:val="none"/>
              </w:rPr>
              <w:t xml:space="preserve">Follow-up period appropriate to the aim of the study </w:t>
            </w:r>
          </w:p>
        </w:tc>
        <w:tc>
          <w:tcPr>
            <w:tcW w:w="1155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" w:hAnsi="Times" w:eastAsia="Times" w:cs="Times"/>
                <w:b/>
                <w:sz w:val="18"/>
                <w:szCs w:val="18"/>
                <w:highlight w:val="none"/>
              </w:rPr>
              <w:t xml:space="preserve">Loss to follow up less than 5% </w:t>
            </w:r>
          </w:p>
        </w:tc>
        <w:tc>
          <w:tcPr>
            <w:tcW w:w="1172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" w:hAnsi="Times" w:eastAsia="Times" w:cs="Times"/>
                <w:b/>
                <w:sz w:val="18"/>
                <w:szCs w:val="18"/>
                <w:highlight w:val="none"/>
              </w:rPr>
              <w:t xml:space="preserve">Prospective calculation of the study size </w:t>
            </w:r>
          </w:p>
        </w:tc>
        <w:tc>
          <w:tcPr>
            <w:tcW w:w="1284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b/>
                <w:color w:val="000000"/>
                <w:sz w:val="20"/>
                <w:szCs w:val="20"/>
                <w:highlight w:val="none"/>
              </w:rPr>
              <w:t>Total quality scores</w:t>
            </w:r>
          </w:p>
        </w:tc>
        <w:tc>
          <w:tcPr>
            <w:tcW w:w="781" w:type="dxa"/>
            <w:tcBorders>
              <w:top w:val="single" w:color="808080" w:sz="24" w:space="0"/>
              <w:bottom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  <w:highlight w:val="none"/>
              </w:rPr>
            </w:pPr>
          </w:p>
        </w:tc>
      </w:tr>
      <w:tr>
        <w:trPr>
          <w:trHeight w:val="450" w:hRule="atLeast"/>
          <w:jc w:val="center"/>
        </w:trPr>
        <w:tc>
          <w:tcPr>
            <w:tcW w:w="1513" w:type="dxa"/>
            <w:tcBorders>
              <w:top w:val="single" w:color="808080" w:sz="12" w:space="0"/>
            </w:tcBorders>
            <w:noWrap/>
            <w:vAlign w:val="center"/>
          </w:tcPr>
          <w:p>
            <w:pPr>
              <w:spacing w:line="360" w:lineRule="auto"/>
              <w:jc w:val="both"/>
              <w:rPr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Denkert</w:t>
            </w:r>
          </w:p>
        </w:tc>
        <w:tc>
          <w:tcPr>
            <w:tcW w:w="1086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79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604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155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781" w:type="dxa"/>
            <w:tcBorders>
              <w:top w:val="single" w:color="808080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Leite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12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Domergue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12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Alves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1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Cosimo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2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</w:rPr>
              <w:t>Shao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2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Kang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color w:val="000000"/>
                <w:sz w:val="22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</w:rPr>
              <w:t>Zhou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  <w:highlight w:val="none"/>
              </w:rPr>
            </w:pPr>
            <w:r>
              <w:rPr>
                <w:color w:val="000000"/>
                <w:sz w:val="22"/>
                <w:highlight w:val="none"/>
              </w:rPr>
              <w:t>1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Qiao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Li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Pöschke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Li*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>Zhong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79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160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9</w:t>
            </w:r>
          </w:p>
        </w:tc>
        <w:tc>
          <w:tcPr>
            <w:tcW w:w="781" w:type="dxa"/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val="419" w:hRule="atLeast"/>
          <w:jc w:val="center"/>
        </w:trPr>
        <w:tc>
          <w:tcPr>
            <w:tcW w:w="1513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60" w:lineRule="auto"/>
              <w:jc w:val="both"/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Zhang </w:t>
            </w:r>
          </w:p>
        </w:tc>
        <w:tc>
          <w:tcPr>
            <w:tcW w:w="1086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397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137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1448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1604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172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284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Theme="minorEastAsia"/>
                <w:color w:val="000000"/>
                <w:sz w:val="22"/>
                <w:lang w:val="en-US" w:eastAsia="zh-CN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rFonts w:hint="eastAsia"/>
                <w:color w:val="000000"/>
                <w:sz w:val="22"/>
                <w:lang w:val="en-US" w:eastAsia="zh-CN"/>
              </w:rPr>
              <w:t>0</w:t>
            </w:r>
          </w:p>
        </w:tc>
        <w:tc>
          <w:tcPr>
            <w:tcW w:w="781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/>
                <w:sz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">
    <w:panose1 w:val="00000500000000020000"/>
    <w:charset w:val="00"/>
    <w:family w:val="auto"/>
    <w:pitch w:val="default"/>
    <w:sig w:usb0="E00002FF" w:usb1="5000205A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86ACA"/>
    <w:rsid w:val="3FF86ACA"/>
    <w:rsid w:val="47FF3CFA"/>
    <w:rsid w:val="5FFFD919"/>
    <w:rsid w:val="7FEF007C"/>
    <w:rsid w:val="8AE054E5"/>
    <w:rsid w:val="8BB71421"/>
    <w:rsid w:val="DFEB0BF4"/>
    <w:rsid w:val="E72775D4"/>
    <w:rsid w:val="E7EC99D5"/>
    <w:rsid w:val="EBEFA8B8"/>
    <w:rsid w:val="EDFE1112"/>
    <w:rsid w:val="FBF7E0FC"/>
    <w:rsid w:val="FF2DC970"/>
    <w:rsid w:val="FFC6AA69"/>
    <w:rsid w:val="FFFDD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kern w:val="0"/>
      <w:sz w:val="24"/>
      <w:szCs w:val="24"/>
      <w:lang w:val="en-CA" w:eastAsia="en-CA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58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2023-11-16T01:22:00Z</dcterms:created>
  <dc:creator>夏夏</dc:creator>
  <cp:lastModifiedBy>夏夏</cp:lastModifiedBy>
  <dcterms:modified xsi:type="dcterms:W3CDTF">2024-03-06T20:31:25Z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8B84C19AC84BBC38621D546549A037E7_41</vt:lpwstr>
  </property>
</Properties>
</file>