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8258D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cfDNA hydroxymethylcytosine profiling for detection metastasis and recurrence of Esophageal Squamous Cell Carcinoma</w:t>
      </w:r>
    </w:p>
    <w:p w14:paraId="3CD6CDC9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0844BE0"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  <w:r>
        <w:rPr>
          <w:rFonts w:ascii="Times New Roman" w:hAnsi="Times New Roman" w:cs="Times New Roman"/>
          <w:sz w:val="24"/>
        </w:rPr>
        <w:t>Subinuer Kuerban</w:t>
      </w:r>
      <w:r>
        <w:rPr>
          <w:rFonts w:hint="eastAsia" w:ascii="Times New Roman" w:hAnsi="Times New Roman" w:cs="Times New Roman"/>
          <w:sz w:val="24"/>
          <w:vertAlign w:val="superscript"/>
        </w:rPr>
        <w:t>1†</w:t>
      </w:r>
      <w:r>
        <w:rPr>
          <w:rFonts w:hint="eastAsia" w:ascii="Times New Roman" w:hAnsi="Times New Roman" w:cs="Times New Roman"/>
          <w:sz w:val="24"/>
        </w:rPr>
        <w:t>, Hangyu Chen</w:t>
      </w:r>
      <w:r>
        <w:rPr>
          <w:rFonts w:hint="eastAsia" w:ascii="Times New Roman" w:hAnsi="Times New Roman" w:cs="Times New Roman"/>
          <w:sz w:val="24"/>
          <w:vertAlign w:val="superscript"/>
        </w:rPr>
        <w:t>2,3†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 Long Chen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2,3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</w:rPr>
        <w:t>†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</w:rPr>
        <w:t>Lei Zhang</w:t>
      </w:r>
      <w:r>
        <w:rPr>
          <w:rFonts w:hint="eastAsia" w:ascii="Times New Roman" w:hAnsi="Times New Roman" w:cs="Times New Roman"/>
          <w:sz w:val="24"/>
          <w:vertAlign w:val="superscript"/>
        </w:rPr>
        <w:t>2,3</w:t>
      </w:r>
      <w:r>
        <w:rPr>
          <w:rFonts w:hint="eastAsia" w:ascii="Times New Roman" w:hAnsi="Times New Roman" w:cs="Times New Roman"/>
          <w:sz w:val="24"/>
        </w:rPr>
        <w:t>, Xuehui Li</w:t>
      </w:r>
      <w:r>
        <w:rPr>
          <w:rFonts w:hint="eastAsia"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 Baixin Zhen</w:t>
      </w:r>
      <w:r>
        <w:rPr>
          <w:rFonts w:hint="eastAsia" w:ascii="Times New Roman" w:hAnsi="Times New Roman" w:cs="Times New Roman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</w:rPr>
        <w:t>, Hong Xiao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4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Yingzhu Chen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7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Haitao Zhou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8</w:t>
      </w:r>
      <w:r>
        <w:rPr>
          <w:rFonts w:hint="eastAsia" w:ascii="Times New Roman" w:hAnsi="Times New Roman" w:cs="Times New Roman"/>
          <w:sz w:val="24"/>
          <w:lang w:val="en-US" w:eastAsia="zh-CN"/>
        </w:rPr>
        <w:t>, Zhen Liang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8</w:t>
      </w:r>
      <w:r>
        <w:rPr>
          <w:rFonts w:hint="eastAsia" w:ascii="Times New Roman" w:hAnsi="Times New Roman" w:cs="Times New Roman"/>
          <w:sz w:val="24"/>
          <w:lang w:val="en-US" w:eastAsia="zh-CN"/>
        </w:rPr>
        <w:t>, Guobing Xu</w:t>
      </w:r>
      <w:r>
        <w:rPr>
          <w:rFonts w:hint="eastAsia" w:ascii="Times New Roman" w:hAnsi="Times New Roman" w:cs="Times New Roman"/>
          <w:sz w:val="24"/>
          <w:vertAlign w:val="superscript"/>
          <w:lang w:val="en-US" w:eastAsia="zh-CN"/>
        </w:rPr>
        <w:t>7</w:t>
      </w:r>
      <w:r>
        <w:rPr>
          <w:rFonts w:hint="eastAsia" w:ascii="Times New Roman" w:hAnsi="Times New Roman" w:cs="Times New Roman"/>
          <w:sz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</w:rPr>
        <w:t xml:space="preserve"> Yicun Tao</w:t>
      </w:r>
      <w:r>
        <w:rPr>
          <w:rFonts w:hint="eastAsia" w:ascii="Times New Roman" w:hAnsi="Times New Roman" w:cs="Times New Roman"/>
          <w:sz w:val="24"/>
          <w:vertAlign w:val="superscript"/>
        </w:rPr>
        <w:t>1*</w:t>
      </w:r>
      <w:r>
        <w:rPr>
          <w:rFonts w:hint="eastAsia" w:ascii="Times New Roman" w:hAnsi="Times New Roman" w:cs="Times New Roman"/>
          <w:sz w:val="24"/>
        </w:rPr>
        <w:t>, Jian Lin</w:t>
      </w:r>
      <w:r>
        <w:rPr>
          <w:rFonts w:hint="eastAsia" w:ascii="Times New Roman" w:hAnsi="Times New Roman" w:cs="Times New Roman"/>
          <w:sz w:val="24"/>
          <w:vertAlign w:val="superscript"/>
        </w:rPr>
        <w:t>2,3,4,5*</w:t>
      </w:r>
      <w:r>
        <w:rPr>
          <w:rFonts w:hint="eastAsia" w:ascii="Times New Roman" w:hAnsi="Times New Roman" w:cs="Times New Roman"/>
          <w:sz w:val="24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4"/>
          <w:highlight w:val="none"/>
        </w:rPr>
        <w:t>Xiaozheng Kang</w:t>
      </w:r>
      <w:r>
        <w:rPr>
          <w:rFonts w:hint="eastAsia" w:ascii="Times New Roman" w:hAnsi="Times New Roman" w:cs="Times New Roman"/>
          <w:sz w:val="24"/>
          <w:highlight w:val="none"/>
          <w:vertAlign w:val="superscript"/>
          <w:lang w:val="en-US" w:eastAsia="zh-CN"/>
        </w:rPr>
        <w:t>6</w:t>
      </w:r>
      <w:r>
        <w:rPr>
          <w:rFonts w:hint="eastAsia" w:ascii="Times New Roman" w:hAnsi="Times New Roman" w:cs="Times New Roman"/>
          <w:sz w:val="24"/>
          <w:vertAlign w:val="superscript"/>
        </w:rPr>
        <w:t>*</w:t>
      </w:r>
    </w:p>
    <w:p w14:paraId="193E6033"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421CB2A8"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1F427D16"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47ABD70B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43010B9C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3E9C7EE1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00652C13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7089670E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43990F62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0A1EAA8D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32B68A03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2FE38A8F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54B5A791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230AF921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7AB0A306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71F4C6A3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747D30A4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327C4530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6459057E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42216AFE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667BC0EB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3345A646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6AA0B4AC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67B0A5B7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76D83279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564D5B4B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7C6F07EE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25247B5F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631C6543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59775CE0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3208B9AD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004369CE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442A8ECC">
      <w:pPr>
        <w:jc w:val="left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446EE473">
      <w:pPr>
        <w:jc w:val="both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</w:p>
    <w:p w14:paraId="2D37C18B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Supplementary Table 1. Tumor Markers (average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±standard error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)</w:t>
      </w:r>
    </w:p>
    <w:p w14:paraId="2B17AD89">
      <w:pPr>
        <w:spacing w:line="360" w:lineRule="auto"/>
      </w:pP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548"/>
        <w:gridCol w:w="2008"/>
        <w:gridCol w:w="1548"/>
        <w:gridCol w:w="1690"/>
      </w:tblGrid>
      <w:tr w14:paraId="201AFE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bottom w:val="single" w:color="auto" w:sz="6" w:space="0"/>
            </w:tcBorders>
            <w:vAlign w:val="center"/>
          </w:tcPr>
          <w:p w14:paraId="1313C42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908" w:type="pct"/>
            <w:tcBorders>
              <w:bottom w:val="single" w:color="auto" w:sz="6" w:space="0"/>
            </w:tcBorders>
            <w:vAlign w:val="center"/>
          </w:tcPr>
          <w:p w14:paraId="7D44D8F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Metastasis</w:t>
            </w:r>
          </w:p>
        </w:tc>
        <w:tc>
          <w:tcPr>
            <w:tcW w:w="1178" w:type="pct"/>
            <w:tcBorders>
              <w:bottom w:val="single" w:color="auto" w:sz="6" w:space="0"/>
            </w:tcBorders>
            <w:vAlign w:val="center"/>
          </w:tcPr>
          <w:p w14:paraId="0C5DFCE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Non-metastasis</w:t>
            </w:r>
          </w:p>
        </w:tc>
        <w:tc>
          <w:tcPr>
            <w:tcW w:w="908" w:type="pct"/>
            <w:tcBorders>
              <w:bottom w:val="single" w:color="auto" w:sz="6" w:space="0"/>
            </w:tcBorders>
            <w:vAlign w:val="center"/>
          </w:tcPr>
          <w:p w14:paraId="64D242A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Recur</w:t>
            </w:r>
          </w:p>
        </w:tc>
        <w:tc>
          <w:tcPr>
            <w:tcW w:w="991" w:type="pct"/>
            <w:tcBorders>
              <w:bottom w:val="single" w:color="auto" w:sz="6" w:space="0"/>
            </w:tcBorders>
            <w:vAlign w:val="center"/>
          </w:tcPr>
          <w:p w14:paraId="37D8011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Non-recur</w:t>
            </w:r>
          </w:p>
        </w:tc>
      </w:tr>
      <w:tr w14:paraId="0DE334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5CED51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CEA</w:t>
            </w:r>
          </w:p>
        </w:tc>
        <w:tc>
          <w:tcPr>
            <w:tcW w:w="908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23D0BB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3.99±9.27</w:t>
            </w:r>
          </w:p>
        </w:tc>
        <w:tc>
          <w:tcPr>
            <w:tcW w:w="1178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4C0F70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2.49±1.65</w:t>
            </w:r>
          </w:p>
        </w:tc>
        <w:tc>
          <w:tcPr>
            <w:tcW w:w="908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00E793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5.18±13.03</w:t>
            </w:r>
          </w:p>
        </w:tc>
        <w:tc>
          <w:tcPr>
            <w:tcW w:w="991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C7C372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2.75±3.20</w:t>
            </w:r>
          </w:p>
        </w:tc>
      </w:tr>
      <w:tr w14:paraId="6DD31D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tl2br w:val="nil"/>
              <w:tr2bl w:val="nil"/>
            </w:tcBorders>
            <w:vAlign w:val="center"/>
          </w:tcPr>
          <w:p w14:paraId="25E9E70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CYFRA21-1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5487D99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1.36±5.22</w:t>
            </w:r>
          </w:p>
        </w:tc>
        <w:tc>
          <w:tcPr>
            <w:tcW w:w="1178" w:type="pct"/>
            <w:tcBorders>
              <w:tl2br w:val="nil"/>
              <w:tr2bl w:val="nil"/>
            </w:tcBorders>
            <w:vAlign w:val="center"/>
          </w:tcPr>
          <w:p w14:paraId="1B0462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1.14±1.80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3A3B9FC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2.27±7.61</w:t>
            </w:r>
          </w:p>
        </w:tc>
        <w:tc>
          <w:tcPr>
            <w:tcW w:w="991" w:type="pct"/>
            <w:tcBorders>
              <w:tl2br w:val="nil"/>
              <w:tr2bl w:val="nil"/>
            </w:tcBorders>
            <w:vAlign w:val="center"/>
          </w:tcPr>
          <w:p w14:paraId="0F4A404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0.93±1.77</w:t>
            </w:r>
          </w:p>
        </w:tc>
      </w:tr>
      <w:tr w14:paraId="4BB845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tl2br w:val="nil"/>
              <w:tr2bl w:val="nil"/>
            </w:tcBorders>
            <w:vAlign w:val="center"/>
          </w:tcPr>
          <w:p w14:paraId="0FA2B18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SCC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2FB4EEE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0.37±0.85</w:t>
            </w:r>
          </w:p>
        </w:tc>
        <w:tc>
          <w:tcPr>
            <w:tcW w:w="1178" w:type="pct"/>
            <w:tcBorders>
              <w:tl2br w:val="nil"/>
              <w:tr2bl w:val="nil"/>
            </w:tcBorders>
            <w:vAlign w:val="center"/>
          </w:tcPr>
          <w:p w14:paraId="24DFE15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0.46±0.73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1879C6A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0.63±1.16</w:t>
            </w:r>
          </w:p>
        </w:tc>
        <w:tc>
          <w:tcPr>
            <w:tcW w:w="991" w:type="pct"/>
            <w:tcBorders>
              <w:tl2br w:val="nil"/>
              <w:tr2bl w:val="nil"/>
            </w:tcBorders>
            <w:vAlign w:val="center"/>
          </w:tcPr>
          <w:p w14:paraId="5B91E5C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0.33±0.62</w:t>
            </w:r>
          </w:p>
        </w:tc>
      </w:tr>
      <w:tr w14:paraId="4BA610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tl2br w:val="nil"/>
              <w:tr2bl w:val="nil"/>
            </w:tcBorders>
            <w:vAlign w:val="center"/>
          </w:tcPr>
          <w:p w14:paraId="0842D0C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CA125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7CA3EB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0.79±3.27</w:t>
            </w:r>
          </w:p>
        </w:tc>
        <w:tc>
          <w:tcPr>
            <w:tcW w:w="1178" w:type="pct"/>
            <w:tcBorders>
              <w:tl2br w:val="nil"/>
              <w:tr2bl w:val="nil"/>
            </w:tcBorders>
            <w:vAlign w:val="center"/>
          </w:tcPr>
          <w:p w14:paraId="661146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1.17±4.32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51E17F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pct"/>
            <w:tcBorders>
              <w:tl2br w:val="nil"/>
              <w:tr2bl w:val="nil"/>
            </w:tcBorders>
            <w:vAlign w:val="center"/>
          </w:tcPr>
          <w:p w14:paraId="64E966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1.25±4.26</w:t>
            </w:r>
          </w:p>
        </w:tc>
      </w:tr>
      <w:tr w14:paraId="43B95E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tl2br w:val="nil"/>
              <w:tr2bl w:val="nil"/>
            </w:tcBorders>
            <w:vAlign w:val="center"/>
          </w:tcPr>
          <w:p w14:paraId="2A2147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CA199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503CEAE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10.96±7.38</w:t>
            </w:r>
          </w:p>
        </w:tc>
        <w:tc>
          <w:tcPr>
            <w:tcW w:w="1178" w:type="pct"/>
            <w:tcBorders>
              <w:tl2br w:val="nil"/>
              <w:tr2bl w:val="nil"/>
            </w:tcBorders>
            <w:vAlign w:val="center"/>
          </w:tcPr>
          <w:p w14:paraId="7C45A7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15.80±22.51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754EC6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11.37±6.74</w:t>
            </w:r>
          </w:p>
        </w:tc>
        <w:tc>
          <w:tcPr>
            <w:tcW w:w="991" w:type="pct"/>
            <w:tcBorders>
              <w:tl2br w:val="nil"/>
              <w:tr2bl w:val="nil"/>
            </w:tcBorders>
            <w:vAlign w:val="center"/>
          </w:tcPr>
          <w:p w14:paraId="58B318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13.46±17.62</w:t>
            </w:r>
          </w:p>
        </w:tc>
      </w:tr>
      <w:tr w14:paraId="143DBB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tl2br w:val="nil"/>
              <w:tr2bl w:val="nil"/>
            </w:tcBorders>
            <w:vAlign w:val="center"/>
          </w:tcPr>
          <w:p w14:paraId="429C87D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NSE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142584F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3.39±6.02</w:t>
            </w:r>
          </w:p>
        </w:tc>
        <w:tc>
          <w:tcPr>
            <w:tcW w:w="1178" w:type="pct"/>
            <w:tcBorders>
              <w:tl2br w:val="nil"/>
              <w:tr2bl w:val="nil"/>
            </w:tcBorders>
            <w:vAlign w:val="center"/>
          </w:tcPr>
          <w:p w14:paraId="20A0857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5.12±7.12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6AD536B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4.71±6.75</w:t>
            </w:r>
          </w:p>
        </w:tc>
        <w:tc>
          <w:tcPr>
            <w:tcW w:w="991" w:type="pct"/>
            <w:tcBorders>
              <w:tl2br w:val="nil"/>
              <w:tr2bl w:val="nil"/>
            </w:tcBorders>
            <w:vAlign w:val="center"/>
          </w:tcPr>
          <w:p w14:paraId="15286AA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3.91±6.48</w:t>
            </w:r>
          </w:p>
        </w:tc>
      </w:tr>
      <w:tr w14:paraId="7C388C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tl2br w:val="nil"/>
              <w:tr2bl w:val="nil"/>
            </w:tcBorders>
            <w:vAlign w:val="center"/>
          </w:tcPr>
          <w:p w14:paraId="44A465D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CA72.4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66758CD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3.76±6.95</w:t>
            </w:r>
          </w:p>
        </w:tc>
        <w:tc>
          <w:tcPr>
            <w:tcW w:w="1178" w:type="pct"/>
            <w:tcBorders>
              <w:tl2br w:val="nil"/>
              <w:tr2bl w:val="nil"/>
            </w:tcBorders>
            <w:vAlign w:val="center"/>
          </w:tcPr>
          <w:p w14:paraId="4BDAFA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2.89±3.60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77C1A0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3.75±8.22</w:t>
            </w:r>
          </w:p>
        </w:tc>
        <w:tc>
          <w:tcPr>
            <w:tcW w:w="991" w:type="pct"/>
            <w:tcBorders>
              <w:tl2br w:val="nil"/>
              <w:tr2bl w:val="nil"/>
            </w:tcBorders>
            <w:vAlign w:val="center"/>
          </w:tcPr>
          <w:p w14:paraId="1A92F43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3.30±4.78</w:t>
            </w:r>
          </w:p>
        </w:tc>
      </w:tr>
      <w:tr w14:paraId="18E6AB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2" w:type="pct"/>
            <w:tcBorders>
              <w:tl2br w:val="nil"/>
              <w:tr2bl w:val="nil"/>
            </w:tcBorders>
            <w:vAlign w:val="center"/>
          </w:tcPr>
          <w:p w14:paraId="34C263F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CA242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23EA02B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6.16±6.47</w:t>
            </w:r>
          </w:p>
        </w:tc>
        <w:tc>
          <w:tcPr>
            <w:tcW w:w="1178" w:type="pct"/>
            <w:tcBorders>
              <w:tl2br w:val="nil"/>
              <w:tr2bl w:val="nil"/>
            </w:tcBorders>
            <w:vAlign w:val="center"/>
          </w:tcPr>
          <w:p w14:paraId="2FE4D79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9.87±23.68</w:t>
            </w:r>
          </w:p>
        </w:tc>
        <w:tc>
          <w:tcPr>
            <w:tcW w:w="908" w:type="pct"/>
            <w:tcBorders>
              <w:tl2br w:val="nil"/>
              <w:tr2bl w:val="nil"/>
            </w:tcBorders>
            <w:vAlign w:val="center"/>
          </w:tcPr>
          <w:p w14:paraId="20FB3D6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6.22±5.02</w:t>
            </w:r>
          </w:p>
        </w:tc>
        <w:tc>
          <w:tcPr>
            <w:tcW w:w="991" w:type="pct"/>
            <w:tcBorders>
              <w:tl2br w:val="nil"/>
              <w:tr2bl w:val="nil"/>
            </w:tcBorders>
            <w:vAlign w:val="center"/>
          </w:tcPr>
          <w:p w14:paraId="3CF162D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8.12±18.14</w:t>
            </w:r>
          </w:p>
        </w:tc>
      </w:tr>
    </w:tbl>
    <w:p w14:paraId="56C81F67">
      <w:pPr>
        <w:spacing w:line="360" w:lineRule="auto"/>
        <w:rPr>
          <w:rFonts w:hint="eastAsia"/>
          <w:lang w:val="en-US" w:eastAsia="zh-CN"/>
        </w:rPr>
      </w:pPr>
    </w:p>
    <w:p w14:paraId="6BDC39DD"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CEA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Carcinoembryonic Antigen;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CYFRA21-1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Cytokeratin-19 Fragment Antigen 21-1;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SCC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Squamous Cell Carcinoma Antigen;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CA125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Carbohydrate Antigen 125;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CA199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Carbohydrate Antigen 19-9;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NSE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Neuron-Specific Enolase;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CA72-4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: Cancer Antigen 72-4;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CA242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: Cancer Antigen 242</w:t>
      </w:r>
    </w:p>
    <w:p w14:paraId="375F4B17">
      <w:pPr>
        <w:spacing w:line="360" w:lineRule="auto"/>
      </w:pPr>
    </w:p>
    <w:p w14:paraId="1E74E765">
      <w:pPr>
        <w:spacing w:line="360" w:lineRule="auto"/>
      </w:pPr>
    </w:p>
    <w:p w14:paraId="1B98BBD3">
      <w:pPr>
        <w:spacing w:line="360" w:lineRule="auto"/>
      </w:pPr>
    </w:p>
    <w:p w14:paraId="27DBFEC3">
      <w:pPr>
        <w:spacing w:line="360" w:lineRule="auto"/>
      </w:pPr>
    </w:p>
    <w:p w14:paraId="2876D418">
      <w:pPr>
        <w:spacing w:line="360" w:lineRule="auto"/>
      </w:pPr>
    </w:p>
    <w:p w14:paraId="2FE7328E">
      <w:pPr>
        <w:spacing w:line="360" w:lineRule="auto"/>
      </w:pPr>
    </w:p>
    <w:p w14:paraId="3304630D">
      <w:pPr>
        <w:spacing w:line="360" w:lineRule="auto"/>
      </w:pPr>
    </w:p>
    <w:p w14:paraId="36EDC445"/>
    <w:p w14:paraId="5CC078DD"/>
    <w:p w14:paraId="78017566"/>
    <w:p w14:paraId="2EB75BEF"/>
    <w:p w14:paraId="793DCF80"/>
    <w:p w14:paraId="4BE148E0"/>
    <w:p w14:paraId="0986C8AC"/>
    <w:p w14:paraId="795E2C6C"/>
    <w:p w14:paraId="758FE6E0"/>
    <w:p w14:paraId="3273E368"/>
    <w:p w14:paraId="48EFE2B0">
      <w:r>
        <w:rPr>
          <w:rFonts w:hint="default" w:ascii="Times New Roman" w:hAnsi="Times New Roman" w:cs="Times New Roman"/>
          <w:b/>
          <w:bCs/>
          <w:sz w:val="24"/>
          <w:szCs w:val="24"/>
        </w:rPr>
        <w:t>Figure legends</w:t>
      </w:r>
    </w:p>
    <w:p w14:paraId="583777D5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5195570"/>
            <wp:effectExtent l="0" t="0" r="1905" b="11430"/>
            <wp:docPr id="1" name="图片 1" descr="Supplemental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l Figure 1"/>
                    <pic:cNvPicPr>
                      <a:picLocks noChangeAspect="1"/>
                    </pic:cNvPicPr>
                  </pic:nvPicPr>
                  <pic:blipFill>
                    <a:blip r:embed="rId4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19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5FA5A">
      <w:pPr>
        <w:spacing w:line="360" w:lineRule="auto"/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Figure 1.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The ROC curve of traditional tumor markers combined with 5hmC markers to predict metastasis.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(A-H) Receiver operating characteristic (ROC) curve of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CEA, CYFRA21-1, SCC, CA125, CA199, NSE, CA72.4,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CA242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combined with 5hmC markers in the validation cohort of ESCC patients with metastasis.</w:t>
      </w:r>
    </w:p>
    <w:p w14:paraId="0E6487F9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369E3EA3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1B2C42D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B1AA924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70AAC53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FD5FDA1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8C71EC7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3B113440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056DF2D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F65298F">
      <w:pPr>
        <w:rPr>
          <w:rFonts w:hint="eastAsia" w:ascii="Times New Roman" w:hAnsi="Times New Roman" w:cs="Times New Roman" w:eastAsia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5271135" cy="5314315"/>
            <wp:effectExtent l="0" t="0" r="12065" b="6985"/>
            <wp:docPr id="2" name="图片 2" descr="Supplemental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l Figure 2"/>
                    <pic:cNvPicPr>
                      <a:picLocks noChangeAspect="1"/>
                    </pic:cNvPicPr>
                  </pic:nvPicPr>
                  <pic:blipFill>
                    <a:blip r:embed="rId5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31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0F074">
      <w:pPr>
        <w:spacing w:line="360" w:lineRule="auto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Figure 2.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The ROC curve of traditional tumor markers combined with 5hmC markers to predict recurrence.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(A-H) Receiver operating characteristic (ROC) curve of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CEA, CYFRA21-1, SCC, CA125, CA199, NSE, CA72.4,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CA242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combined with 5hmC markers in the validation cohort of ESCC patients with recurrence.</w:t>
      </w:r>
    </w:p>
    <w:p w14:paraId="5C2B7224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10BB725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4A2EA1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3B1A6EA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43D6A61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06D15AC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E8C63E9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211F562">
      <w:pPr>
        <w:jc w:val="center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2405" cy="6099810"/>
            <wp:effectExtent l="0" t="0" r="10795" b="8890"/>
            <wp:docPr id="3" name="图片 3" descr="peak-转移复发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peak-转移复发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09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6BEC">
      <w:pPr>
        <w:rPr>
          <w:rFonts w:hint="default" w:ascii="Times New Roman" w:hAnsi="Times New Roman" w:cs="Times New Roman" w:eastAsia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Genome-wide 5hmC distribution in different groups.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(A) Genome-wide 5hmC distribution in metastatic and non-metastatic group. (B) Genome-wide 5hmC distribution in recurrent and non-recurrent group. </w:t>
      </w:r>
    </w:p>
    <w:p w14:paraId="4FD654F6">
      <w:pP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</w:p>
    <w:p w14:paraId="77707F89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76EA0B9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2ADE10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746A9DC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D855CC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B794EF5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85FB621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1135" cy="4386580"/>
            <wp:effectExtent l="0" t="0" r="12065" b="7620"/>
            <wp:docPr id="11" name="图片 11" descr="Supplemental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upplemental Fig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35EA5">
      <w:pPr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Differences in hydroxymethylation levels of 14 5hmC markers between metastatic and non-metastatic groups.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(A-N)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The differences in the levels of hydroxymethylation modification of markers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ZNF469, CLPB, CMAS, STRBP, WDR72, TEX55, SPIN1, TGFBI, HS6ST1, SESN1, NBAS, NAB1, NT5DC3,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MANEA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between metastatic and non-metastatic groups.</w:t>
      </w:r>
    </w:p>
    <w:p w14:paraId="77C8625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28E8A71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857071C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97A10A1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BB5D247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1F38D47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8C4EF00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EF08A86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48EFAD6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1024957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7DA4B81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CBECE81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2405" cy="3825240"/>
            <wp:effectExtent l="0" t="0" r="10795" b="10160"/>
            <wp:docPr id="12" name="图片 12" descr="Supplemental 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upplemental Fig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B6443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The hydroxymethylation levels of 5hmC markers in the metastasis model were different among patients with different clinical stages and lymph node metastasis.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(A-B)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The difference of hydroxymethylation levels of markers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ZNF469, CLPB, CMAS, STRBP, WDR72, TEX55, SPIN1, TGFBI, HS6ST1, SESN1, NBAS, NAB1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>, and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 MANEA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in patients with different clinical stages and lymph node metastasis. *P&lt;0.05, **P&lt;0.01, ***P&lt;0.001, ****P&lt;0.0001</w:t>
      </w:r>
    </w:p>
    <w:p w14:paraId="3FEA3437">
      <w:pP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</w:pPr>
    </w:p>
    <w:p w14:paraId="4E69A3A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AB0A09A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0D3A968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51213B2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2C10723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3FE2D9D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95E3D9D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F68EC6F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4207940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E92380E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3CC37C0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B002A2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3B50CDE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7325" cy="5130800"/>
            <wp:effectExtent l="0" t="0" r="3175" b="0"/>
            <wp:docPr id="13" name="图片 13" descr="Supplemental 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upplemental Fig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1B858">
      <w:pPr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Differences in hydroxymethylation levels of 11 5hmC markers between recurrent group and non-recurrent groups.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(A-K)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The differences in the levels of hydroxymethylation modification of markers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SOX17, SERPINH1, P2RY1, LINC02694, LINC01102, ANGPT2, TRIM37, TP53TG5, LLPH, 4HECTD4,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ACTRT2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between recurrent and non-recurrent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groups.</w:t>
      </w:r>
    </w:p>
    <w:p w14:paraId="06EB2448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C1ED4D5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C4A0675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BF5DAE4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FF5E00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CE009DD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D69F63D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51509BF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7E90D75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8600937"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146040" cy="7586980"/>
            <wp:effectExtent l="0" t="0" r="10160" b="7620"/>
            <wp:docPr id="15" name="图片 15" descr="Supplemental 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upplemental Fig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758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FA8D3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The TCGA data from UALCAN was utilized to analyze the differences in expression levels of metastasis markers between esophageal cancer tissues and normal tissues.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(A-G)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The differential expression levels of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ZNF469, CLPB, CMAS, STRBP, WDR72, TGFBI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>, and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 HS6ST1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>between esophageal cancer tissues and normal tissues. *P&lt;0.05, **P&lt;0.01, ***P&lt;0.001, ****P&lt;0.0001</w:t>
      </w:r>
    </w:p>
    <w:p w14:paraId="6388C230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1135" cy="7453630"/>
            <wp:effectExtent l="0" t="0" r="12065" b="1270"/>
            <wp:docPr id="14" name="图片 14" descr="Supplemental Fig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upplemental Fig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A22B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The TCGA data from UALCAN was utilized to analyze the expression levels of metastasis markers in various clinical stages of esophageal cancer tissues compared to normal tissues.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(A-G)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The differential expression levels of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ZNF469, CLPB, CMAS, STRBP, WDR72, TGFBI,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and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 HS6ST1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>in esophageal cancer tissues compared to normal tissues at various clinical stages. *P&lt;0.05, **P&lt;0.01, ***P&lt;0.001, ****P&lt;0.0001</w:t>
      </w:r>
    </w:p>
    <w:p w14:paraId="7BD7A77C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1135" cy="7453630"/>
            <wp:effectExtent l="0" t="0" r="12065" b="1270"/>
            <wp:docPr id="16" name="图片 16" descr="Supplemental Fig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upplemental Figure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4E64D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The TCGA data from UALCAN was utilized to analyze the expression levels of metastasis markers in different lymph node metastasis of esophageal cancer tissues compared to normal tissues.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(A-G)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The differential expression levels of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ZNF469, CLPB, CMAS, STRBP, WDR72, TGFBI,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HS6ST1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>in esophageal cancer tissues compared to normal tissues at different lymph node metastasis. *P&lt;0.05, **P&lt;0.01, ***P&lt;0.001, ****P&lt;0.0001</w:t>
      </w:r>
    </w:p>
    <w:p w14:paraId="7A1A59F2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3040" cy="4849495"/>
            <wp:effectExtent l="0" t="0" r="10160" b="1905"/>
            <wp:docPr id="17" name="图片 17" descr="Supplemental Fig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upplemental Figure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84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5AA4C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The TCGA data from UALCAN was utilized to analyze the differences in the expression levels of recurrence markers between esophageal cancer tissues and normal tissues and the differences in prognosis.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(A-B)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The differential expression levels of 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SERPINH1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>and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 ANGPT2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between esophageal cancer tissues and normal tissues.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(C) Survival curves for esophageal cancer patients categorized by high or low expression of ANGPT2, displaying overall survival (OS) time (days) versus survival probability. *P&lt;0.05, **P&lt;0.01, ***P&lt;0.001, ****P&lt;0.0001</w:t>
      </w:r>
    </w:p>
    <w:p w14:paraId="659D7034">
      <w:pPr>
        <w:spacing w:line="36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YzUzMWQ4OWI0YzBkYjYzMDRhZTY5ZjZkYmFmYTgifQ=="/>
  </w:docVars>
  <w:rsids>
    <w:rsidRoot w:val="06661BFE"/>
    <w:rsid w:val="06661BFE"/>
    <w:rsid w:val="103435D2"/>
    <w:rsid w:val="13545D39"/>
    <w:rsid w:val="185963B5"/>
    <w:rsid w:val="1E7828DC"/>
    <w:rsid w:val="43DD38AB"/>
    <w:rsid w:val="45B83BDE"/>
    <w:rsid w:val="4D1C3E0D"/>
    <w:rsid w:val="5DB41FC0"/>
    <w:rsid w:val="615D137D"/>
    <w:rsid w:val="69E63E4A"/>
    <w:rsid w:val="6D26479C"/>
    <w:rsid w:val="7EE1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655</Words>
  <Characters>4260</Characters>
  <Lines>0</Lines>
  <Paragraphs>0</Paragraphs>
  <TotalTime>2</TotalTime>
  <ScaleCrop>false</ScaleCrop>
  <LinksUpToDate>false</LinksUpToDate>
  <CharactersWithSpaces>4851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2024-06-07T02:10:00Z</dcterms:created>
  <dc:creator>Sue</dc:creator>
  <cp:lastModifiedBy>chy</cp:lastModifiedBy>
  <dcterms:modified xsi:type="dcterms:W3CDTF">2025-02-17T05:38:24Z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727F10C67C874A76A7BAA4BDFBA028F1_13</vt:lpwstr>
  </property>
  <property fmtid="{D5CDD505-2E9C-101B-9397-08002B2CF9AE}" pid="4" name="KSOTemplateDocerSaveRecord">
    <vt:lpwstr>eyJoZGlkIjoiMDljYzUzMWQ4OWI0YzBkYjYzMDRhZTY5ZjZkYmFmYTgiLCJ1c2VySWQiOiI0MjI5MjkzNjcifQ==</vt:lpwstr>
  </property>
</Properties>
</file>