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89AB9" w14:textId="77777777" w:rsidR="001B1F24" w:rsidRPr="009F6C4C" w:rsidRDefault="001B1F24" w:rsidP="001B1F24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F6C4C">
        <w:rPr>
          <w:rFonts w:asciiTheme="majorBidi" w:hAnsiTheme="majorBidi" w:cstheme="majorBidi"/>
          <w:b/>
          <w:bCs/>
          <w:sz w:val="24"/>
          <w:szCs w:val="24"/>
        </w:rPr>
        <w:t>Table 1</w:t>
      </w:r>
      <w:r w:rsidRPr="009F6C4C">
        <w:rPr>
          <w:rFonts w:asciiTheme="majorBidi" w:hAnsiTheme="majorBidi" w:cstheme="majorBidi"/>
          <w:sz w:val="24"/>
          <w:szCs w:val="24"/>
        </w:rPr>
        <w:t xml:space="preserve">: </w:t>
      </w:r>
      <w:r w:rsidRPr="009F6C4C">
        <w:rPr>
          <w:rFonts w:asciiTheme="majorBidi" w:hAnsiTheme="majorBidi" w:cstheme="majorBidi"/>
          <w:b/>
          <w:bCs/>
          <w:sz w:val="24"/>
          <w:szCs w:val="24"/>
        </w:rPr>
        <w:t>Baseline characteristics of the studies included in the review:</w:t>
      </w:r>
    </w:p>
    <w:tbl>
      <w:tblPr>
        <w:tblStyle w:val="a3"/>
        <w:tblW w:w="15678" w:type="dxa"/>
        <w:tblInd w:w="-1253" w:type="dxa"/>
        <w:tblLayout w:type="fixed"/>
        <w:tblLook w:val="04A0" w:firstRow="1" w:lastRow="0" w:firstColumn="1" w:lastColumn="0" w:noHBand="0" w:noVBand="1"/>
      </w:tblPr>
      <w:tblGrid>
        <w:gridCol w:w="1503"/>
        <w:gridCol w:w="1276"/>
        <w:gridCol w:w="1280"/>
        <w:gridCol w:w="1275"/>
        <w:gridCol w:w="1134"/>
        <w:gridCol w:w="851"/>
        <w:gridCol w:w="850"/>
        <w:gridCol w:w="850"/>
        <w:gridCol w:w="5387"/>
        <w:gridCol w:w="1272"/>
      </w:tblGrid>
      <w:tr w:rsidR="00C54427" w:rsidRPr="005B2491" w14:paraId="48DF220D" w14:textId="66F18810" w:rsidTr="0048574C">
        <w:trPr>
          <w:trHeight w:val="1160"/>
        </w:trPr>
        <w:tc>
          <w:tcPr>
            <w:tcW w:w="1503" w:type="dxa"/>
          </w:tcPr>
          <w:p w14:paraId="0F44B0BC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>Study</w:t>
            </w:r>
          </w:p>
          <w:p w14:paraId="593CC3A2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6" w:type="dxa"/>
            <w:shd w:val="clear" w:color="auto" w:fill="FFFFFF"/>
          </w:tcPr>
          <w:p w14:paraId="0B2A058E" w14:textId="562DB750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48574C">
              <w:rPr>
                <w:rFonts w:asciiTheme="majorBidi" w:hAnsiTheme="majorBidi" w:cstheme="majorBidi"/>
                <w:b/>
                <w:bCs/>
                <w:highlight w:val="yellow"/>
              </w:rPr>
              <w:t>Study design</w:t>
            </w:r>
          </w:p>
        </w:tc>
        <w:tc>
          <w:tcPr>
            <w:tcW w:w="1280" w:type="dxa"/>
            <w:shd w:val="clear" w:color="auto" w:fill="FFFFFF"/>
          </w:tcPr>
          <w:p w14:paraId="6623DB0C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>Country</w:t>
            </w:r>
          </w:p>
          <w:p w14:paraId="0897399F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5" w:type="dxa"/>
            <w:shd w:val="clear" w:color="auto" w:fill="FFFFFF"/>
          </w:tcPr>
          <w:p w14:paraId="2C8A4F92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Total sample size</w:t>
            </w:r>
          </w:p>
        </w:tc>
        <w:tc>
          <w:tcPr>
            <w:tcW w:w="1134" w:type="dxa"/>
            <w:shd w:val="clear" w:color="auto" w:fill="FFFFFF"/>
          </w:tcPr>
          <w:p w14:paraId="511B6077" w14:textId="165A8C04" w:rsidR="00C54427" w:rsidRPr="005B2491" w:rsidRDefault="00C54427" w:rsidP="0048574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 xml:space="preserve">No. of </w:t>
            </w:r>
            <w:r w:rsidR="0048574C" w:rsidRPr="0048574C">
              <w:rPr>
                <w:rFonts w:asciiTheme="majorBidi" w:hAnsiTheme="majorBidi" w:cstheme="majorBidi"/>
                <w:b/>
                <w:bCs/>
                <w:highlight w:val="yellow"/>
              </w:rPr>
              <w:t>cases</w:t>
            </w:r>
          </w:p>
        </w:tc>
        <w:tc>
          <w:tcPr>
            <w:tcW w:w="851" w:type="dxa"/>
            <w:shd w:val="clear" w:color="auto" w:fill="FFFFFF"/>
          </w:tcPr>
          <w:p w14:paraId="22509990" w14:textId="77777777" w:rsid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 xml:space="preserve">Male </w:t>
            </w:r>
          </w:p>
          <w:p w14:paraId="091FE51C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>%</w:t>
            </w:r>
          </w:p>
        </w:tc>
        <w:tc>
          <w:tcPr>
            <w:tcW w:w="850" w:type="dxa"/>
            <w:shd w:val="clear" w:color="auto" w:fill="FFFFFF"/>
          </w:tcPr>
          <w:p w14:paraId="46907480" w14:textId="77777777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C54427">
              <w:rPr>
                <w:rFonts w:asciiTheme="majorBidi" w:hAnsiTheme="majorBidi" w:cstheme="majorBidi"/>
                <w:b/>
                <w:bCs/>
                <w:highlight w:val="yellow"/>
              </w:rPr>
              <w:t>BMI</w:t>
            </w:r>
          </w:p>
          <w:p w14:paraId="4F9AD49C" w14:textId="2ED235EE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C54427">
              <w:rPr>
                <w:rFonts w:asciiTheme="majorBidi" w:hAnsiTheme="majorBidi" w:cstheme="majorBidi"/>
                <w:b/>
                <w:bCs/>
                <w:highlight w:val="yellow"/>
              </w:rPr>
              <w:t>mean</w:t>
            </w:r>
          </w:p>
        </w:tc>
        <w:tc>
          <w:tcPr>
            <w:tcW w:w="850" w:type="dxa"/>
            <w:shd w:val="clear" w:color="auto" w:fill="FFFFFF"/>
          </w:tcPr>
          <w:p w14:paraId="27A514B4" w14:textId="3B01D024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B2491">
              <w:rPr>
                <w:rFonts w:asciiTheme="majorBidi" w:hAnsiTheme="majorBidi" w:cstheme="majorBidi"/>
                <w:b/>
                <w:bCs/>
              </w:rPr>
              <w:t>Age mean</w:t>
            </w:r>
          </w:p>
        </w:tc>
        <w:tc>
          <w:tcPr>
            <w:tcW w:w="5387" w:type="dxa"/>
            <w:shd w:val="clear" w:color="auto" w:fill="FFFFFF"/>
          </w:tcPr>
          <w:p w14:paraId="24B10353" w14:textId="33864CC8" w:rsidR="00C54427" w:rsidRPr="005B2491" w:rsidRDefault="00C54427" w:rsidP="0036503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Main findings</w:t>
            </w:r>
          </w:p>
        </w:tc>
        <w:tc>
          <w:tcPr>
            <w:tcW w:w="1272" w:type="dxa"/>
            <w:shd w:val="clear" w:color="auto" w:fill="FFFFFF"/>
          </w:tcPr>
          <w:p w14:paraId="426E5F7C" w14:textId="77777777" w:rsidR="00C54427" w:rsidRDefault="00C54427" w:rsidP="00C5442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Quality</w:t>
            </w:r>
          </w:p>
          <w:p w14:paraId="5AFDC6D2" w14:textId="5EA55C54" w:rsidR="00C54427" w:rsidRPr="005B2491" w:rsidRDefault="00C54427" w:rsidP="00C5442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assessment</w:t>
            </w:r>
          </w:p>
        </w:tc>
      </w:tr>
      <w:tr w:rsidR="00C54427" w:rsidRPr="005B2491" w14:paraId="5BF0C970" w14:textId="54C14D8A" w:rsidTr="0048574C">
        <w:trPr>
          <w:trHeight w:val="326"/>
        </w:trPr>
        <w:tc>
          <w:tcPr>
            <w:tcW w:w="1503" w:type="dxa"/>
          </w:tcPr>
          <w:p w14:paraId="332A3793" w14:textId="2E7FC082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5B2491">
              <w:rPr>
                <w:rFonts w:asciiTheme="majorBidi" w:hAnsiTheme="majorBidi" w:cstheme="majorBidi"/>
              </w:rPr>
              <w:t>Aksoy</w:t>
            </w:r>
            <w:proofErr w:type="spellEnd"/>
            <w:r w:rsidRPr="005B2491">
              <w:rPr>
                <w:rFonts w:asciiTheme="majorBidi" w:hAnsiTheme="majorBidi" w:cstheme="majorBidi"/>
              </w:rPr>
              <w:t xml:space="preserve"> et al.</w:t>
            </w:r>
            <w:r w:rsidR="0048574C">
              <w:rPr>
                <w:rFonts w:asciiTheme="majorBidi" w:hAnsiTheme="majorBidi" w:cstheme="majorBidi"/>
              </w:rPr>
              <w:t xml:space="preserve"> (2024)</w:t>
            </w:r>
          </w:p>
        </w:tc>
        <w:tc>
          <w:tcPr>
            <w:tcW w:w="1276" w:type="dxa"/>
          </w:tcPr>
          <w:p w14:paraId="75A2CDA1" w14:textId="722B7AF1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Case-control</w:t>
            </w:r>
          </w:p>
        </w:tc>
        <w:tc>
          <w:tcPr>
            <w:tcW w:w="1280" w:type="dxa"/>
          </w:tcPr>
          <w:p w14:paraId="01B7816B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1275" w:type="dxa"/>
          </w:tcPr>
          <w:p w14:paraId="77EC96F2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256</w:t>
            </w:r>
          </w:p>
        </w:tc>
        <w:tc>
          <w:tcPr>
            <w:tcW w:w="1134" w:type="dxa"/>
          </w:tcPr>
          <w:p w14:paraId="4A67C125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851" w:type="dxa"/>
          </w:tcPr>
          <w:p w14:paraId="0969832F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53.5</w:t>
            </w:r>
          </w:p>
        </w:tc>
        <w:tc>
          <w:tcPr>
            <w:tcW w:w="850" w:type="dxa"/>
          </w:tcPr>
          <w:p w14:paraId="5660F213" w14:textId="1D6B8159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>
              <w:rPr>
                <w:rFonts w:asciiTheme="majorBidi" w:hAnsiTheme="majorBidi" w:cstheme="majorBidi"/>
                <w:highlight w:val="yellow"/>
              </w:rPr>
              <w:t>27.6</w:t>
            </w:r>
          </w:p>
        </w:tc>
        <w:tc>
          <w:tcPr>
            <w:tcW w:w="850" w:type="dxa"/>
          </w:tcPr>
          <w:p w14:paraId="2FDA5447" w14:textId="01DB5538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6</w:t>
            </w:r>
            <w:r>
              <w:rPr>
                <w:rFonts w:asciiTheme="majorBidi" w:hAnsiTheme="majorBidi" w:cstheme="majorBidi"/>
              </w:rPr>
              <w:t>2</w:t>
            </w:r>
            <w:r w:rsidRPr="005B2491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>1</w:t>
            </w:r>
            <w:r w:rsidRPr="005B2491">
              <w:rPr>
                <w:rFonts w:asciiTheme="majorBidi" w:hAnsiTheme="majorBidi" w:cstheme="majorBidi"/>
              </w:rPr>
              <w:t xml:space="preserve"> ± 10.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5387" w:type="dxa"/>
          </w:tcPr>
          <w:p w14:paraId="6BBECC3C" w14:textId="07725875" w:rsidR="00C54427" w:rsidRPr="005B2491" w:rsidRDefault="00C54427" w:rsidP="00365038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Mean</w:t>
            </w:r>
            <w:r w:rsidRPr="009F6C4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level of </w:t>
            </w:r>
            <w:r w:rsidRPr="009F6C4C">
              <w:rPr>
                <w:rFonts w:asciiTheme="majorBidi" w:hAnsiTheme="majorBidi" w:cstheme="majorBidi"/>
              </w:rPr>
              <w:t>TyG</w:t>
            </w:r>
            <w:r>
              <w:rPr>
                <w:rFonts w:asciiTheme="majorBidi" w:hAnsiTheme="majorBidi" w:cstheme="majorBidi"/>
              </w:rPr>
              <w:t xml:space="preserve"> index was higher in CRC patients than healthy participants. </w:t>
            </w:r>
            <w:r w:rsidRPr="00896EF4">
              <w:rPr>
                <w:rFonts w:asciiTheme="majorBidi" w:hAnsiTheme="majorBidi" w:cstheme="majorBidi"/>
              </w:rPr>
              <w:t xml:space="preserve">The ROC curve analysis for </w:t>
            </w:r>
            <w:r w:rsidRPr="009F6C4C">
              <w:rPr>
                <w:rFonts w:asciiTheme="majorBidi" w:hAnsiTheme="majorBidi" w:cstheme="majorBidi"/>
              </w:rPr>
              <w:t>TyG index</w:t>
            </w:r>
            <w:r>
              <w:rPr>
                <w:rFonts w:asciiTheme="majorBidi" w:hAnsiTheme="majorBidi" w:cstheme="majorBidi"/>
              </w:rPr>
              <w:t>, based on a cut-off of 4.49,</w:t>
            </w:r>
            <w:r w:rsidRPr="009F6C4C">
              <w:rPr>
                <w:rFonts w:asciiTheme="majorBidi" w:hAnsiTheme="majorBidi" w:cstheme="majorBidi"/>
              </w:rPr>
              <w:t xml:space="preserve"> </w:t>
            </w:r>
            <w:r w:rsidRPr="00896EF4">
              <w:rPr>
                <w:rFonts w:asciiTheme="majorBidi" w:hAnsiTheme="majorBidi" w:cstheme="majorBidi"/>
              </w:rPr>
              <w:t xml:space="preserve">was highly accurate </w:t>
            </w:r>
            <w:r>
              <w:rPr>
                <w:rFonts w:asciiTheme="majorBidi" w:hAnsiTheme="majorBidi" w:cstheme="majorBidi"/>
              </w:rPr>
              <w:t>for the presence of CRC (</w:t>
            </w:r>
            <w:r w:rsidRPr="009F6C4C">
              <w:rPr>
                <w:rFonts w:asciiTheme="majorBidi" w:hAnsiTheme="majorBidi" w:cstheme="majorBidi"/>
              </w:rPr>
              <w:t>AUC = 0.782</w:t>
            </w:r>
            <w:r>
              <w:rPr>
                <w:rFonts w:asciiTheme="majorBidi" w:hAnsiTheme="majorBidi" w:cstheme="majorBidi"/>
              </w:rPr>
              <w:t>), with a se</w:t>
            </w:r>
            <w:r w:rsidRPr="009F6C4C">
              <w:rPr>
                <w:rFonts w:asciiTheme="majorBidi" w:hAnsiTheme="majorBidi" w:cstheme="majorBidi"/>
              </w:rPr>
              <w:t xml:space="preserve">nsitivity </w:t>
            </w:r>
            <w:r>
              <w:rPr>
                <w:rFonts w:asciiTheme="majorBidi" w:hAnsiTheme="majorBidi" w:cstheme="majorBidi"/>
              </w:rPr>
              <w:t>of 77% and a s</w:t>
            </w:r>
            <w:r w:rsidRPr="009F6C4C">
              <w:rPr>
                <w:rFonts w:asciiTheme="majorBidi" w:hAnsiTheme="majorBidi" w:cstheme="majorBidi"/>
              </w:rPr>
              <w:t xml:space="preserve">pecificity </w:t>
            </w:r>
            <w:r>
              <w:rPr>
                <w:rFonts w:asciiTheme="majorBidi" w:hAnsiTheme="majorBidi" w:cstheme="majorBidi"/>
              </w:rPr>
              <w:t>of</w:t>
            </w:r>
            <w:r w:rsidRPr="009F6C4C">
              <w:rPr>
                <w:rFonts w:asciiTheme="majorBidi" w:hAnsiTheme="majorBidi" w:cstheme="majorBidi"/>
              </w:rPr>
              <w:t xml:space="preserve"> 78.4%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72" w:type="dxa"/>
          </w:tcPr>
          <w:p w14:paraId="16C88C83" w14:textId="37846626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9/10</w:t>
            </w:r>
          </w:p>
        </w:tc>
      </w:tr>
      <w:tr w:rsidR="00C54427" w:rsidRPr="005B2491" w14:paraId="78601134" w14:textId="26C34E37" w:rsidTr="0048574C">
        <w:trPr>
          <w:trHeight w:val="326"/>
        </w:trPr>
        <w:tc>
          <w:tcPr>
            <w:tcW w:w="1503" w:type="dxa"/>
          </w:tcPr>
          <w:p w14:paraId="3F6CBBE8" w14:textId="5AB06C61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Fritz et al</w:t>
            </w:r>
            <w:r w:rsidR="0048574C">
              <w:rPr>
                <w:rFonts w:asciiTheme="majorBidi" w:hAnsiTheme="majorBidi" w:cstheme="majorBidi"/>
              </w:rPr>
              <w:t>. (2020)</w:t>
            </w:r>
          </w:p>
        </w:tc>
        <w:tc>
          <w:tcPr>
            <w:tcW w:w="1276" w:type="dxa"/>
          </w:tcPr>
          <w:p w14:paraId="4971948A" w14:textId="77BCE24C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Cohort study</w:t>
            </w:r>
          </w:p>
        </w:tc>
        <w:tc>
          <w:tcPr>
            <w:tcW w:w="1280" w:type="dxa"/>
          </w:tcPr>
          <w:p w14:paraId="255C4322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 xml:space="preserve">Norway, </w:t>
            </w:r>
            <w:r>
              <w:rPr>
                <w:rFonts w:asciiTheme="majorBidi" w:hAnsiTheme="majorBidi" w:cstheme="majorBidi"/>
              </w:rPr>
              <w:t>Sweden, and Austria</w:t>
            </w:r>
          </w:p>
        </w:tc>
        <w:tc>
          <w:tcPr>
            <w:tcW w:w="1275" w:type="dxa"/>
          </w:tcPr>
          <w:p w14:paraId="5F883063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510471</w:t>
            </w:r>
          </w:p>
        </w:tc>
        <w:tc>
          <w:tcPr>
            <w:tcW w:w="1134" w:type="dxa"/>
          </w:tcPr>
          <w:p w14:paraId="06B53949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6462</w:t>
            </w:r>
          </w:p>
        </w:tc>
        <w:tc>
          <w:tcPr>
            <w:tcW w:w="851" w:type="dxa"/>
          </w:tcPr>
          <w:p w14:paraId="71634789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50.5</w:t>
            </w:r>
          </w:p>
        </w:tc>
        <w:tc>
          <w:tcPr>
            <w:tcW w:w="850" w:type="dxa"/>
          </w:tcPr>
          <w:p w14:paraId="3997D09A" w14:textId="2EB38A30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C54427">
              <w:rPr>
                <w:rFonts w:asciiTheme="majorBidi" w:hAnsiTheme="majorBidi" w:cstheme="majorBidi"/>
                <w:highlight w:val="yellow"/>
              </w:rPr>
              <w:t>25.2</w:t>
            </w:r>
          </w:p>
        </w:tc>
        <w:tc>
          <w:tcPr>
            <w:tcW w:w="850" w:type="dxa"/>
          </w:tcPr>
          <w:p w14:paraId="08BC3E72" w14:textId="6033AD9A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43.1 ± 10.6</w:t>
            </w:r>
          </w:p>
        </w:tc>
        <w:tc>
          <w:tcPr>
            <w:tcW w:w="5387" w:type="dxa"/>
          </w:tcPr>
          <w:p w14:paraId="5A121E41" w14:textId="48B835B4" w:rsidR="00C54427" w:rsidRPr="005B2491" w:rsidRDefault="00C54427" w:rsidP="00913C5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9F6C4C">
              <w:rPr>
                <w:rFonts w:asciiTheme="majorBidi" w:hAnsiTheme="majorBidi" w:cstheme="majorBidi"/>
              </w:rPr>
              <w:t xml:space="preserve">TyG index was associated with an increased risk of several cancers, including </w:t>
            </w:r>
            <w:r>
              <w:rPr>
                <w:rFonts w:asciiTheme="majorBidi" w:hAnsiTheme="majorBidi" w:cstheme="majorBidi"/>
              </w:rPr>
              <w:t xml:space="preserve">those of </w:t>
            </w:r>
            <w:r w:rsidRPr="00365038">
              <w:rPr>
                <w:rFonts w:asciiTheme="majorBidi" w:hAnsiTheme="majorBidi" w:cstheme="majorBidi"/>
              </w:rPr>
              <w:t>colon</w:t>
            </w:r>
            <w:r>
              <w:rPr>
                <w:rFonts w:asciiTheme="majorBidi" w:hAnsiTheme="majorBidi" w:cstheme="majorBidi"/>
              </w:rPr>
              <w:t xml:space="preserve"> cancer</w:t>
            </w:r>
            <w:r w:rsidRPr="00365038">
              <w:rPr>
                <w:rFonts w:asciiTheme="majorBidi" w:hAnsiTheme="majorBidi" w:cstheme="majorBidi"/>
              </w:rPr>
              <w:t xml:space="preserve"> and</w:t>
            </w:r>
            <w:r>
              <w:rPr>
                <w:rFonts w:asciiTheme="majorBidi" w:hAnsiTheme="majorBidi" w:cstheme="majorBidi"/>
              </w:rPr>
              <w:t xml:space="preserve"> rectal cancer.</w:t>
            </w:r>
            <w:r w:rsidRPr="00913C5D">
              <w:rPr>
                <w:rFonts w:ascii="AdvPS2A83" w:hAnsi="AdvPS2A83"/>
                <w:color w:val="000000"/>
                <w:sz w:val="20"/>
                <w:szCs w:val="20"/>
              </w:rPr>
              <w:t xml:space="preserve"> </w:t>
            </w:r>
            <w:r w:rsidRPr="00913C5D">
              <w:rPr>
                <w:rFonts w:asciiTheme="majorBidi" w:hAnsiTheme="majorBidi" w:cstheme="majorBidi"/>
              </w:rPr>
              <w:t>Substantial proportions of the effect of BMI were mediated by TyG index for</w:t>
            </w:r>
            <w:r>
              <w:rPr>
                <w:rFonts w:asciiTheme="majorBidi" w:hAnsiTheme="majorBidi" w:cstheme="majorBidi"/>
              </w:rPr>
              <w:t xml:space="preserve"> both cancers. </w:t>
            </w:r>
          </w:p>
        </w:tc>
        <w:tc>
          <w:tcPr>
            <w:tcW w:w="1272" w:type="dxa"/>
          </w:tcPr>
          <w:p w14:paraId="2D9C588B" w14:textId="2B1E0981" w:rsidR="00C54427" w:rsidRPr="005B2491" w:rsidRDefault="008930E3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bookmarkStart w:id="0" w:name="_GoBack"/>
            <w:bookmarkEnd w:id="0"/>
            <w:r w:rsidR="00C54427">
              <w:rPr>
                <w:rFonts w:asciiTheme="majorBidi" w:hAnsiTheme="majorBidi" w:cstheme="majorBidi"/>
              </w:rPr>
              <w:t>/11</w:t>
            </w:r>
          </w:p>
        </w:tc>
      </w:tr>
      <w:tr w:rsidR="00C54427" w:rsidRPr="005B2491" w14:paraId="6BEB3969" w14:textId="61FD87B0" w:rsidTr="0048574C">
        <w:trPr>
          <w:trHeight w:val="326"/>
        </w:trPr>
        <w:tc>
          <w:tcPr>
            <w:tcW w:w="1503" w:type="dxa"/>
          </w:tcPr>
          <w:p w14:paraId="1880F4CC" w14:textId="201FB2F0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5B2491">
              <w:rPr>
                <w:rFonts w:asciiTheme="majorBidi" w:hAnsiTheme="majorBidi" w:cstheme="majorBidi"/>
              </w:rPr>
              <w:t>Gündoğdu</w:t>
            </w:r>
            <w:proofErr w:type="spellEnd"/>
            <w:r w:rsidRPr="005B2491">
              <w:rPr>
                <w:rFonts w:asciiTheme="majorBidi" w:hAnsiTheme="majorBidi" w:cstheme="majorBidi"/>
              </w:rPr>
              <w:t xml:space="preserve"> et al.</w:t>
            </w:r>
            <w:r w:rsidR="0048574C">
              <w:rPr>
                <w:rFonts w:asciiTheme="majorBidi" w:hAnsiTheme="majorBidi" w:cstheme="majorBidi"/>
              </w:rPr>
              <w:t xml:space="preserve"> (2021)</w:t>
            </w:r>
          </w:p>
        </w:tc>
        <w:tc>
          <w:tcPr>
            <w:tcW w:w="1276" w:type="dxa"/>
          </w:tcPr>
          <w:p w14:paraId="263C0828" w14:textId="5FAFC60D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Case-control</w:t>
            </w:r>
          </w:p>
        </w:tc>
        <w:tc>
          <w:tcPr>
            <w:tcW w:w="1280" w:type="dxa"/>
          </w:tcPr>
          <w:p w14:paraId="6811BC66" w14:textId="741BD63A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1275" w:type="dxa"/>
          </w:tcPr>
          <w:p w14:paraId="0B75750B" w14:textId="5F03837D" w:rsidR="00C54427" w:rsidRPr="005B2491" w:rsidRDefault="00C54427" w:rsidP="00C57790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1134" w:type="dxa"/>
          </w:tcPr>
          <w:p w14:paraId="3417CE42" w14:textId="0B1BDAF2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1" w:type="dxa"/>
          </w:tcPr>
          <w:p w14:paraId="10509AB6" w14:textId="0B89454E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225ABF">
              <w:rPr>
                <w:rFonts w:asciiTheme="majorBidi" w:hAnsiTheme="majorBidi" w:cstheme="majorBidi"/>
                <w:highlight w:val="yellow"/>
              </w:rPr>
              <w:t>NR</w:t>
            </w:r>
          </w:p>
        </w:tc>
        <w:tc>
          <w:tcPr>
            <w:tcW w:w="850" w:type="dxa"/>
          </w:tcPr>
          <w:p w14:paraId="46C1355E" w14:textId="404DEE60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>
              <w:rPr>
                <w:rFonts w:asciiTheme="majorBidi" w:hAnsiTheme="majorBidi" w:cstheme="majorBidi"/>
                <w:highlight w:val="yellow"/>
              </w:rPr>
              <w:t>NR</w:t>
            </w:r>
          </w:p>
        </w:tc>
        <w:tc>
          <w:tcPr>
            <w:tcW w:w="850" w:type="dxa"/>
          </w:tcPr>
          <w:p w14:paraId="7F4BFEB2" w14:textId="102A6DC1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225ABF">
              <w:rPr>
                <w:rFonts w:asciiTheme="majorBidi" w:hAnsiTheme="majorBidi" w:cstheme="majorBidi"/>
                <w:highlight w:val="yellow"/>
              </w:rPr>
              <w:t>NR</w:t>
            </w:r>
          </w:p>
        </w:tc>
        <w:tc>
          <w:tcPr>
            <w:tcW w:w="5387" w:type="dxa"/>
          </w:tcPr>
          <w:p w14:paraId="4AD9D1BF" w14:textId="517D575A" w:rsidR="00C54427" w:rsidRPr="005B2491" w:rsidRDefault="00C54427" w:rsidP="00F874F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Median level of </w:t>
            </w:r>
            <w:r w:rsidRPr="00F874F6">
              <w:rPr>
                <w:rFonts w:asciiTheme="majorBidi" w:hAnsiTheme="majorBidi" w:cstheme="majorBidi"/>
              </w:rPr>
              <w:t>TyG index</w:t>
            </w:r>
            <w:r>
              <w:rPr>
                <w:rFonts w:asciiTheme="majorBidi" w:hAnsiTheme="majorBidi" w:cstheme="majorBidi"/>
              </w:rPr>
              <w:t xml:space="preserve"> was higher in CRC patients than healthy participants.</w:t>
            </w:r>
          </w:p>
        </w:tc>
        <w:tc>
          <w:tcPr>
            <w:tcW w:w="1272" w:type="dxa"/>
          </w:tcPr>
          <w:p w14:paraId="564B57CF" w14:textId="1CCD74DC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7/10</w:t>
            </w:r>
          </w:p>
        </w:tc>
      </w:tr>
      <w:tr w:rsidR="00C54427" w:rsidRPr="005B2491" w14:paraId="4D7634B3" w14:textId="2374771E" w:rsidTr="0048574C">
        <w:trPr>
          <w:trHeight w:val="326"/>
        </w:trPr>
        <w:tc>
          <w:tcPr>
            <w:tcW w:w="1503" w:type="dxa"/>
          </w:tcPr>
          <w:p w14:paraId="3A065925" w14:textId="579CE395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Hu et al.</w:t>
            </w:r>
            <w:r w:rsidR="0048574C">
              <w:rPr>
                <w:rFonts w:asciiTheme="majorBidi" w:hAnsiTheme="majorBidi" w:cstheme="majorBidi"/>
              </w:rPr>
              <w:t xml:space="preserve"> (2025)</w:t>
            </w:r>
          </w:p>
        </w:tc>
        <w:tc>
          <w:tcPr>
            <w:tcW w:w="1276" w:type="dxa"/>
          </w:tcPr>
          <w:p w14:paraId="2096BEC7" w14:textId="443CBDFD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Case-control</w:t>
            </w:r>
          </w:p>
        </w:tc>
        <w:tc>
          <w:tcPr>
            <w:tcW w:w="1280" w:type="dxa"/>
          </w:tcPr>
          <w:p w14:paraId="5221A611" w14:textId="7EEE2DAF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1275" w:type="dxa"/>
          </w:tcPr>
          <w:p w14:paraId="6FECC8D8" w14:textId="0EA94184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1311</w:t>
            </w:r>
          </w:p>
        </w:tc>
        <w:tc>
          <w:tcPr>
            <w:tcW w:w="1134" w:type="dxa"/>
          </w:tcPr>
          <w:p w14:paraId="69E1EB2C" w14:textId="6FBAA14A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277</w:t>
            </w:r>
          </w:p>
        </w:tc>
        <w:tc>
          <w:tcPr>
            <w:tcW w:w="851" w:type="dxa"/>
          </w:tcPr>
          <w:p w14:paraId="1B07D59F" w14:textId="18DAB3F1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63.5</w:t>
            </w:r>
          </w:p>
        </w:tc>
        <w:tc>
          <w:tcPr>
            <w:tcW w:w="850" w:type="dxa"/>
          </w:tcPr>
          <w:p w14:paraId="3026AD23" w14:textId="5EF94F7E" w:rsidR="00C54427" w:rsidRPr="00C54427" w:rsidRDefault="00C54427" w:rsidP="00C57790">
            <w:pPr>
              <w:jc w:val="center"/>
              <w:rPr>
                <w:rStyle w:val="fontstyle01"/>
                <w:highlight w:val="yellow"/>
              </w:rPr>
            </w:pPr>
            <w:r>
              <w:rPr>
                <w:rStyle w:val="fontstyle01"/>
                <w:highlight w:val="yellow"/>
              </w:rPr>
              <w:t>23.78</w:t>
            </w:r>
          </w:p>
        </w:tc>
        <w:tc>
          <w:tcPr>
            <w:tcW w:w="850" w:type="dxa"/>
          </w:tcPr>
          <w:p w14:paraId="169AF80D" w14:textId="7D293016" w:rsidR="00C54427" w:rsidRPr="00C57790" w:rsidRDefault="00C54427" w:rsidP="00C57790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66.54 ± 10.91</w:t>
            </w:r>
          </w:p>
        </w:tc>
        <w:tc>
          <w:tcPr>
            <w:tcW w:w="5387" w:type="dxa"/>
          </w:tcPr>
          <w:p w14:paraId="25ADA264" w14:textId="6FB93170" w:rsidR="00C54427" w:rsidRPr="005B2491" w:rsidRDefault="00C54427" w:rsidP="00F874F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3B22B2">
              <w:rPr>
                <w:rFonts w:asciiTheme="majorBidi" w:hAnsiTheme="majorBidi" w:cstheme="majorBidi"/>
              </w:rPr>
              <w:t>The ROC curve analysis for TyG index, based on a cut-off of 8.</w:t>
            </w:r>
            <w:r>
              <w:rPr>
                <w:rFonts w:asciiTheme="majorBidi" w:hAnsiTheme="majorBidi" w:cstheme="majorBidi"/>
              </w:rPr>
              <w:t>63</w:t>
            </w:r>
            <w:r w:rsidRPr="003B22B2">
              <w:rPr>
                <w:rFonts w:asciiTheme="majorBidi" w:hAnsiTheme="majorBidi" w:cstheme="majorBidi"/>
              </w:rPr>
              <w:t>, was moderately accurate for the presence of CRC (AUC = 0.6</w:t>
            </w:r>
            <w:r>
              <w:rPr>
                <w:rFonts w:asciiTheme="majorBidi" w:hAnsiTheme="majorBidi" w:cstheme="majorBidi"/>
              </w:rPr>
              <w:t xml:space="preserve">68). Combining TyG index, </w:t>
            </w:r>
            <w:proofErr w:type="spellStart"/>
            <w:r w:rsidRPr="003B22B2">
              <w:rPr>
                <w:rFonts w:asciiTheme="majorBidi" w:hAnsiTheme="majorBidi" w:cstheme="majorBidi"/>
              </w:rPr>
              <w:t>carcinoembryonic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3B22B2">
              <w:rPr>
                <w:rFonts w:asciiTheme="majorBidi" w:hAnsiTheme="majorBidi" w:cstheme="majorBidi"/>
              </w:rPr>
              <w:t xml:space="preserve">antigen, and carbohydrate </w:t>
            </w:r>
            <w:r>
              <w:rPr>
                <w:rFonts w:asciiTheme="majorBidi" w:hAnsiTheme="majorBidi" w:cstheme="majorBidi"/>
              </w:rPr>
              <w:t>antigen 19-9 yielded a higher</w:t>
            </w:r>
            <w:r w:rsidRPr="003B22B2">
              <w:rPr>
                <w:rFonts w:asciiTheme="majorBidi" w:hAnsiTheme="majorBidi" w:cstheme="majorBidi"/>
              </w:rPr>
              <w:t xml:space="preserve"> positive prediction rate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72" w:type="dxa"/>
          </w:tcPr>
          <w:p w14:paraId="460A8859" w14:textId="77F8BF3D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10/10</w:t>
            </w:r>
          </w:p>
        </w:tc>
      </w:tr>
      <w:tr w:rsidR="00C54427" w:rsidRPr="005B2491" w14:paraId="6AEC3163" w14:textId="1D1D9EFE" w:rsidTr="0048574C">
        <w:trPr>
          <w:trHeight w:val="326"/>
        </w:trPr>
        <w:tc>
          <w:tcPr>
            <w:tcW w:w="1503" w:type="dxa"/>
          </w:tcPr>
          <w:p w14:paraId="4AD08793" w14:textId="5B69B2E5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5B2491">
              <w:rPr>
                <w:rFonts w:asciiTheme="majorBidi" w:hAnsiTheme="majorBidi" w:cstheme="majorBidi"/>
              </w:rPr>
              <w:t>kityo</w:t>
            </w:r>
            <w:proofErr w:type="spellEnd"/>
            <w:r w:rsidRPr="005B2491">
              <w:rPr>
                <w:rFonts w:asciiTheme="majorBidi" w:hAnsiTheme="majorBidi" w:cstheme="majorBidi"/>
              </w:rPr>
              <w:t xml:space="preserve"> et al.</w:t>
            </w:r>
            <w:r w:rsidR="0048574C">
              <w:rPr>
                <w:rFonts w:asciiTheme="majorBidi" w:hAnsiTheme="majorBidi" w:cstheme="majorBidi"/>
              </w:rPr>
              <w:t xml:space="preserve"> (2024)</w:t>
            </w:r>
          </w:p>
        </w:tc>
        <w:tc>
          <w:tcPr>
            <w:tcW w:w="1276" w:type="dxa"/>
          </w:tcPr>
          <w:p w14:paraId="3CEDF65B" w14:textId="6B16D26F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Cohort study</w:t>
            </w:r>
          </w:p>
        </w:tc>
        <w:tc>
          <w:tcPr>
            <w:tcW w:w="1280" w:type="dxa"/>
          </w:tcPr>
          <w:p w14:paraId="1010E6BD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South</w:t>
            </w:r>
            <w:r w:rsidRPr="005B2491">
              <w:rPr>
                <w:rFonts w:asciiTheme="majorBidi" w:hAnsiTheme="majorBidi" w:cstheme="majorBidi"/>
              </w:rPr>
              <w:t xml:space="preserve"> Korea</w:t>
            </w:r>
          </w:p>
        </w:tc>
        <w:tc>
          <w:tcPr>
            <w:tcW w:w="1275" w:type="dxa"/>
          </w:tcPr>
          <w:p w14:paraId="7370A6CA" w14:textId="2114D61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98800</w:t>
            </w:r>
          </w:p>
        </w:tc>
        <w:tc>
          <w:tcPr>
            <w:tcW w:w="1134" w:type="dxa"/>
          </w:tcPr>
          <w:p w14:paraId="43BB942F" w14:textId="181C531D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699</w:t>
            </w:r>
          </w:p>
        </w:tc>
        <w:tc>
          <w:tcPr>
            <w:tcW w:w="851" w:type="dxa"/>
          </w:tcPr>
          <w:p w14:paraId="0E30B235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33.45</w:t>
            </w:r>
          </w:p>
        </w:tc>
        <w:tc>
          <w:tcPr>
            <w:tcW w:w="850" w:type="dxa"/>
          </w:tcPr>
          <w:p w14:paraId="0B34161D" w14:textId="676F0BE8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>
              <w:rPr>
                <w:rFonts w:asciiTheme="majorBidi" w:hAnsiTheme="majorBidi" w:cstheme="majorBidi"/>
                <w:highlight w:val="yellow"/>
              </w:rPr>
              <w:t>NR</w:t>
            </w:r>
          </w:p>
        </w:tc>
        <w:tc>
          <w:tcPr>
            <w:tcW w:w="850" w:type="dxa"/>
          </w:tcPr>
          <w:p w14:paraId="7D315AA4" w14:textId="56CCD5D4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53.2 ± 8.3</w:t>
            </w:r>
          </w:p>
        </w:tc>
        <w:tc>
          <w:tcPr>
            <w:tcW w:w="5387" w:type="dxa"/>
          </w:tcPr>
          <w:p w14:paraId="3481513E" w14:textId="1DD1E90E" w:rsidR="00C54427" w:rsidRPr="005B2491" w:rsidRDefault="00C54427" w:rsidP="003B22B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9F6C4C">
              <w:rPr>
                <w:rFonts w:asciiTheme="majorBidi" w:hAnsiTheme="majorBidi" w:cstheme="majorBidi"/>
              </w:rPr>
              <w:t>Significant association between higher TyG index and presence of CRC.</w:t>
            </w:r>
            <w:r>
              <w:rPr>
                <w:rFonts w:asciiTheme="majorBidi" w:hAnsiTheme="majorBidi" w:cstheme="majorBidi"/>
              </w:rPr>
              <w:t xml:space="preserve"> Association</w:t>
            </w:r>
            <w:r w:rsidRPr="004D6C60">
              <w:rPr>
                <w:rFonts w:asciiTheme="majorBidi" w:hAnsiTheme="majorBidi" w:cstheme="majorBidi"/>
              </w:rPr>
              <w:t xml:space="preserve"> w</w:t>
            </w:r>
            <w:r>
              <w:rPr>
                <w:rFonts w:asciiTheme="majorBidi" w:hAnsiTheme="majorBidi" w:cstheme="majorBidi"/>
              </w:rPr>
              <w:t>as</w:t>
            </w:r>
            <w:r w:rsidRPr="004D6C60">
              <w:rPr>
                <w:rFonts w:asciiTheme="majorBidi" w:hAnsiTheme="majorBidi" w:cstheme="majorBidi"/>
              </w:rPr>
              <w:t xml:space="preserve"> dose-dependent</w:t>
            </w:r>
            <w:r>
              <w:rPr>
                <w:rFonts w:asciiTheme="majorBidi" w:hAnsiTheme="majorBidi" w:cstheme="majorBidi"/>
              </w:rPr>
              <w:t>.</w:t>
            </w:r>
            <w:r w:rsidRPr="004D6C60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The</w:t>
            </w:r>
            <w:r w:rsidRPr="00913C5D">
              <w:rPr>
                <w:rFonts w:ascii="TimesNewRomanPSMT" w:hAnsi="TimesNewRomanPSMT"/>
                <w:color w:val="000000"/>
                <w:sz w:val="20"/>
                <w:szCs w:val="20"/>
              </w:rPr>
              <w:t xml:space="preserve"> </w:t>
            </w:r>
            <w:r w:rsidRPr="00913C5D">
              <w:rPr>
                <w:rFonts w:asciiTheme="majorBidi" w:hAnsiTheme="majorBidi" w:cstheme="majorBidi"/>
              </w:rPr>
              <w:t xml:space="preserve">risk was highest among participants with a high BMI, low </w:t>
            </w:r>
            <w:r w:rsidRPr="00913C5D">
              <w:rPr>
                <w:rFonts w:asciiTheme="majorBidi" w:hAnsiTheme="majorBidi" w:cstheme="majorBidi"/>
              </w:rPr>
              <w:lastRenderedPageBreak/>
              <w:t>fruit and vegetable intake, and high intake of red meat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72" w:type="dxa"/>
          </w:tcPr>
          <w:p w14:paraId="146935E4" w14:textId="573025D8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9/11</w:t>
            </w:r>
          </w:p>
        </w:tc>
      </w:tr>
      <w:tr w:rsidR="00C54427" w:rsidRPr="005B2491" w14:paraId="7740AA26" w14:textId="6463CD32" w:rsidTr="0048574C">
        <w:trPr>
          <w:trHeight w:val="326"/>
        </w:trPr>
        <w:tc>
          <w:tcPr>
            <w:tcW w:w="1503" w:type="dxa"/>
          </w:tcPr>
          <w:p w14:paraId="22B60C80" w14:textId="56115591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lastRenderedPageBreak/>
              <w:t>Liu et al.</w:t>
            </w:r>
            <w:r w:rsidR="0048574C">
              <w:rPr>
                <w:rFonts w:asciiTheme="majorBidi" w:hAnsiTheme="majorBidi" w:cstheme="majorBidi"/>
              </w:rPr>
              <w:t xml:space="preserve"> (2022)</w:t>
            </w:r>
          </w:p>
        </w:tc>
        <w:tc>
          <w:tcPr>
            <w:tcW w:w="1276" w:type="dxa"/>
          </w:tcPr>
          <w:p w14:paraId="3D0A4E50" w14:textId="20AB49BC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Cohort study</w:t>
            </w:r>
          </w:p>
        </w:tc>
        <w:tc>
          <w:tcPr>
            <w:tcW w:w="1280" w:type="dxa"/>
          </w:tcPr>
          <w:p w14:paraId="4F6B154C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1275" w:type="dxa"/>
          </w:tcPr>
          <w:p w14:paraId="5A1CF454" w14:textId="34CE0472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93659</w:t>
            </w:r>
          </w:p>
        </w:tc>
        <w:tc>
          <w:tcPr>
            <w:tcW w:w="1134" w:type="dxa"/>
          </w:tcPr>
          <w:p w14:paraId="23D60DB0" w14:textId="3FF512B9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593</w:t>
            </w:r>
          </w:p>
        </w:tc>
        <w:tc>
          <w:tcPr>
            <w:tcW w:w="851" w:type="dxa"/>
          </w:tcPr>
          <w:p w14:paraId="65D7E43D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79.73</w:t>
            </w:r>
          </w:p>
        </w:tc>
        <w:tc>
          <w:tcPr>
            <w:tcW w:w="850" w:type="dxa"/>
          </w:tcPr>
          <w:p w14:paraId="20A2F85A" w14:textId="4700F0FB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C54427">
              <w:rPr>
                <w:rFonts w:asciiTheme="majorBidi" w:hAnsiTheme="majorBidi" w:cstheme="majorBidi"/>
                <w:highlight w:val="yellow"/>
              </w:rPr>
              <w:t>25.05</w:t>
            </w:r>
          </w:p>
        </w:tc>
        <w:tc>
          <w:tcPr>
            <w:tcW w:w="850" w:type="dxa"/>
          </w:tcPr>
          <w:p w14:paraId="265BE70E" w14:textId="6840FFD2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51.44 ± 12.45</w:t>
            </w:r>
          </w:p>
        </w:tc>
        <w:tc>
          <w:tcPr>
            <w:tcW w:w="5387" w:type="dxa"/>
          </w:tcPr>
          <w:p w14:paraId="57E070A1" w14:textId="70BD98EB" w:rsidR="00C54427" w:rsidRPr="005B2491" w:rsidRDefault="00C54427" w:rsidP="00F874F6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9F6C4C">
              <w:rPr>
                <w:rFonts w:asciiTheme="majorBidi" w:hAnsiTheme="majorBidi" w:cstheme="majorBidi"/>
              </w:rPr>
              <w:t xml:space="preserve">TyG index </w:t>
            </w:r>
            <w:r>
              <w:rPr>
                <w:rFonts w:asciiTheme="majorBidi" w:hAnsiTheme="majorBidi" w:cstheme="majorBidi"/>
              </w:rPr>
              <w:t>was</w:t>
            </w:r>
            <w:r w:rsidRPr="009F6C4C">
              <w:rPr>
                <w:rFonts w:asciiTheme="majorBidi" w:hAnsiTheme="majorBidi" w:cstheme="majorBidi"/>
              </w:rPr>
              <w:t xml:space="preserve"> significantly associated with a higher risk of developing CRC.</w:t>
            </w:r>
            <w:r w:rsidRPr="00896EF4">
              <w:rPr>
                <w:rFonts w:asciiTheme="majorBidi" w:hAnsiTheme="majorBidi" w:cstheme="majorBidi"/>
              </w:rPr>
              <w:t xml:space="preserve"> The ROC curve analysis for </w:t>
            </w:r>
            <w:r w:rsidRPr="009F6C4C">
              <w:rPr>
                <w:rFonts w:asciiTheme="majorBidi" w:hAnsiTheme="majorBidi" w:cstheme="majorBidi"/>
              </w:rPr>
              <w:t>TyG index</w:t>
            </w:r>
            <w:r>
              <w:rPr>
                <w:rFonts w:asciiTheme="majorBidi" w:hAnsiTheme="majorBidi" w:cstheme="majorBidi"/>
              </w:rPr>
              <w:t>, based on a cut-off of 9.06,</w:t>
            </w:r>
            <w:r w:rsidRPr="009F6C4C">
              <w:rPr>
                <w:rFonts w:asciiTheme="majorBidi" w:hAnsiTheme="majorBidi" w:cstheme="majorBidi"/>
              </w:rPr>
              <w:t xml:space="preserve"> </w:t>
            </w:r>
            <w:r w:rsidRPr="00896EF4">
              <w:rPr>
                <w:rFonts w:asciiTheme="majorBidi" w:hAnsiTheme="majorBidi" w:cstheme="majorBidi"/>
              </w:rPr>
              <w:t xml:space="preserve">was </w:t>
            </w:r>
            <w:r>
              <w:rPr>
                <w:rFonts w:asciiTheme="majorBidi" w:hAnsiTheme="majorBidi" w:cstheme="majorBidi"/>
              </w:rPr>
              <w:t>weakly</w:t>
            </w:r>
            <w:r w:rsidRPr="00896EF4">
              <w:rPr>
                <w:rFonts w:asciiTheme="majorBidi" w:hAnsiTheme="majorBidi" w:cstheme="majorBidi"/>
              </w:rPr>
              <w:t xml:space="preserve"> accurate </w:t>
            </w:r>
            <w:r>
              <w:rPr>
                <w:rFonts w:asciiTheme="majorBidi" w:hAnsiTheme="majorBidi" w:cstheme="majorBidi"/>
              </w:rPr>
              <w:t>for the presence of CRC (</w:t>
            </w:r>
            <w:r w:rsidRPr="009F6C4C">
              <w:rPr>
                <w:rFonts w:asciiTheme="majorBidi" w:hAnsiTheme="majorBidi" w:cstheme="majorBidi"/>
              </w:rPr>
              <w:t>AUC = 0.</w:t>
            </w:r>
            <w:r>
              <w:rPr>
                <w:rFonts w:asciiTheme="majorBidi" w:hAnsiTheme="majorBidi" w:cstheme="majorBidi"/>
              </w:rPr>
              <w:t>611),</w:t>
            </w:r>
          </w:p>
        </w:tc>
        <w:tc>
          <w:tcPr>
            <w:tcW w:w="1272" w:type="dxa"/>
          </w:tcPr>
          <w:p w14:paraId="63C3EE39" w14:textId="61CE562F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11/11</w:t>
            </w:r>
          </w:p>
        </w:tc>
      </w:tr>
      <w:tr w:rsidR="00C54427" w:rsidRPr="005B2491" w14:paraId="50FE8AAD" w14:textId="6E96F298" w:rsidTr="0048574C">
        <w:trPr>
          <w:trHeight w:val="326"/>
        </w:trPr>
        <w:tc>
          <w:tcPr>
            <w:tcW w:w="1503" w:type="dxa"/>
          </w:tcPr>
          <w:p w14:paraId="06CC5E95" w14:textId="2097C100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Okamura et al.</w:t>
            </w:r>
            <w:r w:rsidR="0048574C">
              <w:rPr>
                <w:rFonts w:asciiTheme="majorBidi" w:hAnsiTheme="majorBidi" w:cstheme="majorBidi"/>
              </w:rPr>
              <w:t xml:space="preserve"> (2020)</w:t>
            </w:r>
          </w:p>
        </w:tc>
        <w:tc>
          <w:tcPr>
            <w:tcW w:w="1276" w:type="dxa"/>
          </w:tcPr>
          <w:p w14:paraId="69552775" w14:textId="2B4C7874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Cohort study</w:t>
            </w:r>
          </w:p>
        </w:tc>
        <w:tc>
          <w:tcPr>
            <w:tcW w:w="1280" w:type="dxa"/>
          </w:tcPr>
          <w:p w14:paraId="02D7AF97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Japan</w:t>
            </w:r>
          </w:p>
        </w:tc>
        <w:tc>
          <w:tcPr>
            <w:tcW w:w="1275" w:type="dxa"/>
          </w:tcPr>
          <w:p w14:paraId="2777DF8A" w14:textId="0198F3D4" w:rsidR="00C54427" w:rsidRPr="005B2491" w:rsidRDefault="00C54427" w:rsidP="005A025C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279</w:t>
            </w: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1134" w:type="dxa"/>
          </w:tcPr>
          <w:p w14:paraId="3CC78701" w14:textId="63CEBD04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116</w:t>
            </w:r>
          </w:p>
        </w:tc>
        <w:tc>
          <w:tcPr>
            <w:tcW w:w="851" w:type="dxa"/>
          </w:tcPr>
          <w:p w14:paraId="4D9301FC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58.9</w:t>
            </w:r>
          </w:p>
        </w:tc>
        <w:tc>
          <w:tcPr>
            <w:tcW w:w="850" w:type="dxa"/>
          </w:tcPr>
          <w:p w14:paraId="53332A15" w14:textId="7DB6C34B" w:rsidR="00C54427" w:rsidRPr="00C54427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C54427">
              <w:rPr>
                <w:rFonts w:asciiTheme="majorBidi" w:hAnsiTheme="majorBidi" w:cstheme="majorBidi"/>
                <w:highlight w:val="yellow"/>
              </w:rPr>
              <w:t>22.6</w:t>
            </w:r>
          </w:p>
        </w:tc>
        <w:tc>
          <w:tcPr>
            <w:tcW w:w="850" w:type="dxa"/>
          </w:tcPr>
          <w:p w14:paraId="1BC00B79" w14:textId="271E5F1A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45.7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B2491">
              <w:rPr>
                <w:rFonts w:asciiTheme="majorBidi" w:hAnsiTheme="majorBidi" w:cstheme="majorBidi"/>
              </w:rPr>
              <w:t>± 10.1</w:t>
            </w:r>
          </w:p>
        </w:tc>
        <w:tc>
          <w:tcPr>
            <w:tcW w:w="5387" w:type="dxa"/>
          </w:tcPr>
          <w:p w14:paraId="356137A3" w14:textId="04504F50" w:rsidR="00C54427" w:rsidRPr="005B2491" w:rsidRDefault="00C54427" w:rsidP="00E66615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9F6C4C">
              <w:rPr>
                <w:rFonts w:asciiTheme="majorBidi" w:hAnsiTheme="majorBidi" w:cstheme="majorBidi"/>
              </w:rPr>
              <w:t>TyG index was significantly associated with an increased risk of developing CRC</w:t>
            </w:r>
            <w:r>
              <w:rPr>
                <w:rFonts w:asciiTheme="majorBidi" w:hAnsiTheme="majorBidi" w:cstheme="majorBidi"/>
              </w:rPr>
              <w:t xml:space="preserve">. </w:t>
            </w:r>
            <w:r w:rsidRPr="00896EF4">
              <w:rPr>
                <w:rFonts w:asciiTheme="majorBidi" w:hAnsiTheme="majorBidi" w:cstheme="majorBidi"/>
              </w:rPr>
              <w:t xml:space="preserve">The ROC curve analysis for </w:t>
            </w:r>
            <w:r w:rsidRPr="009F6C4C">
              <w:rPr>
                <w:rFonts w:asciiTheme="majorBidi" w:hAnsiTheme="majorBidi" w:cstheme="majorBidi"/>
              </w:rPr>
              <w:t>TyG index</w:t>
            </w:r>
            <w:r>
              <w:rPr>
                <w:rFonts w:asciiTheme="majorBidi" w:hAnsiTheme="majorBidi" w:cstheme="majorBidi"/>
              </w:rPr>
              <w:t>, based on a cut-off of 8.27,</w:t>
            </w:r>
            <w:r w:rsidRPr="009F6C4C">
              <w:rPr>
                <w:rFonts w:asciiTheme="majorBidi" w:hAnsiTheme="majorBidi" w:cstheme="majorBidi"/>
              </w:rPr>
              <w:t xml:space="preserve"> </w:t>
            </w:r>
            <w:r w:rsidRPr="00896EF4">
              <w:rPr>
                <w:rFonts w:asciiTheme="majorBidi" w:hAnsiTheme="majorBidi" w:cstheme="majorBidi"/>
              </w:rPr>
              <w:t xml:space="preserve">was </w:t>
            </w:r>
            <w:r>
              <w:rPr>
                <w:rFonts w:asciiTheme="majorBidi" w:hAnsiTheme="majorBidi" w:cstheme="majorBidi"/>
              </w:rPr>
              <w:t>moderately</w:t>
            </w:r>
            <w:r w:rsidRPr="00896EF4">
              <w:rPr>
                <w:rFonts w:asciiTheme="majorBidi" w:hAnsiTheme="majorBidi" w:cstheme="majorBidi"/>
              </w:rPr>
              <w:t xml:space="preserve"> accurate </w:t>
            </w:r>
            <w:r>
              <w:rPr>
                <w:rFonts w:asciiTheme="majorBidi" w:hAnsiTheme="majorBidi" w:cstheme="majorBidi"/>
              </w:rPr>
              <w:t>for the presence of CRC (</w:t>
            </w:r>
            <w:r w:rsidRPr="009F6C4C">
              <w:rPr>
                <w:rFonts w:asciiTheme="majorBidi" w:hAnsiTheme="majorBidi" w:cstheme="majorBidi"/>
              </w:rPr>
              <w:t>AUC = 0.</w:t>
            </w:r>
            <w:r>
              <w:rPr>
                <w:rFonts w:asciiTheme="majorBidi" w:hAnsiTheme="majorBidi" w:cstheme="majorBidi"/>
              </w:rPr>
              <w:t>6</w:t>
            </w:r>
            <w:r w:rsidRPr="009F6C4C">
              <w:rPr>
                <w:rFonts w:asciiTheme="majorBidi" w:hAnsiTheme="majorBidi" w:cstheme="majorBidi"/>
              </w:rPr>
              <w:t>82</w:t>
            </w:r>
            <w:r>
              <w:rPr>
                <w:rFonts w:asciiTheme="majorBidi" w:hAnsiTheme="majorBidi" w:cstheme="majorBidi"/>
              </w:rPr>
              <w:t>), with a se</w:t>
            </w:r>
            <w:r w:rsidRPr="009F6C4C">
              <w:rPr>
                <w:rFonts w:asciiTheme="majorBidi" w:hAnsiTheme="majorBidi" w:cstheme="majorBidi"/>
              </w:rPr>
              <w:t xml:space="preserve">nsitivity </w:t>
            </w:r>
            <w:r>
              <w:rPr>
                <w:rFonts w:asciiTheme="majorBidi" w:hAnsiTheme="majorBidi" w:cstheme="majorBidi"/>
              </w:rPr>
              <w:t>of 62% and a s</w:t>
            </w:r>
            <w:r w:rsidRPr="009F6C4C">
              <w:rPr>
                <w:rFonts w:asciiTheme="majorBidi" w:hAnsiTheme="majorBidi" w:cstheme="majorBidi"/>
              </w:rPr>
              <w:t xml:space="preserve">pecificity </w:t>
            </w:r>
            <w:r>
              <w:rPr>
                <w:rFonts w:asciiTheme="majorBidi" w:hAnsiTheme="majorBidi" w:cstheme="majorBidi"/>
              </w:rPr>
              <w:t>of</w:t>
            </w:r>
            <w:r w:rsidRPr="009F6C4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66.8</w:t>
            </w:r>
            <w:r w:rsidRPr="009F6C4C">
              <w:rPr>
                <w:rFonts w:asciiTheme="majorBidi" w:hAnsiTheme="majorBidi" w:cstheme="majorBidi"/>
              </w:rPr>
              <w:t>%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72" w:type="dxa"/>
          </w:tcPr>
          <w:p w14:paraId="2FE5B505" w14:textId="38459E15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9/11</w:t>
            </w:r>
          </w:p>
        </w:tc>
      </w:tr>
      <w:tr w:rsidR="00C54427" w:rsidRPr="005B2491" w14:paraId="02549900" w14:textId="1A5E47C7" w:rsidTr="0048574C">
        <w:trPr>
          <w:trHeight w:val="326"/>
        </w:trPr>
        <w:tc>
          <w:tcPr>
            <w:tcW w:w="1503" w:type="dxa"/>
          </w:tcPr>
          <w:p w14:paraId="501AE5C4" w14:textId="0F275202" w:rsidR="00C54427" w:rsidRPr="005B2491" w:rsidRDefault="00C54427" w:rsidP="00FC30FD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Son et al.</w:t>
            </w:r>
            <w:r w:rsidR="0048574C">
              <w:rPr>
                <w:rFonts w:asciiTheme="majorBidi" w:hAnsiTheme="majorBidi" w:cstheme="majorBidi"/>
              </w:rPr>
              <w:t xml:space="preserve"> (2024)</w:t>
            </w:r>
          </w:p>
        </w:tc>
        <w:tc>
          <w:tcPr>
            <w:tcW w:w="1276" w:type="dxa"/>
          </w:tcPr>
          <w:p w14:paraId="32ED5EA7" w14:textId="4B5B0327" w:rsidR="00C54427" w:rsidRPr="0048574C" w:rsidRDefault="0048574C" w:rsidP="00FC30FD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8574C">
              <w:rPr>
                <w:rFonts w:asciiTheme="majorBidi" w:hAnsiTheme="majorBidi" w:cstheme="majorBidi"/>
                <w:highlight w:val="yellow"/>
              </w:rPr>
              <w:t>Cohort study</w:t>
            </w:r>
          </w:p>
        </w:tc>
        <w:tc>
          <w:tcPr>
            <w:tcW w:w="1280" w:type="dxa"/>
          </w:tcPr>
          <w:p w14:paraId="57550D53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South </w:t>
            </w:r>
            <w:r w:rsidRPr="005B2491">
              <w:rPr>
                <w:rFonts w:asciiTheme="majorBidi" w:hAnsiTheme="majorBidi" w:cstheme="majorBidi"/>
              </w:rPr>
              <w:t>Korea</w:t>
            </w:r>
          </w:p>
        </w:tc>
        <w:tc>
          <w:tcPr>
            <w:tcW w:w="1275" w:type="dxa"/>
          </w:tcPr>
          <w:p w14:paraId="74ED0F20" w14:textId="713F651E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314141</w:t>
            </w:r>
          </w:p>
        </w:tc>
        <w:tc>
          <w:tcPr>
            <w:tcW w:w="1134" w:type="dxa"/>
          </w:tcPr>
          <w:p w14:paraId="456A46FF" w14:textId="2985F395" w:rsidR="00C54427" w:rsidRPr="005B2491" w:rsidRDefault="00C54427" w:rsidP="007104C0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6112</w:t>
            </w:r>
          </w:p>
        </w:tc>
        <w:tc>
          <w:tcPr>
            <w:tcW w:w="851" w:type="dxa"/>
          </w:tcPr>
          <w:p w14:paraId="19326E98" w14:textId="77777777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5B2491">
              <w:rPr>
                <w:rFonts w:asciiTheme="majorBidi" w:hAnsiTheme="majorBidi" w:cstheme="majorBidi"/>
              </w:rPr>
              <w:t>53.9</w:t>
            </w:r>
          </w:p>
        </w:tc>
        <w:tc>
          <w:tcPr>
            <w:tcW w:w="850" w:type="dxa"/>
          </w:tcPr>
          <w:p w14:paraId="3FA2E282" w14:textId="0A29B94F" w:rsidR="00C54427" w:rsidRPr="00C54427" w:rsidRDefault="00C54427" w:rsidP="00436174">
            <w:pPr>
              <w:spacing w:line="360" w:lineRule="auto"/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C54427">
              <w:rPr>
                <w:rFonts w:asciiTheme="majorBidi" w:hAnsiTheme="majorBidi" w:cstheme="majorBidi"/>
                <w:highlight w:val="yellow"/>
              </w:rPr>
              <w:t>24</w:t>
            </w:r>
          </w:p>
        </w:tc>
        <w:tc>
          <w:tcPr>
            <w:tcW w:w="850" w:type="dxa"/>
          </w:tcPr>
          <w:p w14:paraId="3EC97B69" w14:textId="6CE245F6" w:rsidR="00C54427" w:rsidRPr="005B2491" w:rsidRDefault="00C54427" w:rsidP="00436174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58.82 </w:t>
            </w:r>
            <w:r w:rsidRPr="005B2491">
              <w:rPr>
                <w:rFonts w:asciiTheme="majorBidi" w:hAnsiTheme="majorBidi" w:cstheme="majorBidi"/>
              </w:rPr>
              <w:t>±</w:t>
            </w:r>
            <w:r>
              <w:rPr>
                <w:rFonts w:asciiTheme="majorBidi" w:hAnsiTheme="majorBidi" w:cstheme="majorBidi"/>
              </w:rPr>
              <w:t xml:space="preserve"> 8.72</w:t>
            </w:r>
          </w:p>
        </w:tc>
        <w:tc>
          <w:tcPr>
            <w:tcW w:w="5387" w:type="dxa"/>
          </w:tcPr>
          <w:p w14:paraId="7C43DABA" w14:textId="36676BD7" w:rsidR="00C54427" w:rsidRPr="001B7337" w:rsidRDefault="00C54427" w:rsidP="003B22B2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1B7337">
              <w:rPr>
                <w:rFonts w:asciiTheme="majorBidi" w:hAnsiTheme="majorBidi" w:cstheme="majorBidi"/>
              </w:rPr>
              <w:t>ignificant association between insulin resistance markers</w:t>
            </w:r>
            <w:r>
              <w:rPr>
                <w:rFonts w:asciiTheme="majorBidi" w:hAnsiTheme="majorBidi" w:cstheme="majorBidi"/>
              </w:rPr>
              <w:t xml:space="preserve">, including </w:t>
            </w:r>
            <w:r w:rsidRPr="001B7337">
              <w:rPr>
                <w:rFonts w:asciiTheme="majorBidi" w:hAnsiTheme="majorBidi" w:cstheme="majorBidi"/>
              </w:rPr>
              <w:t>TyG ind</w:t>
            </w:r>
            <w:r>
              <w:rPr>
                <w:rFonts w:asciiTheme="majorBidi" w:hAnsiTheme="majorBidi" w:cstheme="majorBidi"/>
              </w:rPr>
              <w:t>ex,</w:t>
            </w:r>
            <w:r w:rsidRPr="001B7337">
              <w:rPr>
                <w:rFonts w:asciiTheme="majorBidi" w:hAnsiTheme="majorBidi" w:cstheme="majorBidi"/>
              </w:rPr>
              <w:t xml:space="preserve"> and the incidence of </w:t>
            </w:r>
            <w:r>
              <w:rPr>
                <w:rFonts w:asciiTheme="majorBidi" w:hAnsiTheme="majorBidi" w:cstheme="majorBidi"/>
              </w:rPr>
              <w:t>CRC</w:t>
            </w:r>
            <w:r w:rsidRPr="001B7337">
              <w:rPr>
                <w:rFonts w:asciiTheme="majorBidi" w:hAnsiTheme="majorBidi" w:cstheme="majorBidi"/>
              </w:rPr>
              <w:t>.</w:t>
            </w:r>
          </w:p>
          <w:p w14:paraId="38FE9A27" w14:textId="5470B9EA" w:rsidR="00C54427" w:rsidRPr="005B2491" w:rsidRDefault="00C54427" w:rsidP="00365038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1B7337">
              <w:rPr>
                <w:rFonts w:asciiTheme="majorBidi" w:hAnsiTheme="majorBidi" w:cstheme="majorBidi"/>
              </w:rPr>
              <w:t>The study</w:t>
            </w:r>
            <w:r>
              <w:rPr>
                <w:rFonts w:asciiTheme="majorBidi" w:hAnsiTheme="majorBidi" w:cstheme="majorBidi"/>
              </w:rPr>
              <w:t xml:space="preserve"> also</w:t>
            </w:r>
            <w:r w:rsidRPr="001B7337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found</w:t>
            </w:r>
            <w:r w:rsidRPr="001B7337">
              <w:rPr>
                <w:rFonts w:asciiTheme="majorBidi" w:hAnsiTheme="majorBidi" w:cstheme="majorBidi"/>
              </w:rPr>
              <w:t xml:space="preserve"> disease-free probabilities decrease with higher quartiles of the </w:t>
            </w:r>
            <w:r>
              <w:rPr>
                <w:rFonts w:asciiTheme="majorBidi" w:hAnsiTheme="majorBidi" w:cstheme="majorBidi"/>
              </w:rPr>
              <w:t>TyG index</w:t>
            </w:r>
            <w:r w:rsidRPr="009F6C4C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272" w:type="dxa"/>
          </w:tcPr>
          <w:p w14:paraId="2DF4514B" w14:textId="43CD241D" w:rsidR="00C54427" w:rsidRPr="005B2491" w:rsidRDefault="00C54427" w:rsidP="00FC30FD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11/11</w:t>
            </w:r>
          </w:p>
        </w:tc>
      </w:tr>
    </w:tbl>
    <w:p w14:paraId="7225EAE1" w14:textId="77777777" w:rsidR="0048574C" w:rsidRDefault="0048574C" w:rsidP="0048574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DC6BD6C" w14:textId="41419A01" w:rsidR="0048574C" w:rsidRPr="0048574C" w:rsidRDefault="0048574C" w:rsidP="0048574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574C">
        <w:rPr>
          <w:rFonts w:asciiTheme="majorBidi" w:hAnsiTheme="majorBidi" w:cstheme="majorBidi"/>
          <w:sz w:val="24"/>
          <w:szCs w:val="24"/>
        </w:rPr>
        <w:t xml:space="preserve">TyG: triglycerides-glucose index, CRC: colorectal cancer, AUC: area under the curve, ROC: receiver operating characteristics,, BMI: body mass index </w:t>
      </w:r>
    </w:p>
    <w:p w14:paraId="28B7786A" w14:textId="2FEF3A9D" w:rsidR="001B1F24" w:rsidRPr="009F6C4C" w:rsidRDefault="001B1F24" w:rsidP="001B1F24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1B1F24" w:rsidRPr="009F6C4C" w:rsidSect="003650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AdvPS2A83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1FA4"/>
    <w:multiLevelType w:val="hybridMultilevel"/>
    <w:tmpl w:val="450C6CEE"/>
    <w:lvl w:ilvl="0" w:tplc="6D8868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250653"/>
    <w:multiLevelType w:val="hybridMultilevel"/>
    <w:tmpl w:val="694C0D48"/>
    <w:lvl w:ilvl="0" w:tplc="832813D6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sz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39C"/>
    <w:rsid w:val="00000A88"/>
    <w:rsid w:val="00021386"/>
    <w:rsid w:val="00021DBB"/>
    <w:rsid w:val="00022491"/>
    <w:rsid w:val="0003263E"/>
    <w:rsid w:val="000439C7"/>
    <w:rsid w:val="00051FE2"/>
    <w:rsid w:val="000A064A"/>
    <w:rsid w:val="000A3029"/>
    <w:rsid w:val="000B0E2D"/>
    <w:rsid w:val="000C1F8B"/>
    <w:rsid w:val="000E0699"/>
    <w:rsid w:val="000E3676"/>
    <w:rsid w:val="00111576"/>
    <w:rsid w:val="0012577F"/>
    <w:rsid w:val="00126CB2"/>
    <w:rsid w:val="00132728"/>
    <w:rsid w:val="001575AA"/>
    <w:rsid w:val="00160D5A"/>
    <w:rsid w:val="00162BC8"/>
    <w:rsid w:val="001706EA"/>
    <w:rsid w:val="0017483E"/>
    <w:rsid w:val="00187BC8"/>
    <w:rsid w:val="001B15E9"/>
    <w:rsid w:val="001B1F24"/>
    <w:rsid w:val="001C6401"/>
    <w:rsid w:val="001D3F68"/>
    <w:rsid w:val="001D7B9D"/>
    <w:rsid w:val="001E5097"/>
    <w:rsid w:val="001F6AAE"/>
    <w:rsid w:val="00214EA7"/>
    <w:rsid w:val="002170C4"/>
    <w:rsid w:val="0022040E"/>
    <w:rsid w:val="00224B9C"/>
    <w:rsid w:val="00225ABF"/>
    <w:rsid w:val="002270E7"/>
    <w:rsid w:val="00234D07"/>
    <w:rsid w:val="002470B8"/>
    <w:rsid w:val="002708BB"/>
    <w:rsid w:val="00290576"/>
    <w:rsid w:val="0029200A"/>
    <w:rsid w:val="0029310A"/>
    <w:rsid w:val="002D451B"/>
    <w:rsid w:val="002F40DC"/>
    <w:rsid w:val="002F52E6"/>
    <w:rsid w:val="002F5DE6"/>
    <w:rsid w:val="00303931"/>
    <w:rsid w:val="0031026C"/>
    <w:rsid w:val="00332E23"/>
    <w:rsid w:val="00334E8E"/>
    <w:rsid w:val="0034159D"/>
    <w:rsid w:val="00350703"/>
    <w:rsid w:val="003521FA"/>
    <w:rsid w:val="00362CAD"/>
    <w:rsid w:val="00365038"/>
    <w:rsid w:val="00377069"/>
    <w:rsid w:val="00377D22"/>
    <w:rsid w:val="00384665"/>
    <w:rsid w:val="00397780"/>
    <w:rsid w:val="003A0A3E"/>
    <w:rsid w:val="003A4C97"/>
    <w:rsid w:val="003B22B2"/>
    <w:rsid w:val="003E04F5"/>
    <w:rsid w:val="004048A6"/>
    <w:rsid w:val="0040667D"/>
    <w:rsid w:val="00412321"/>
    <w:rsid w:val="0041697E"/>
    <w:rsid w:val="004172CB"/>
    <w:rsid w:val="004336CF"/>
    <w:rsid w:val="00436174"/>
    <w:rsid w:val="004401AB"/>
    <w:rsid w:val="00477B8B"/>
    <w:rsid w:val="004809D5"/>
    <w:rsid w:val="0048574C"/>
    <w:rsid w:val="00491F84"/>
    <w:rsid w:val="004954E9"/>
    <w:rsid w:val="004A0E59"/>
    <w:rsid w:val="004D6C60"/>
    <w:rsid w:val="004E79BC"/>
    <w:rsid w:val="004F774D"/>
    <w:rsid w:val="0052355D"/>
    <w:rsid w:val="00530E38"/>
    <w:rsid w:val="00532F2D"/>
    <w:rsid w:val="005501C5"/>
    <w:rsid w:val="00556F8C"/>
    <w:rsid w:val="005610B8"/>
    <w:rsid w:val="0057744F"/>
    <w:rsid w:val="0058126B"/>
    <w:rsid w:val="00584D75"/>
    <w:rsid w:val="005A025C"/>
    <w:rsid w:val="005A4C8A"/>
    <w:rsid w:val="005E4737"/>
    <w:rsid w:val="00635B1C"/>
    <w:rsid w:val="0064025B"/>
    <w:rsid w:val="00662C45"/>
    <w:rsid w:val="006645E3"/>
    <w:rsid w:val="0068096A"/>
    <w:rsid w:val="00684D63"/>
    <w:rsid w:val="0068744F"/>
    <w:rsid w:val="006A6163"/>
    <w:rsid w:val="006B2828"/>
    <w:rsid w:val="006B5748"/>
    <w:rsid w:val="006B6404"/>
    <w:rsid w:val="006C2E3A"/>
    <w:rsid w:val="006F1F6A"/>
    <w:rsid w:val="00707237"/>
    <w:rsid w:val="007104C0"/>
    <w:rsid w:val="0071206F"/>
    <w:rsid w:val="007256E4"/>
    <w:rsid w:val="0074545C"/>
    <w:rsid w:val="007569E3"/>
    <w:rsid w:val="00760C74"/>
    <w:rsid w:val="007641B7"/>
    <w:rsid w:val="00786F26"/>
    <w:rsid w:val="007A30E5"/>
    <w:rsid w:val="007B20DE"/>
    <w:rsid w:val="007B305D"/>
    <w:rsid w:val="007B58C3"/>
    <w:rsid w:val="007B6634"/>
    <w:rsid w:val="007C2F94"/>
    <w:rsid w:val="007C739C"/>
    <w:rsid w:val="007D658F"/>
    <w:rsid w:val="007E2BF7"/>
    <w:rsid w:val="007E31EA"/>
    <w:rsid w:val="007E3B2E"/>
    <w:rsid w:val="007E7FC7"/>
    <w:rsid w:val="007F7326"/>
    <w:rsid w:val="008176B9"/>
    <w:rsid w:val="00826771"/>
    <w:rsid w:val="00832372"/>
    <w:rsid w:val="00851FEC"/>
    <w:rsid w:val="0086448B"/>
    <w:rsid w:val="00867D87"/>
    <w:rsid w:val="008930E3"/>
    <w:rsid w:val="008A4929"/>
    <w:rsid w:val="008B05B6"/>
    <w:rsid w:val="008B2E50"/>
    <w:rsid w:val="008C14AB"/>
    <w:rsid w:val="008C151C"/>
    <w:rsid w:val="008C52A2"/>
    <w:rsid w:val="008E7EFC"/>
    <w:rsid w:val="008F6575"/>
    <w:rsid w:val="00902E0D"/>
    <w:rsid w:val="00913C5D"/>
    <w:rsid w:val="00921F6F"/>
    <w:rsid w:val="00945FCC"/>
    <w:rsid w:val="00954F49"/>
    <w:rsid w:val="00962E69"/>
    <w:rsid w:val="00962F90"/>
    <w:rsid w:val="0096336C"/>
    <w:rsid w:val="00965002"/>
    <w:rsid w:val="009663FA"/>
    <w:rsid w:val="00986415"/>
    <w:rsid w:val="009A38BF"/>
    <w:rsid w:val="009A476C"/>
    <w:rsid w:val="009A6599"/>
    <w:rsid w:val="009D4E95"/>
    <w:rsid w:val="009D74F1"/>
    <w:rsid w:val="009D7B42"/>
    <w:rsid w:val="009E025F"/>
    <w:rsid w:val="009E22D1"/>
    <w:rsid w:val="009E546E"/>
    <w:rsid w:val="009F765F"/>
    <w:rsid w:val="00A0521A"/>
    <w:rsid w:val="00A078AE"/>
    <w:rsid w:val="00A20851"/>
    <w:rsid w:val="00A234DC"/>
    <w:rsid w:val="00A34A67"/>
    <w:rsid w:val="00A755E8"/>
    <w:rsid w:val="00A876D3"/>
    <w:rsid w:val="00AA47C1"/>
    <w:rsid w:val="00AD0609"/>
    <w:rsid w:val="00AD1017"/>
    <w:rsid w:val="00B0199D"/>
    <w:rsid w:val="00B04CCA"/>
    <w:rsid w:val="00B135E0"/>
    <w:rsid w:val="00B21C90"/>
    <w:rsid w:val="00B242F2"/>
    <w:rsid w:val="00B302C5"/>
    <w:rsid w:val="00B330CB"/>
    <w:rsid w:val="00B663DC"/>
    <w:rsid w:val="00B939D9"/>
    <w:rsid w:val="00B95520"/>
    <w:rsid w:val="00B97B38"/>
    <w:rsid w:val="00BA07C4"/>
    <w:rsid w:val="00BA0A3D"/>
    <w:rsid w:val="00BA1EE9"/>
    <w:rsid w:val="00BC3732"/>
    <w:rsid w:val="00BD428A"/>
    <w:rsid w:val="00BE3527"/>
    <w:rsid w:val="00BF53CC"/>
    <w:rsid w:val="00C01CC2"/>
    <w:rsid w:val="00C0450E"/>
    <w:rsid w:val="00C15C3F"/>
    <w:rsid w:val="00C4278B"/>
    <w:rsid w:val="00C47141"/>
    <w:rsid w:val="00C53E05"/>
    <w:rsid w:val="00C54427"/>
    <w:rsid w:val="00C57790"/>
    <w:rsid w:val="00C6552E"/>
    <w:rsid w:val="00C80FC7"/>
    <w:rsid w:val="00C815A4"/>
    <w:rsid w:val="00C82C26"/>
    <w:rsid w:val="00C82D50"/>
    <w:rsid w:val="00C94407"/>
    <w:rsid w:val="00CA45A4"/>
    <w:rsid w:val="00CB2FEE"/>
    <w:rsid w:val="00CB7EED"/>
    <w:rsid w:val="00CE445E"/>
    <w:rsid w:val="00D140D2"/>
    <w:rsid w:val="00D15E9C"/>
    <w:rsid w:val="00D16AAF"/>
    <w:rsid w:val="00D31DDA"/>
    <w:rsid w:val="00D41150"/>
    <w:rsid w:val="00D50A7E"/>
    <w:rsid w:val="00D52E97"/>
    <w:rsid w:val="00D560EE"/>
    <w:rsid w:val="00D66763"/>
    <w:rsid w:val="00D70692"/>
    <w:rsid w:val="00D95E30"/>
    <w:rsid w:val="00DC7904"/>
    <w:rsid w:val="00DC7FA2"/>
    <w:rsid w:val="00DE212C"/>
    <w:rsid w:val="00DE6024"/>
    <w:rsid w:val="00E03372"/>
    <w:rsid w:val="00E32FCE"/>
    <w:rsid w:val="00E52589"/>
    <w:rsid w:val="00E63289"/>
    <w:rsid w:val="00E65BC1"/>
    <w:rsid w:val="00E66615"/>
    <w:rsid w:val="00E66E1D"/>
    <w:rsid w:val="00E74194"/>
    <w:rsid w:val="00E74609"/>
    <w:rsid w:val="00EA0321"/>
    <w:rsid w:val="00EB5EF6"/>
    <w:rsid w:val="00EC398B"/>
    <w:rsid w:val="00EC7153"/>
    <w:rsid w:val="00ED2571"/>
    <w:rsid w:val="00ED38F5"/>
    <w:rsid w:val="00EE6CA9"/>
    <w:rsid w:val="00F01C7C"/>
    <w:rsid w:val="00F0777E"/>
    <w:rsid w:val="00F14531"/>
    <w:rsid w:val="00F411D6"/>
    <w:rsid w:val="00F50442"/>
    <w:rsid w:val="00F53BC4"/>
    <w:rsid w:val="00F65BD0"/>
    <w:rsid w:val="00F65E23"/>
    <w:rsid w:val="00F74528"/>
    <w:rsid w:val="00F874F6"/>
    <w:rsid w:val="00F9394B"/>
    <w:rsid w:val="00F95445"/>
    <w:rsid w:val="00F95CF4"/>
    <w:rsid w:val="00FA364A"/>
    <w:rsid w:val="00FA3825"/>
    <w:rsid w:val="00FA59DC"/>
    <w:rsid w:val="00FC043C"/>
    <w:rsid w:val="00FD1648"/>
    <w:rsid w:val="00FD3C42"/>
    <w:rsid w:val="00FD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B7B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">
    <w:name w:val="Pa0"/>
    <w:basedOn w:val="a"/>
    <w:next w:val="a"/>
    <w:uiPriority w:val="99"/>
    <w:rsid w:val="00303931"/>
    <w:pPr>
      <w:autoSpaceDE w:val="0"/>
      <w:autoSpaceDN w:val="0"/>
      <w:adjustRightInd w:val="0"/>
      <w:spacing w:after="0" w:line="161" w:lineRule="atLeas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B305D"/>
    <w:pPr>
      <w:spacing w:line="256" w:lineRule="auto"/>
      <w:ind w:left="720"/>
      <w:contextualSpacing/>
    </w:pPr>
  </w:style>
  <w:style w:type="character" w:customStyle="1" w:styleId="fontstyle01">
    <w:name w:val="fontstyle01"/>
    <w:basedOn w:val="a0"/>
    <w:rsid w:val="00160D5A"/>
    <w:rPr>
      <w:rFonts w:ascii="MinionPro-Regular" w:hAnsi="MinionPro-Regular" w:hint="default"/>
      <w:b w:val="0"/>
      <w:bCs w:val="0"/>
      <w:i w:val="0"/>
      <w:iCs w:val="0"/>
      <w:color w:val="231F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">
    <w:name w:val="Pa0"/>
    <w:basedOn w:val="a"/>
    <w:next w:val="a"/>
    <w:uiPriority w:val="99"/>
    <w:rsid w:val="00303931"/>
    <w:pPr>
      <w:autoSpaceDE w:val="0"/>
      <w:autoSpaceDN w:val="0"/>
      <w:adjustRightInd w:val="0"/>
      <w:spacing w:after="0" w:line="161" w:lineRule="atLeas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B305D"/>
    <w:pPr>
      <w:spacing w:line="256" w:lineRule="auto"/>
      <w:ind w:left="720"/>
      <w:contextualSpacing/>
    </w:pPr>
  </w:style>
  <w:style w:type="character" w:customStyle="1" w:styleId="fontstyle01">
    <w:name w:val="fontstyle01"/>
    <w:basedOn w:val="a0"/>
    <w:rsid w:val="00160D5A"/>
    <w:rPr>
      <w:rFonts w:ascii="MinionPro-Regular" w:hAnsi="MinionPro-Regular" w:hint="default"/>
      <w:b w:val="0"/>
      <w:bCs w:val="0"/>
      <w:i w:val="0"/>
      <w:iCs w:val="0"/>
      <w:color w:val="231F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163">
          <w:blockQuote w:val="1"/>
          <w:marLeft w:val="36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2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7560">
          <w:blockQuote w:val="1"/>
          <w:marLeft w:val="36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723">
          <w:blockQuote w:val="1"/>
          <w:marLeft w:val="36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5184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</dc:creator>
  <cp:keywords/>
  <dc:description/>
  <cp:lastModifiedBy>HP A</cp:lastModifiedBy>
  <cp:revision>140</cp:revision>
  <dcterms:created xsi:type="dcterms:W3CDTF">2019-01-27T08:38:00Z</dcterms:created>
  <dcterms:modified xsi:type="dcterms:W3CDTF">2025-05-28T11:11:00Z</dcterms:modified>
</cp:coreProperties>
</file>