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F2E8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l2br w:val="nil"/>
              <w:tr2bl w:val="nil"/>
            </w:tcBorders>
          </w:tcPr>
          <w:p w14:paraId="6F24B8A6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Supplementary Figure S1. </w:t>
            </w:r>
          </w:p>
          <w:p w14:paraId="406BA6AD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>GO and KEGG enrichment analyses of differentially expressed genes (DEGs) between P2RX4-high and P2RX4-low expression groups in the TCGA-LIHC cohort.</w:t>
            </w:r>
          </w:p>
        </w:tc>
      </w:tr>
      <w:tr w14:paraId="3B036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6" w:hRule="atLeast"/>
        </w:trPr>
        <w:tc>
          <w:tcPr>
            <w:tcW w:w="8522" w:type="dxa"/>
            <w:tcBorders>
              <w:tl2br w:val="nil"/>
              <w:tr2bl w:val="nil"/>
            </w:tcBorders>
          </w:tcPr>
          <w:p w14:paraId="380A18A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5269865" cy="7781290"/>
                  <wp:effectExtent l="0" t="0" r="6985" b="635"/>
                  <wp:docPr id="2" name="图片 2" descr="TCGA+GO+KEG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TCGA+GO+KEGG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65" cy="778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CA7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l2br w:val="nil"/>
              <w:tr2bl w:val="nil"/>
            </w:tcBorders>
          </w:tcPr>
          <w:p w14:paraId="678E1E97">
            <w:pPr>
              <w:spacing w:line="240" w:lineRule="auto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(A)</w:t>
            </w: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>GO analysis results are categorized into biological process (BP), cellular component (CC), and molecular function (MF). The DEGs were enriched in immune-related processes (B cell mediated immunity, leukocyte activation), ion channel complexes, and cation channel activity.</w:t>
            </w:r>
          </w:p>
          <w:p w14:paraId="3FCB40C0">
            <w:pPr>
              <w:spacing w:line="240" w:lineRule="auto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(B)</w:t>
            </w: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>KEGG pathway analysis revealed significant enrichment in calcium signaling, cytokine–cytokine receptor interaction, cell cycle, and other immune-related pathways. Dot size represents gene count; color gradient reflects p-values.</w:t>
            </w:r>
          </w:p>
        </w:tc>
      </w:tr>
    </w:tbl>
    <w:p w14:paraId="365B111D">
      <w:pPr>
        <w:rPr>
          <w:rFonts w:hint="default" w:ascii="Times New Roman" w:hAnsi="Times New Roman" w:cs="Times New Roman" w:eastAsiaTheme="minorEastAsia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CF47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0F299A44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>Supplementary Figure S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>.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</w:p>
          <w:p w14:paraId="4AD6432E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Co-expression analysis of P2RX4 with selected genes in hepatocellular carcinoma (HCC) based on TCGA-LIHC transcriptome data.  </w:t>
            </w:r>
          </w:p>
          <w:p w14:paraId="58B76CBD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</w:p>
        </w:tc>
      </w:tr>
      <w:tr w14:paraId="61327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59BC8E7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4001770" cy="5514340"/>
                  <wp:effectExtent l="0" t="0" r="0" b="0"/>
                  <wp:docPr id="3" name="图片 3" descr="共表达10个and差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共表达10个and差异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r="24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1770" cy="551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1E0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1EDA386A">
            <w:pPr>
              <w:numPr>
                <w:ilvl w:val="0"/>
                <w:numId w:val="1"/>
              </w:num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>Circos plot showing pairwise Pearson correlation coefficients among P2RX4 and ten co-expressed genes. Red ribbons indicate positive correlations; green ribbons indicate negative correlations. Color intensity reflects correlation strength (range: -1 to 1).</w:t>
            </w:r>
          </w:p>
          <w:p w14:paraId="557A04FC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(B)</w:t>
            </w: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>Scatter plots showing the correlation between P2RX4 and each gene. Regression lines with 95% confidence intervals are shown. Pearson’s R and p-values are indicated. All correlations are statistically significant.The included genes and their known or predicted functions are:</w:t>
            </w:r>
          </w:p>
          <w:p w14:paraId="2DB58D0C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CERS5: ceramide synthesis and lipid metabolism.  </w:t>
            </w:r>
          </w:p>
          <w:p w14:paraId="4AE8A818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CKAP4: PI3K/AKT signaling and ER membrane regulation.  </w:t>
            </w:r>
          </w:p>
          <w:p w14:paraId="6D83A28A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ARPC3: actin cytoskeleton organization and cell motility.  </w:t>
            </w:r>
          </w:p>
          <w:p w14:paraId="123A646E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SPPL3: glycosylation control and intramembrane proteolysis.  </w:t>
            </w:r>
          </w:p>
          <w:p w14:paraId="231BCE7A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PHETA1: endosomal trafficking and membrane transport.  </w:t>
            </w:r>
          </w:p>
          <w:p w14:paraId="4067FF09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MTHFD1: folate metabolism and nucleotide biosynthesis.  </w:t>
            </w:r>
          </w:p>
          <w:p w14:paraId="73760CC5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CTH: cysteine metabolism and redox homeostasis.  </w:t>
            </w:r>
          </w:p>
          <w:p w14:paraId="4910615A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AASS: lysine degradation and amino acid metabolism.  </w:t>
            </w:r>
          </w:p>
          <w:p w14:paraId="1748C337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 xml:space="preserve">ADH1B: alcohol metabolism and liver function.  </w:t>
            </w:r>
          </w:p>
          <w:p w14:paraId="05C942DA">
            <w:pP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>AL354872.1: uncharacterized long non-coding RNA annotated in TCGA GENCODE; potential regulatory role is unknown.</w:t>
            </w:r>
          </w:p>
        </w:tc>
      </w:tr>
    </w:tbl>
    <w:p w14:paraId="03B5027E">
      <w:pPr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522"/>
      </w:tblGrid>
      <w:tr w14:paraId="1ED93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3F22A3B5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  <w:t>Supplementary Figure S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  <w:p w14:paraId="3BC359E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P2RX4 Promotes Proliferation and Invasion of LM3 Cells</w:t>
            </w:r>
          </w:p>
        </w:tc>
      </w:tr>
      <w:tr w14:paraId="13608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4FA5CBB7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5266690" cy="2962910"/>
                  <wp:effectExtent l="0" t="0" r="10160" b="8890"/>
                  <wp:docPr id="6" name="图片 6" descr="功能试验模板_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功能试验模板_0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296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9E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36CDC733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</w:rPr>
              <w:t>A.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Establishment of LM3 cells with stable overexpression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br w:type="textWrapping"/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</w:rPr>
              <w:t>B.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LM3 overexpression promotes HCC cell proliferation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br w:type="textWrapping"/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</w:rPr>
              <w:t>C.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LM3 overexpression enhances HCC cell invasion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br w:type="textWrapping"/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</w:rPr>
              <w:t>D.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LM3 overexpression increases colony formation ability of HCC cells</w:t>
            </w:r>
          </w:p>
        </w:tc>
      </w:tr>
    </w:tbl>
    <w:p w14:paraId="2328D4A8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1DE1CB"/>
    <w:multiLevelType w:val="singleLevel"/>
    <w:tmpl w:val="CE1DE1CB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162A5"/>
    <w:rsid w:val="0A70665C"/>
    <w:rsid w:val="0ABB4D47"/>
    <w:rsid w:val="0C5E1E2E"/>
    <w:rsid w:val="12BF07D9"/>
    <w:rsid w:val="15384FD5"/>
    <w:rsid w:val="156A4891"/>
    <w:rsid w:val="1D6D0123"/>
    <w:rsid w:val="2C4A3BF1"/>
    <w:rsid w:val="2F06393C"/>
    <w:rsid w:val="480D7819"/>
    <w:rsid w:val="4FD55D56"/>
    <w:rsid w:val="50E66C46"/>
    <w:rsid w:val="5E972215"/>
    <w:rsid w:val="6B2011A0"/>
    <w:rsid w:val="6E427166"/>
    <w:rsid w:val="78D2579D"/>
    <w:rsid w:val="7FB0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246</Words>
  <Characters>1708</Characters>
  <Lines>0</Lines>
  <Paragraphs>0</Paragraphs>
  <TotalTime>1</TotalTime>
  <ScaleCrop>false</ScaleCrop>
  <LinksUpToDate>false</LinksUpToDate>
  <CharactersWithSpaces>1958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2025-04-22T03:41:00Z</dcterms:created>
  <dc:creator>niuwa</dc:creator>
  <cp:lastModifiedBy>WPS_1505989301</cp:lastModifiedBy>
  <dcterms:modified xsi:type="dcterms:W3CDTF">2025-08-07T05:47:32Z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eyJoZGlkIjoiYmM2N2NjOTI3YzkxODkzMTc3N2RhNjQxNjkwMjhjNjEiLCJ1c2VySWQiOiIzMDU1NjkxMjQifQ==</vt:lpwstr>
  </property>
  <property fmtid="{D5CDD505-2E9C-101B-9397-08002B2CF9AE}" pid="4" name="ICV">
    <vt:lpwstr>9FD5A492336B402F929BB5A01FD7E909_12</vt:lpwstr>
  </property>
</Properties>
</file>