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E4C66">
      <w:pPr>
        <w:spacing w:line="360" w:lineRule="auto"/>
        <w:rPr>
          <w:rFonts w:hint="default" w:ascii="Times New Roman" w:hAnsi="Times New Roman" w:eastAsia="宋体" w:cs="Times New Roman"/>
          <w:b/>
          <w:sz w:val="24"/>
          <w:szCs w:val="18"/>
        </w:rPr>
      </w:pPr>
      <w:bookmarkStart w:id="0" w:name="OLE_LINK4"/>
      <w:bookmarkStart w:id="1" w:name="OLE_LINK3"/>
      <w:r>
        <w:rPr>
          <w:rFonts w:hint="default" w:ascii="Times New Roman" w:hAnsi="Times New Roman" w:eastAsia="宋体" w:cs="Times New Roman"/>
          <w:b/>
          <w:sz w:val="24"/>
          <w:szCs w:val="18"/>
        </w:rPr>
        <w:t>T</w:t>
      </w:r>
      <w:r>
        <w:rPr>
          <w:rFonts w:hint="default" w:ascii="Times New Roman" w:hAnsi="Times New Roman" w:eastAsia="宋体" w:cs="Times New Roman"/>
          <w:b/>
          <w:sz w:val="24"/>
          <w:szCs w:val="18"/>
        </w:rPr>
        <w:t xml:space="preserve">able </w:t>
      </w:r>
      <w:r>
        <w:rPr>
          <w:rFonts w:hint="default" w:ascii="Times New Roman" w:hAnsi="Times New Roman" w:eastAsia="宋体" w:cs="Times New Roman"/>
          <w:b/>
          <w:sz w:val="24"/>
          <w:szCs w:val="18"/>
        </w:rPr>
        <w:t>S</w:t>
      </w:r>
      <w:r>
        <w:rPr>
          <w:rFonts w:hint="default" w:ascii="Times New Roman" w:hAnsi="Times New Roman" w:eastAsia="宋体" w:cs="Times New Roman"/>
          <w:b/>
          <w:sz w:val="24"/>
          <w:szCs w:val="18"/>
        </w:rPr>
        <w:t>1. Qualitative assessment of included study.</w:t>
      </w:r>
    </w:p>
    <w:tbl>
      <w:tblPr>
        <w:tblStyle w:val="5"/>
        <w:tblpPr w:leftFromText="180" w:rightFromText="180" w:vertAnchor="page" w:horzAnchor="page" w:tblpXSpec="center" w:tblpY="2504"/>
        <w:tblOverlap w:val="never"/>
        <w:tblW w:w="960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2"/>
        <w:gridCol w:w="2282"/>
        <w:gridCol w:w="516"/>
        <w:gridCol w:w="516"/>
        <w:gridCol w:w="516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</w:tblGrid>
      <w:tr w14:paraId="5E14B1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11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F94F7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Column</w:t>
            </w:r>
          </w:p>
        </w:tc>
        <w:tc>
          <w:tcPr>
            <w:tcW w:w="22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B783D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Entries</w:t>
            </w:r>
          </w:p>
        </w:tc>
        <w:tc>
          <w:tcPr>
            <w:tcW w:w="6201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99E597"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Study</w:t>
            </w:r>
          </w:p>
        </w:tc>
      </w:tr>
      <w:tr w14:paraId="4176A6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122" w:type="dxa"/>
            <w:tcBorders>
              <w:top w:val="single" w:color="auto" w:sz="4" w:space="0"/>
            </w:tcBorders>
            <w:vAlign w:val="center"/>
          </w:tcPr>
          <w:p w14:paraId="1579BC20"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color="auto" w:sz="4" w:space="0"/>
              <w:bottom w:val="nil"/>
            </w:tcBorders>
            <w:vAlign w:val="center"/>
          </w:tcPr>
          <w:p w14:paraId="251B6482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color="auto" w:sz="4" w:space="0"/>
            </w:tcBorders>
            <w:vAlign w:val="center"/>
          </w:tcPr>
          <w:p w14:paraId="25E6A7B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6" w:type="dxa"/>
            <w:tcBorders>
              <w:top w:val="single" w:color="auto" w:sz="4" w:space="0"/>
            </w:tcBorders>
            <w:vAlign w:val="center"/>
          </w:tcPr>
          <w:p w14:paraId="7D387E0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6" w:type="dxa"/>
            <w:tcBorders>
              <w:top w:val="single" w:color="auto" w:sz="4" w:space="0"/>
            </w:tcBorders>
            <w:vAlign w:val="center"/>
          </w:tcPr>
          <w:p w14:paraId="155BE15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17" w:type="dxa"/>
            <w:tcBorders>
              <w:top w:val="single" w:color="auto" w:sz="4" w:space="0"/>
            </w:tcBorders>
            <w:vAlign w:val="center"/>
          </w:tcPr>
          <w:p w14:paraId="4502AA29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7" w:type="dxa"/>
            <w:tcBorders>
              <w:top w:val="single" w:color="auto" w:sz="4" w:space="0"/>
            </w:tcBorders>
            <w:vAlign w:val="center"/>
          </w:tcPr>
          <w:p w14:paraId="7AE0789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7" w:type="dxa"/>
            <w:tcBorders>
              <w:top w:val="single" w:color="auto" w:sz="4" w:space="0"/>
            </w:tcBorders>
            <w:vAlign w:val="center"/>
          </w:tcPr>
          <w:p w14:paraId="6EE474B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17" w:type="dxa"/>
            <w:tcBorders>
              <w:top w:val="single" w:color="auto" w:sz="4" w:space="0"/>
            </w:tcBorders>
            <w:vAlign w:val="center"/>
          </w:tcPr>
          <w:p w14:paraId="4BE09E6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17" w:type="dxa"/>
            <w:tcBorders>
              <w:top w:val="single" w:color="auto" w:sz="4" w:space="0"/>
            </w:tcBorders>
            <w:vAlign w:val="center"/>
          </w:tcPr>
          <w:p w14:paraId="4488058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7" w:type="dxa"/>
            <w:tcBorders>
              <w:top w:val="single" w:color="auto" w:sz="4" w:space="0"/>
            </w:tcBorders>
            <w:vAlign w:val="center"/>
          </w:tcPr>
          <w:p w14:paraId="2ED410C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7" w:type="dxa"/>
            <w:tcBorders>
              <w:top w:val="single" w:color="auto" w:sz="4" w:space="0"/>
            </w:tcBorders>
            <w:vAlign w:val="center"/>
          </w:tcPr>
          <w:p w14:paraId="15F3C32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17" w:type="dxa"/>
            <w:tcBorders>
              <w:top w:val="single" w:color="auto" w:sz="4" w:space="0"/>
            </w:tcBorders>
            <w:vAlign w:val="center"/>
          </w:tcPr>
          <w:p w14:paraId="21433E4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17" w:type="dxa"/>
            <w:tcBorders>
              <w:top w:val="single" w:color="auto" w:sz="4" w:space="0"/>
            </w:tcBorders>
            <w:vAlign w:val="center"/>
          </w:tcPr>
          <w:p w14:paraId="0195C99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12</w:t>
            </w:r>
          </w:p>
        </w:tc>
      </w:tr>
      <w:tr w14:paraId="76522D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122" w:type="dxa"/>
            <w:vMerge w:val="restart"/>
            <w:tcBorders>
              <w:right w:val="nil"/>
            </w:tcBorders>
            <w:vAlign w:val="center"/>
          </w:tcPr>
          <w:p w14:paraId="7C75B28B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Section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1579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Is the definition adequate</w:t>
            </w:r>
          </w:p>
        </w:tc>
        <w:tc>
          <w:tcPr>
            <w:tcW w:w="516" w:type="dxa"/>
            <w:tcBorders>
              <w:left w:val="nil"/>
            </w:tcBorders>
            <w:vAlign w:val="center"/>
          </w:tcPr>
          <w:p w14:paraId="2DBA7DA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bookmarkStart w:id="2" w:name="OLE_LINK5"/>
            <w:bookmarkStart w:id="3" w:name="OLE_LINK6"/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  <w:bookmarkEnd w:id="2"/>
            <w:bookmarkEnd w:id="3"/>
          </w:p>
        </w:tc>
        <w:tc>
          <w:tcPr>
            <w:tcW w:w="516" w:type="dxa"/>
            <w:vAlign w:val="center"/>
          </w:tcPr>
          <w:p w14:paraId="5A7292D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6" w:type="dxa"/>
            <w:vAlign w:val="center"/>
          </w:tcPr>
          <w:p w14:paraId="7752D56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7B0D316D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04265AF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1C18339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38184FC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14AF15B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4FE336C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3930C46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5247748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02235BA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</w:tr>
      <w:tr w14:paraId="28D8B4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122" w:type="dxa"/>
            <w:vMerge w:val="continue"/>
            <w:tcBorders>
              <w:right w:val="nil"/>
            </w:tcBorders>
            <w:vAlign w:val="center"/>
          </w:tcPr>
          <w:p w14:paraId="39AAAAE6"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FF7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Representativeness of the cases</w:t>
            </w:r>
          </w:p>
        </w:tc>
        <w:tc>
          <w:tcPr>
            <w:tcW w:w="516" w:type="dxa"/>
            <w:tcBorders>
              <w:left w:val="nil"/>
            </w:tcBorders>
            <w:vAlign w:val="center"/>
          </w:tcPr>
          <w:p w14:paraId="7CE3554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6" w:type="dxa"/>
            <w:vAlign w:val="center"/>
          </w:tcPr>
          <w:p w14:paraId="7F14C3F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6" w:type="dxa"/>
            <w:vAlign w:val="center"/>
          </w:tcPr>
          <w:p w14:paraId="21E3EA6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406B451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0E97AD7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177F33C9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01742B5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3D5AE21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4EAF206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5203103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624A3C6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44D6043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</w:tr>
      <w:tr w14:paraId="798C4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122" w:type="dxa"/>
            <w:vMerge w:val="continue"/>
            <w:tcBorders>
              <w:right w:val="nil"/>
            </w:tcBorders>
            <w:vAlign w:val="center"/>
          </w:tcPr>
          <w:p w14:paraId="2912AE5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11D6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Selection of controls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*</w:t>
            </w:r>
          </w:p>
        </w:tc>
        <w:tc>
          <w:tcPr>
            <w:tcW w:w="516" w:type="dxa"/>
            <w:tcBorders>
              <w:left w:val="nil"/>
            </w:tcBorders>
            <w:vAlign w:val="center"/>
          </w:tcPr>
          <w:p w14:paraId="70292DCB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516" w:type="dxa"/>
            <w:vAlign w:val="center"/>
          </w:tcPr>
          <w:p w14:paraId="7C20411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516" w:type="dxa"/>
            <w:vAlign w:val="center"/>
          </w:tcPr>
          <w:p w14:paraId="3A2CFFED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517" w:type="dxa"/>
            <w:vAlign w:val="center"/>
          </w:tcPr>
          <w:p w14:paraId="0694F5F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517" w:type="dxa"/>
            <w:vAlign w:val="center"/>
          </w:tcPr>
          <w:p w14:paraId="45E5C2F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517" w:type="dxa"/>
            <w:vAlign w:val="center"/>
          </w:tcPr>
          <w:p w14:paraId="3A2FCF8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517" w:type="dxa"/>
            <w:vAlign w:val="center"/>
          </w:tcPr>
          <w:p w14:paraId="3E83BE6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517" w:type="dxa"/>
            <w:vAlign w:val="center"/>
          </w:tcPr>
          <w:p w14:paraId="23244639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517" w:type="dxa"/>
            <w:vAlign w:val="center"/>
          </w:tcPr>
          <w:p w14:paraId="0205EA2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517" w:type="dxa"/>
            <w:vAlign w:val="center"/>
          </w:tcPr>
          <w:p w14:paraId="619ADD5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517" w:type="dxa"/>
            <w:vAlign w:val="center"/>
          </w:tcPr>
          <w:p w14:paraId="221CCD4E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517" w:type="dxa"/>
            <w:vAlign w:val="center"/>
          </w:tcPr>
          <w:p w14:paraId="2A12FB4B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</w:tr>
      <w:tr w14:paraId="3579B5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122" w:type="dxa"/>
            <w:vMerge w:val="continue"/>
            <w:tcBorders>
              <w:right w:val="nil"/>
            </w:tcBorders>
            <w:vAlign w:val="center"/>
          </w:tcPr>
          <w:p w14:paraId="0197ADA2"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B362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Definition of controls</w:t>
            </w:r>
          </w:p>
        </w:tc>
        <w:tc>
          <w:tcPr>
            <w:tcW w:w="516" w:type="dxa"/>
            <w:tcBorders>
              <w:left w:val="nil"/>
            </w:tcBorders>
            <w:vAlign w:val="center"/>
          </w:tcPr>
          <w:p w14:paraId="27B58F5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6" w:type="dxa"/>
            <w:vAlign w:val="center"/>
          </w:tcPr>
          <w:p w14:paraId="025DEA0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6" w:type="dxa"/>
            <w:vAlign w:val="center"/>
          </w:tcPr>
          <w:p w14:paraId="5C4874A9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313618A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6CA21B8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71BA5C5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6AEF943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59A8089E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400D749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2C599E6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3AACB40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vAlign w:val="center"/>
          </w:tcPr>
          <w:p w14:paraId="0064D70B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</w:tr>
      <w:tr w14:paraId="3FB400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0" w:hRule="atLeast"/>
          <w:jc w:val="center"/>
        </w:trPr>
        <w:tc>
          <w:tcPr>
            <w:tcW w:w="1122" w:type="dxa"/>
            <w:tcBorders>
              <w:bottom w:val="nil"/>
              <w:right w:val="nil"/>
            </w:tcBorders>
            <w:vAlign w:val="center"/>
          </w:tcPr>
          <w:p w14:paraId="4BEE485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Comparability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6294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Comparability of cases and controls on the basis of the design and analysis</w:t>
            </w:r>
          </w:p>
        </w:tc>
        <w:tc>
          <w:tcPr>
            <w:tcW w:w="516" w:type="dxa"/>
            <w:tcBorders>
              <w:left w:val="nil"/>
              <w:bottom w:val="nil"/>
            </w:tcBorders>
            <w:vAlign w:val="center"/>
          </w:tcPr>
          <w:p w14:paraId="7F0C924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☆☆</w:t>
            </w:r>
          </w:p>
        </w:tc>
        <w:tc>
          <w:tcPr>
            <w:tcW w:w="516" w:type="dxa"/>
            <w:tcBorders>
              <w:bottom w:val="nil"/>
            </w:tcBorders>
            <w:vAlign w:val="center"/>
          </w:tcPr>
          <w:p w14:paraId="5D2498B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☆☆</w:t>
            </w:r>
          </w:p>
        </w:tc>
        <w:tc>
          <w:tcPr>
            <w:tcW w:w="516" w:type="dxa"/>
            <w:tcBorders>
              <w:bottom w:val="nil"/>
            </w:tcBorders>
            <w:vAlign w:val="center"/>
          </w:tcPr>
          <w:p w14:paraId="7B35831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5F66368D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17093DE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20E1C57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1B278A6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bookmarkStart w:id="4" w:name="OLE_LINK7"/>
            <w:bookmarkStart w:id="5" w:name="OLE_LINK8"/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  <w:bookmarkEnd w:id="4"/>
            <w:bookmarkEnd w:id="5"/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554BF35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560EEC3D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40DDD70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463050B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56DD3AC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</w:tr>
      <w:tr w14:paraId="41AA6A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122" w:type="dxa"/>
            <w:vMerge w:val="restart"/>
            <w:tcBorders>
              <w:top w:val="nil"/>
              <w:right w:val="nil"/>
            </w:tcBorders>
            <w:vAlign w:val="center"/>
          </w:tcPr>
          <w:p w14:paraId="6E04246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Exposure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D5AE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Ascertainment of exposure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</w:tcBorders>
            <w:vAlign w:val="center"/>
          </w:tcPr>
          <w:p w14:paraId="4ED7B4DB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169AD7A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43A463C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  <w:bottom w:val="nil"/>
            </w:tcBorders>
            <w:vAlign w:val="center"/>
          </w:tcPr>
          <w:p w14:paraId="7DAC907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  <w:bottom w:val="nil"/>
            </w:tcBorders>
            <w:vAlign w:val="center"/>
          </w:tcPr>
          <w:p w14:paraId="64B38D2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  <w:bottom w:val="nil"/>
            </w:tcBorders>
            <w:vAlign w:val="center"/>
          </w:tcPr>
          <w:p w14:paraId="6A63321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  <w:bottom w:val="nil"/>
            </w:tcBorders>
            <w:vAlign w:val="center"/>
          </w:tcPr>
          <w:p w14:paraId="0D15060D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  <w:bottom w:val="nil"/>
            </w:tcBorders>
            <w:vAlign w:val="center"/>
          </w:tcPr>
          <w:p w14:paraId="0152312B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  <w:bottom w:val="nil"/>
            </w:tcBorders>
            <w:vAlign w:val="center"/>
          </w:tcPr>
          <w:p w14:paraId="2F57C6D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  <w:bottom w:val="nil"/>
            </w:tcBorders>
            <w:vAlign w:val="center"/>
          </w:tcPr>
          <w:p w14:paraId="73AD026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  <w:bottom w:val="nil"/>
            </w:tcBorders>
            <w:vAlign w:val="center"/>
          </w:tcPr>
          <w:p w14:paraId="65C33F8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  <w:bottom w:val="nil"/>
            </w:tcBorders>
            <w:vAlign w:val="center"/>
          </w:tcPr>
          <w:p w14:paraId="4FDE1C0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</w:tr>
      <w:tr w14:paraId="264EBA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1122" w:type="dxa"/>
            <w:vMerge w:val="continue"/>
            <w:tcBorders>
              <w:right w:val="nil"/>
            </w:tcBorders>
            <w:vAlign w:val="center"/>
          </w:tcPr>
          <w:p w14:paraId="36944D2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87CED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Same method of ascertainment for cases and controls</w:t>
            </w:r>
          </w:p>
        </w:tc>
        <w:tc>
          <w:tcPr>
            <w:tcW w:w="516" w:type="dxa"/>
            <w:tcBorders>
              <w:top w:val="nil"/>
              <w:left w:val="nil"/>
            </w:tcBorders>
            <w:vAlign w:val="center"/>
          </w:tcPr>
          <w:p w14:paraId="16941E9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6" w:type="dxa"/>
            <w:tcBorders>
              <w:top w:val="nil"/>
            </w:tcBorders>
            <w:vAlign w:val="center"/>
          </w:tcPr>
          <w:p w14:paraId="5A08F5E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6" w:type="dxa"/>
            <w:tcBorders>
              <w:top w:val="nil"/>
            </w:tcBorders>
            <w:vAlign w:val="center"/>
          </w:tcPr>
          <w:p w14:paraId="44B3979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</w:tcBorders>
            <w:vAlign w:val="center"/>
          </w:tcPr>
          <w:p w14:paraId="7737464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</w:tcBorders>
            <w:vAlign w:val="center"/>
          </w:tcPr>
          <w:p w14:paraId="4D0C5D8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</w:tcBorders>
            <w:vAlign w:val="center"/>
          </w:tcPr>
          <w:p w14:paraId="3538676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</w:tcBorders>
            <w:vAlign w:val="center"/>
          </w:tcPr>
          <w:p w14:paraId="2921D14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</w:tcBorders>
            <w:vAlign w:val="center"/>
          </w:tcPr>
          <w:p w14:paraId="1887CAA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</w:tcBorders>
            <w:vAlign w:val="center"/>
          </w:tcPr>
          <w:p w14:paraId="00AADC1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</w:tcBorders>
            <w:vAlign w:val="center"/>
          </w:tcPr>
          <w:p w14:paraId="28C9FF6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</w:tcBorders>
            <w:vAlign w:val="center"/>
          </w:tcPr>
          <w:p w14:paraId="14C0B2C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top w:val="nil"/>
            </w:tcBorders>
            <w:vAlign w:val="center"/>
          </w:tcPr>
          <w:p w14:paraId="7967AA3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</w:tr>
      <w:tr w14:paraId="5A6482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122" w:type="dxa"/>
            <w:vMerge w:val="continue"/>
            <w:tcBorders>
              <w:bottom w:val="nil"/>
              <w:right w:val="nil"/>
            </w:tcBorders>
            <w:vAlign w:val="center"/>
          </w:tcPr>
          <w:p w14:paraId="31FA149B"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285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Non-Response rate</w:t>
            </w:r>
          </w:p>
        </w:tc>
        <w:tc>
          <w:tcPr>
            <w:tcW w:w="516" w:type="dxa"/>
            <w:tcBorders>
              <w:left w:val="nil"/>
              <w:bottom w:val="nil"/>
            </w:tcBorders>
            <w:vAlign w:val="center"/>
          </w:tcPr>
          <w:p w14:paraId="5311A0A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6" w:type="dxa"/>
            <w:tcBorders>
              <w:bottom w:val="nil"/>
            </w:tcBorders>
            <w:vAlign w:val="center"/>
          </w:tcPr>
          <w:p w14:paraId="3A4F1E9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6" w:type="dxa"/>
            <w:tcBorders>
              <w:bottom w:val="nil"/>
            </w:tcBorders>
            <w:vAlign w:val="center"/>
          </w:tcPr>
          <w:p w14:paraId="60945B7D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0BD1A61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0772D9A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3C89B37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493D9D7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055970C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2CF815D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0724509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45D28E1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  <w:tc>
          <w:tcPr>
            <w:tcW w:w="517" w:type="dxa"/>
            <w:tcBorders>
              <w:bottom w:val="nil"/>
            </w:tcBorders>
            <w:vAlign w:val="center"/>
          </w:tcPr>
          <w:p w14:paraId="62A6FCA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☆</w:t>
            </w:r>
          </w:p>
        </w:tc>
      </w:tr>
      <w:tr w14:paraId="052F8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122" w:type="dxa"/>
            <w:tcBorders>
              <w:top w:val="nil"/>
              <w:bottom w:val="single" w:color="auto" w:sz="4" w:space="0"/>
            </w:tcBorders>
            <w:vAlign w:val="center"/>
          </w:tcPr>
          <w:p w14:paraId="6F6136DF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Total scores</w:t>
            </w:r>
          </w:p>
        </w:tc>
        <w:tc>
          <w:tcPr>
            <w:tcW w:w="2282" w:type="dxa"/>
            <w:tcBorders>
              <w:top w:val="nil"/>
              <w:bottom w:val="single" w:color="auto" w:sz="4" w:space="0"/>
            </w:tcBorders>
            <w:vAlign w:val="center"/>
          </w:tcPr>
          <w:p w14:paraId="741E41CA"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bottom w:val="single" w:color="auto" w:sz="4" w:space="0"/>
            </w:tcBorders>
            <w:vAlign w:val="center"/>
          </w:tcPr>
          <w:p w14:paraId="7215BA9D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6" w:type="dxa"/>
            <w:tcBorders>
              <w:top w:val="nil"/>
              <w:bottom w:val="single" w:color="auto" w:sz="4" w:space="0"/>
            </w:tcBorders>
            <w:vAlign w:val="center"/>
          </w:tcPr>
          <w:p w14:paraId="3EEFCB2E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6" w:type="dxa"/>
            <w:tcBorders>
              <w:top w:val="nil"/>
              <w:bottom w:val="single" w:color="auto" w:sz="4" w:space="0"/>
            </w:tcBorders>
            <w:vAlign w:val="center"/>
          </w:tcPr>
          <w:p w14:paraId="6CC2FF1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7" w:type="dxa"/>
            <w:tcBorders>
              <w:top w:val="nil"/>
              <w:bottom w:val="single" w:color="auto" w:sz="4" w:space="0"/>
            </w:tcBorders>
            <w:vAlign w:val="center"/>
          </w:tcPr>
          <w:p w14:paraId="23A456F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7" w:type="dxa"/>
            <w:tcBorders>
              <w:top w:val="nil"/>
              <w:bottom w:val="single" w:color="auto" w:sz="4" w:space="0"/>
            </w:tcBorders>
            <w:vAlign w:val="center"/>
          </w:tcPr>
          <w:p w14:paraId="69F3E4B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7" w:type="dxa"/>
            <w:tcBorders>
              <w:top w:val="nil"/>
              <w:bottom w:val="single" w:color="auto" w:sz="4" w:space="0"/>
            </w:tcBorders>
            <w:vAlign w:val="center"/>
          </w:tcPr>
          <w:p w14:paraId="7A7C7B7D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17" w:type="dxa"/>
            <w:tcBorders>
              <w:top w:val="nil"/>
              <w:bottom w:val="single" w:color="auto" w:sz="4" w:space="0"/>
            </w:tcBorders>
            <w:vAlign w:val="center"/>
          </w:tcPr>
          <w:p w14:paraId="3FA07B6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7" w:type="dxa"/>
            <w:tcBorders>
              <w:top w:val="nil"/>
              <w:bottom w:val="single" w:color="auto" w:sz="4" w:space="0"/>
            </w:tcBorders>
            <w:vAlign w:val="center"/>
          </w:tcPr>
          <w:p w14:paraId="5C29B3D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7" w:type="dxa"/>
            <w:tcBorders>
              <w:top w:val="nil"/>
              <w:bottom w:val="single" w:color="auto" w:sz="4" w:space="0"/>
            </w:tcBorders>
            <w:vAlign w:val="center"/>
          </w:tcPr>
          <w:p w14:paraId="2CF63A8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17" w:type="dxa"/>
            <w:tcBorders>
              <w:top w:val="nil"/>
              <w:bottom w:val="single" w:color="auto" w:sz="4" w:space="0"/>
            </w:tcBorders>
            <w:vAlign w:val="center"/>
          </w:tcPr>
          <w:p w14:paraId="2F60291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7" w:type="dxa"/>
            <w:tcBorders>
              <w:top w:val="nil"/>
              <w:bottom w:val="single" w:color="auto" w:sz="4" w:space="0"/>
            </w:tcBorders>
            <w:vAlign w:val="center"/>
          </w:tcPr>
          <w:p w14:paraId="05A7014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17" w:type="dxa"/>
            <w:tcBorders>
              <w:top w:val="nil"/>
              <w:bottom w:val="single" w:color="auto" w:sz="4" w:space="0"/>
            </w:tcBorders>
            <w:vAlign w:val="center"/>
          </w:tcPr>
          <w:p w14:paraId="12AE33A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</w:tr>
    </w:tbl>
    <w:p w14:paraId="1478A72C">
      <w:pPr>
        <w:pStyle w:val="4"/>
        <w:widowControl/>
        <w:snapToGrid w:val="0"/>
        <w:spacing w:line="360" w:lineRule="auto"/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</w:pP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Not</w:t>
      </w:r>
      <w:r>
        <w:rPr>
          <w:rStyle w:val="9"/>
          <w:rFonts w:hint="default" w:ascii="Times New Roman" w:hAnsi="Times New Roman" w:cs="Times New Roman"/>
          <w:snapToGrid w:val="0"/>
          <w:sz w:val="18"/>
          <w:szCs w:val="18"/>
        </w:rPr>
        <w:t>es: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bookmarkEnd w:id="0"/>
      <w:bookmarkEnd w:id="1"/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1.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Liu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2023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;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2.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Fu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2023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;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3.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Ma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2022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;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4.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Lu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2022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;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5.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Yu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2021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;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6.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Xiong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2021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;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7.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Ma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2021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;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8.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Liu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2021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;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9.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Meng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2020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;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10.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Sheng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2019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;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11.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Wang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2018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;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12.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Zhang et al.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2017</w:t>
      </w: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.</w:t>
      </w:r>
    </w:p>
    <w:p w14:paraId="7917E487">
      <w:pPr>
        <w:pStyle w:val="4"/>
        <w:widowControl/>
        <w:snapToGrid w:val="0"/>
        <w:spacing w:line="360" w:lineRule="auto"/>
        <w:rPr>
          <w:rFonts w:hint="default" w:ascii="Times New Roman" w:hAnsi="Times New Roman" w:cs="Times New Roman" w:eastAsiaTheme="minorEastAsia"/>
          <w:snapToGrid w:val="0"/>
          <w:sz w:val="18"/>
          <w:szCs w:val="18"/>
        </w:rPr>
      </w:pP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*The criteria is based on the coding manual published by </w:t>
      </w:r>
      <w:r>
        <w:rPr>
          <w:rFonts w:hint="default" w:ascii="Times New Roman" w:hAnsi="Times New Roman" w:cs="Times New Roman" w:eastAsiaTheme="minorEastAsia"/>
          <w:snapToGrid w:val="0"/>
          <w:sz w:val="18"/>
          <w:szCs w:val="18"/>
        </w:rPr>
        <w:t>The Ottawa Hospital Research Institute</w:t>
      </w:r>
      <w:r>
        <w:rPr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 (</w:t>
      </w:r>
      <w:r>
        <w:rPr>
          <w:rFonts w:hint="default" w:ascii="Times New Roman" w:hAnsi="Times New Roman" w:cs="Times New Roman" w:eastAsiaTheme="minorEastAsia"/>
          <w:snapToGrid w:val="0"/>
          <w:sz w:val="18"/>
          <w:szCs w:val="18"/>
        </w:rPr>
        <w:t>https://www.ohri.ca/programs/clinical_epidemiology/</w:t>
      </w:r>
      <w:r>
        <w:rPr>
          <w:rFonts w:hint="default" w:ascii="Times New Roman" w:hAnsi="Times New Roman" w:cs="Times New Roman" w:eastAsiaTheme="minorEastAsia"/>
          <w:snapToGrid w:val="0"/>
          <w:sz w:val="18"/>
          <w:szCs w:val="18"/>
        </w:rPr>
        <w:t xml:space="preserve">nos_manual.pdf). </w:t>
      </w:r>
      <w:r>
        <w:rPr>
          <w:rFonts w:hint="default" w:ascii="Times New Roman" w:hAnsi="Times New Roman" w:cs="Times New Roman" w:eastAsiaTheme="minorEastAsia"/>
          <w:snapToGrid w:val="0"/>
          <w:sz w:val="18"/>
          <w:szCs w:val="18"/>
        </w:rPr>
        <w:t>As all included studies were hospital-based case series or case-control studies without independent control groups, the ‘Selection of controls’ domain was not applicable.</w:t>
      </w:r>
    </w:p>
    <w:p w14:paraId="47F070F0">
      <w:pPr>
        <w:spacing w:line="360" w:lineRule="auto"/>
        <w:rPr>
          <w:rFonts w:hint="default" w:ascii="Times New Roman" w:hAnsi="Times New Roman" w:eastAsia="宋体" w:cs="Times New Roman"/>
          <w:b/>
          <w:sz w:val="24"/>
          <w:szCs w:val="18"/>
        </w:rPr>
      </w:pPr>
    </w:p>
    <w:p w14:paraId="4EEFA5E6">
      <w:pPr>
        <w:widowControl/>
        <w:jc w:val="left"/>
        <w:rPr>
          <w:rFonts w:hint="default" w:ascii="Times New Roman" w:hAnsi="Times New Roman" w:eastAsia="宋体" w:cs="Times New Roman"/>
          <w:b/>
          <w:sz w:val="24"/>
          <w:szCs w:val="18"/>
        </w:rPr>
      </w:pPr>
      <w:r>
        <w:rPr>
          <w:rFonts w:hint="default" w:ascii="Times New Roman" w:hAnsi="Times New Roman" w:eastAsia="宋体" w:cs="Times New Roman"/>
          <w:b/>
          <w:sz w:val="24"/>
          <w:szCs w:val="18"/>
        </w:rPr>
        <w:br w:type="page"/>
      </w:r>
    </w:p>
    <w:p w14:paraId="5ABC3701">
      <w:pPr>
        <w:spacing w:line="360" w:lineRule="auto"/>
        <w:rPr>
          <w:rFonts w:hint="default" w:ascii="Times New Roman" w:hAnsi="Times New Roman" w:eastAsia="宋体" w:cs="Times New Roman"/>
          <w:b/>
          <w:sz w:val="24"/>
          <w:szCs w:val="18"/>
        </w:rPr>
      </w:pPr>
      <w:r>
        <w:rPr>
          <w:rFonts w:hint="default" w:ascii="Times New Roman" w:hAnsi="Times New Roman" w:eastAsia="宋体" w:cs="Times New Roman"/>
          <w:b/>
          <w:sz w:val="24"/>
          <w:szCs w:val="18"/>
        </w:rPr>
        <w:t>T</w:t>
      </w:r>
      <w:r>
        <w:rPr>
          <w:rFonts w:hint="default" w:ascii="Times New Roman" w:hAnsi="Times New Roman" w:eastAsia="宋体" w:cs="Times New Roman"/>
          <w:b/>
          <w:sz w:val="24"/>
          <w:szCs w:val="18"/>
        </w:rPr>
        <w:t xml:space="preserve">able </w:t>
      </w:r>
      <w:r>
        <w:rPr>
          <w:rFonts w:hint="default" w:ascii="Times New Roman" w:hAnsi="Times New Roman" w:eastAsia="宋体" w:cs="Times New Roman"/>
          <w:b/>
          <w:sz w:val="24"/>
          <w:szCs w:val="18"/>
        </w:rPr>
        <w:t>S2</w:t>
      </w:r>
      <w:r>
        <w:rPr>
          <w:rFonts w:hint="default" w:ascii="Times New Roman" w:hAnsi="Times New Roman" w:eastAsia="宋体" w:cs="Times New Roman"/>
          <w:b/>
          <w:sz w:val="24"/>
          <w:szCs w:val="18"/>
        </w:rPr>
        <w:t xml:space="preserve">. </w:t>
      </w:r>
      <w:r>
        <w:rPr>
          <w:rFonts w:hint="default" w:ascii="Times New Roman" w:hAnsi="Times New Roman" w:eastAsia="宋体" w:cs="Times New Roman"/>
          <w:b/>
          <w:sz w:val="24"/>
          <w:szCs w:val="18"/>
        </w:rPr>
        <w:t xml:space="preserve"> F</w:t>
      </w:r>
      <w:r>
        <w:rPr>
          <w:rFonts w:hint="default" w:ascii="Times New Roman" w:hAnsi="Times New Roman" w:eastAsia="宋体" w:cs="Times New Roman"/>
          <w:b/>
          <w:sz w:val="24"/>
          <w:szCs w:val="18"/>
        </w:rPr>
        <w:t>ull search strings for</w:t>
      </w:r>
      <w:r>
        <w:rPr>
          <w:rFonts w:hint="default" w:ascii="Times New Roman" w:hAnsi="Times New Roman" w:eastAsia="宋体" w:cs="Times New Roman"/>
          <w:b/>
          <w:sz w:val="24"/>
          <w:szCs w:val="18"/>
        </w:rPr>
        <w:t xml:space="preserve"> included database and registers.</w:t>
      </w:r>
    </w:p>
    <w:tbl>
      <w:tblPr>
        <w:tblStyle w:val="6"/>
        <w:tblW w:w="0" w:type="auto"/>
        <w:tblInd w:w="0" w:type="dxa"/>
        <w:tblBorders>
          <w:top w:val="single" w:color="000000" w:themeColor="text1" w:sz="6" w:space="0"/>
          <w:left w:val="none" w:color="auto" w:sz="0" w:space="0"/>
          <w:bottom w:val="single" w:color="000000" w:themeColor="text1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3970"/>
        <w:gridCol w:w="1264"/>
        <w:gridCol w:w="1021"/>
        <w:gridCol w:w="895"/>
      </w:tblGrid>
      <w:tr w14:paraId="0386FAE4">
        <w:tblPrEx>
          <w:tblBorders>
            <w:top w:val="single" w:color="000000" w:themeColor="text1" w:sz="6" w:space="0"/>
            <w:left w:val="none" w:color="auto" w:sz="0" w:space="0"/>
            <w:bottom w:val="single" w:color="000000" w:themeColor="text1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  <w:tcBorders>
              <w:top w:val="single" w:color="000000" w:themeColor="text1" w:sz="6" w:space="0"/>
              <w:bottom w:val="single" w:color="000000" w:themeColor="text1" w:sz="6" w:space="0"/>
            </w:tcBorders>
          </w:tcPr>
          <w:p w14:paraId="01970206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sz w:val="24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Database</w:t>
            </w:r>
          </w:p>
        </w:tc>
        <w:tc>
          <w:tcPr>
            <w:tcW w:w="3970" w:type="dxa"/>
            <w:tcBorders>
              <w:top w:val="single" w:color="000000" w:themeColor="text1" w:sz="6" w:space="0"/>
              <w:bottom w:val="single" w:color="000000" w:themeColor="text1" w:sz="6" w:space="0"/>
            </w:tcBorders>
          </w:tcPr>
          <w:p w14:paraId="19355FCC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sz w:val="24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Full search strings</w:t>
            </w:r>
          </w:p>
        </w:tc>
        <w:tc>
          <w:tcPr>
            <w:tcW w:w="1264" w:type="dxa"/>
            <w:tcBorders>
              <w:top w:val="single" w:color="000000" w:themeColor="text1" w:sz="6" w:space="0"/>
              <w:bottom w:val="single" w:color="000000" w:themeColor="text1" w:sz="6" w:space="0"/>
            </w:tcBorders>
          </w:tcPr>
          <w:p w14:paraId="2FA8D0C1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sz w:val="24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Mesh terms</w:t>
            </w:r>
          </w:p>
        </w:tc>
        <w:tc>
          <w:tcPr>
            <w:tcW w:w="1021" w:type="dxa"/>
            <w:tcBorders>
              <w:top w:val="single" w:color="000000" w:themeColor="text1" w:sz="6" w:space="0"/>
              <w:bottom w:val="single" w:color="000000" w:themeColor="text1" w:sz="6" w:space="0"/>
            </w:tcBorders>
          </w:tcPr>
          <w:p w14:paraId="7A5D5191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sz w:val="24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Filters</w:t>
            </w:r>
          </w:p>
        </w:tc>
        <w:tc>
          <w:tcPr>
            <w:tcW w:w="895" w:type="dxa"/>
            <w:tcBorders>
              <w:top w:val="single" w:color="000000" w:themeColor="text1" w:sz="6" w:space="0"/>
              <w:bottom w:val="single" w:color="000000" w:themeColor="text1" w:sz="6" w:space="0"/>
            </w:tcBorders>
          </w:tcPr>
          <w:p w14:paraId="690F1AE0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sz w:val="24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Results</w:t>
            </w:r>
          </w:p>
        </w:tc>
      </w:tr>
      <w:tr w14:paraId="40B3E00F">
        <w:tblPrEx>
          <w:tblBorders>
            <w:top w:val="single" w:color="000000" w:themeColor="text1" w:sz="6" w:space="0"/>
            <w:left w:val="none" w:color="auto" w:sz="0" w:space="0"/>
            <w:bottom w:val="single" w:color="000000" w:themeColor="text1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  <w:tcBorders>
              <w:top w:val="single" w:color="000000" w:themeColor="text1" w:sz="6" w:space="0"/>
            </w:tcBorders>
          </w:tcPr>
          <w:p w14:paraId="6C53A570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sz w:val="24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PubMed</w:t>
            </w:r>
          </w:p>
        </w:tc>
        <w:tc>
          <w:tcPr>
            <w:tcW w:w="3970" w:type="dxa"/>
            <w:tcBorders>
              <w:top w:val="single" w:color="000000" w:themeColor="text1" w:sz="6" w:space="0"/>
            </w:tcBorders>
          </w:tcPr>
          <w:p w14:paraId="5FFEA4C2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(("rna circular"[Supplementary Concept] OR "rna circular"[All Fields] OR "circrna"[All Fields] OR "rna, circular"[MeSH Terms] OR ("rna"[All Fields] AND "circular"[All Fields]) OR "circular rna"[All Fields] OR "circrnas"[All Fields]) AND "UBAP2"[All Fields]) OR "circUBAP2"[All Fields] OR (("rna circular"[Supplementary Concept] OR "rna circular"[All Fields] OR "circular rna"[All Fields] OR "rna, circular"[MeSH Terms] OR ("rna"[All Fields] AND "circular"[All Fields]) OR ("circular"[All Fields] AND "rna"[All Fields])) AND "UBAP2"[All Fields])</w:t>
            </w:r>
          </w:p>
        </w:tc>
        <w:tc>
          <w:tcPr>
            <w:tcW w:w="1264" w:type="dxa"/>
            <w:tcBorders>
              <w:top w:val="single" w:color="000000" w:themeColor="text1" w:sz="6" w:space="0"/>
            </w:tcBorders>
          </w:tcPr>
          <w:p w14:paraId="4703960B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bookmarkStart w:id="6" w:name="OLE_LINK19"/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rna, circular</w:t>
            </w:r>
            <w:bookmarkEnd w:id="6"/>
          </w:p>
        </w:tc>
        <w:tc>
          <w:tcPr>
            <w:tcW w:w="1021" w:type="dxa"/>
            <w:tcBorders>
              <w:top w:val="single" w:color="000000" w:themeColor="text1" w:sz="6" w:space="0"/>
            </w:tcBorders>
          </w:tcPr>
          <w:p w14:paraId="6FA00F97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humans [Filter]</w:t>
            </w:r>
          </w:p>
        </w:tc>
        <w:tc>
          <w:tcPr>
            <w:tcW w:w="895" w:type="dxa"/>
            <w:tcBorders>
              <w:top w:val="single" w:color="000000" w:themeColor="text1" w:sz="6" w:space="0"/>
            </w:tcBorders>
          </w:tcPr>
          <w:p w14:paraId="6A830DC3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28</w:t>
            </w:r>
          </w:p>
        </w:tc>
      </w:tr>
      <w:tr w14:paraId="52517666">
        <w:tblPrEx>
          <w:tblBorders>
            <w:top w:val="single" w:color="000000" w:themeColor="text1" w:sz="6" w:space="0"/>
            <w:left w:val="none" w:color="auto" w:sz="0" w:space="0"/>
            <w:bottom w:val="single" w:color="000000" w:themeColor="text1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</w:tcPr>
          <w:p w14:paraId="4FA780B5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Web of Science</w:t>
            </w:r>
          </w:p>
        </w:tc>
        <w:tc>
          <w:tcPr>
            <w:tcW w:w="3970" w:type="dxa"/>
          </w:tcPr>
          <w:p w14:paraId="680170C0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circRNA UBAP2 or circUBAP2 or circular RNA UBAP2 (Topic)</w:t>
            </w:r>
          </w:p>
        </w:tc>
        <w:tc>
          <w:tcPr>
            <w:tcW w:w="1264" w:type="dxa"/>
          </w:tcPr>
          <w:p w14:paraId="1A4F5D27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rna, circular</w:t>
            </w:r>
          </w:p>
        </w:tc>
        <w:tc>
          <w:tcPr>
            <w:tcW w:w="1021" w:type="dxa"/>
          </w:tcPr>
          <w:p w14:paraId="71B56E1E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-*</w:t>
            </w:r>
          </w:p>
        </w:tc>
        <w:tc>
          <w:tcPr>
            <w:tcW w:w="895" w:type="dxa"/>
          </w:tcPr>
          <w:p w14:paraId="584E63A4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39</w:t>
            </w:r>
          </w:p>
        </w:tc>
      </w:tr>
      <w:tr w14:paraId="2A67EBC4">
        <w:tblPrEx>
          <w:tblBorders>
            <w:top w:val="single" w:color="000000" w:themeColor="text1" w:sz="6" w:space="0"/>
            <w:left w:val="none" w:color="auto" w:sz="0" w:space="0"/>
            <w:bottom w:val="single" w:color="000000" w:themeColor="text1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</w:tcPr>
          <w:p w14:paraId="1A380F82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CNKI</w:t>
            </w:r>
          </w:p>
        </w:tc>
        <w:tc>
          <w:tcPr>
            <w:tcW w:w="3970" w:type="dxa"/>
          </w:tcPr>
          <w:p w14:paraId="73B7A9A4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(Topic: circUBAP2) OR (Topic: 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circRNA UBAP2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64" w:type="dxa"/>
          </w:tcPr>
          <w:p w14:paraId="67F3FA5A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1" w:type="dxa"/>
          </w:tcPr>
          <w:p w14:paraId="15D83F9D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-*</w:t>
            </w:r>
          </w:p>
        </w:tc>
        <w:tc>
          <w:tcPr>
            <w:tcW w:w="895" w:type="dxa"/>
          </w:tcPr>
          <w:p w14:paraId="240D399C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15</w:t>
            </w:r>
          </w:p>
        </w:tc>
      </w:tr>
      <w:tr w14:paraId="0EE1A486">
        <w:tblPrEx>
          <w:tblBorders>
            <w:top w:val="single" w:color="000000" w:themeColor="text1" w:sz="6" w:space="0"/>
            <w:left w:val="none" w:color="auto" w:sz="0" w:space="0"/>
            <w:bottom w:val="single" w:color="000000" w:themeColor="text1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</w:tcPr>
          <w:p w14:paraId="6FCC8CBA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WanFang database</w:t>
            </w:r>
          </w:p>
        </w:tc>
        <w:tc>
          <w:tcPr>
            <w:tcW w:w="3970" w:type="dxa"/>
          </w:tcPr>
          <w:p w14:paraId="153FA333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ALL Contents: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circRNA UBAP2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circUBAP2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circular RNA UBAP2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64" w:type="dxa"/>
          </w:tcPr>
          <w:p w14:paraId="45649718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1" w:type="dxa"/>
          </w:tcPr>
          <w:p w14:paraId="3F055D11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-*</w:t>
            </w:r>
          </w:p>
        </w:tc>
        <w:tc>
          <w:tcPr>
            <w:tcW w:w="895" w:type="dxa"/>
          </w:tcPr>
          <w:p w14:paraId="4BD03DDA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28</w:t>
            </w:r>
          </w:p>
        </w:tc>
      </w:tr>
      <w:tr w14:paraId="49482090">
        <w:tblPrEx>
          <w:tblBorders>
            <w:top w:val="single" w:color="000000" w:themeColor="text1" w:sz="6" w:space="0"/>
            <w:left w:val="none" w:color="auto" w:sz="0" w:space="0"/>
            <w:bottom w:val="single" w:color="000000" w:themeColor="text1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</w:tcPr>
          <w:p w14:paraId="0171515F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ClinicalTrials.gov</w:t>
            </w:r>
          </w:p>
        </w:tc>
        <w:tc>
          <w:tcPr>
            <w:tcW w:w="3970" w:type="dxa"/>
          </w:tcPr>
          <w:p w14:paraId="734B4ED3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Other terms: 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circRNA UBAP2 or circUBAP2 or circular RNA UBAP2</w:t>
            </w:r>
          </w:p>
        </w:tc>
        <w:tc>
          <w:tcPr>
            <w:tcW w:w="1264" w:type="dxa"/>
          </w:tcPr>
          <w:p w14:paraId="2B1BE007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1" w:type="dxa"/>
          </w:tcPr>
          <w:p w14:paraId="676E36CB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No filters</w:t>
            </w:r>
          </w:p>
        </w:tc>
        <w:tc>
          <w:tcPr>
            <w:tcW w:w="895" w:type="dxa"/>
          </w:tcPr>
          <w:p w14:paraId="0A390A2D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13B1120E">
        <w:tblPrEx>
          <w:tblBorders>
            <w:top w:val="single" w:color="000000" w:themeColor="text1" w:sz="6" w:space="0"/>
            <w:left w:val="none" w:color="auto" w:sz="0" w:space="0"/>
            <w:bottom w:val="single" w:color="000000" w:themeColor="text1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</w:tcPr>
          <w:p w14:paraId="6F160156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BioXivs </w:t>
            </w:r>
          </w:p>
        </w:tc>
        <w:tc>
          <w:tcPr>
            <w:tcW w:w="3970" w:type="dxa"/>
          </w:tcPr>
          <w:p w14:paraId="3A3E35F5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 term "circular RNA UBAP2"</w:t>
            </w:r>
          </w:p>
        </w:tc>
        <w:tc>
          <w:tcPr>
            <w:tcW w:w="1264" w:type="dxa"/>
          </w:tcPr>
          <w:p w14:paraId="7FA8B943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1" w:type="dxa"/>
          </w:tcPr>
          <w:p w14:paraId="06D84790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No filters</w:t>
            </w:r>
          </w:p>
        </w:tc>
        <w:tc>
          <w:tcPr>
            <w:tcW w:w="895" w:type="dxa"/>
          </w:tcPr>
          <w:p w14:paraId="323E1B7B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  <w:t>28</w:t>
            </w:r>
          </w:p>
        </w:tc>
      </w:tr>
    </w:tbl>
    <w:p w14:paraId="0FD9EEB3">
      <w:pPr>
        <w:spacing w:line="360" w:lineRule="auto"/>
        <w:rPr>
          <w:rFonts w:hint="default" w:ascii="Times New Roman" w:hAnsi="Times New Roman" w:cs="Times New Roman"/>
          <w:snapToGrid w:val="0"/>
          <w:sz w:val="18"/>
          <w:szCs w:val="18"/>
        </w:rPr>
      </w:pPr>
      <w:r>
        <w:rPr>
          <w:rStyle w:val="9"/>
          <w:rFonts w:hint="default" w:ascii="Times New Roman" w:hAnsi="Times New Roman" w:cs="Times New Roman" w:eastAsiaTheme="minorEastAsia"/>
          <w:snapToGrid w:val="0"/>
          <w:sz w:val="18"/>
          <w:szCs w:val="18"/>
        </w:rPr>
        <w:t>*</w:t>
      </w:r>
      <w:r>
        <w:rPr>
          <w:rFonts w:hint="default" w:ascii="Times New Roman" w:hAnsi="Times New Roman" w:cs="Times New Roman"/>
          <w:snapToGrid w:val="0"/>
          <w:sz w:val="18"/>
          <w:szCs w:val="18"/>
        </w:rPr>
        <w:t>N</w:t>
      </w:r>
      <w:r>
        <w:rPr>
          <w:rFonts w:hint="default" w:ascii="Times New Roman" w:hAnsi="Times New Roman" w:cs="Times New Roman"/>
          <w:snapToGrid w:val="0"/>
          <w:sz w:val="18"/>
          <w:szCs w:val="18"/>
        </w:rPr>
        <w:t>o filter specifically for "human"</w:t>
      </w:r>
      <w:r>
        <w:rPr>
          <w:rFonts w:hint="default" w:ascii="Times New Roman" w:hAnsi="Times New Roman" w:cs="Times New Roman"/>
          <w:snapToGrid w:val="0"/>
          <w:sz w:val="18"/>
          <w:szCs w:val="18"/>
        </w:rPr>
        <w:t xml:space="preserve"> in the database.</w:t>
      </w:r>
    </w:p>
    <w:p w14:paraId="76994F28">
      <w:pPr>
        <w:spacing w:line="360" w:lineRule="auto"/>
        <w:rPr>
          <w:rFonts w:hint="default" w:ascii="Times New Roman" w:hAnsi="Times New Roman" w:cs="Times New Roman"/>
          <w:snapToGrid w:val="0"/>
          <w:sz w:val="18"/>
          <w:szCs w:val="18"/>
        </w:rPr>
      </w:pPr>
    </w:p>
    <w:p w14:paraId="3850A7CA">
      <w:pPr>
        <w:spacing w:line="360" w:lineRule="auto"/>
        <w:rPr>
          <w:rFonts w:hint="default" w:ascii="Times New Roman" w:hAnsi="Times New Roman" w:cs="Times New Roman"/>
          <w:snapToGrid w:val="0"/>
          <w:sz w:val="18"/>
          <w:szCs w:val="18"/>
        </w:rPr>
        <w:sectPr>
          <w:pgSz w:w="11906" w:h="16838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4895804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Figure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</w:rPr>
        <w:t>1. Sensitivity analysis for multiple impetus of sex.</w:t>
      </w:r>
    </w:p>
    <w:p w14:paraId="0532DC2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288280" cy="4773295"/>
            <wp:effectExtent l="0" t="0" r="7620" b="1905"/>
            <wp:docPr id="13654702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70274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2" t="5630" r="3612" b="5746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75933"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1A01EC7B">
      <w:pPr>
        <w:rPr>
          <w:rFonts w:hint="default" w:ascii="Times New Roman" w:hAnsi="Times New Roman" w:cs="Times New Roman"/>
          <w:b/>
          <w:bCs/>
        </w:rPr>
      </w:pPr>
      <w:bookmarkStart w:id="7" w:name="_GoBack"/>
      <w:r>
        <w:rPr>
          <w:rFonts w:hint="default" w:ascii="Times New Roman" w:hAnsi="Times New Roman" w:cs="Times New Roman"/>
          <w:b/>
          <w:bCs/>
        </w:rPr>
        <w:t>Figure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</w:rPr>
        <w:t>2. Sensitivity analysis for multiple impetus of age.</w:t>
      </w:r>
    </w:p>
    <w:bookmarkEnd w:id="7"/>
    <w:p w14:paraId="292B334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276850" cy="4901565"/>
            <wp:effectExtent l="0" t="0" r="6350" b="635"/>
            <wp:docPr id="3712120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12009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" t="5695" r="3516" b="519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90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00A85">
      <w:pPr>
        <w:spacing w:line="360" w:lineRule="auto"/>
        <w:rPr>
          <w:rFonts w:hint="default" w:ascii="Times New Roman" w:hAnsi="Times New Roman" w:cs="Times New Roman"/>
          <w:snapToGrid w:val="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55F24"/>
    <w:rsid w:val="0001777D"/>
    <w:rsid w:val="00086588"/>
    <w:rsid w:val="001F3BA1"/>
    <w:rsid w:val="0027002F"/>
    <w:rsid w:val="002A5215"/>
    <w:rsid w:val="002F1BC3"/>
    <w:rsid w:val="003B7661"/>
    <w:rsid w:val="00447A42"/>
    <w:rsid w:val="00464660"/>
    <w:rsid w:val="005F340E"/>
    <w:rsid w:val="006F371D"/>
    <w:rsid w:val="00727B0A"/>
    <w:rsid w:val="00784325"/>
    <w:rsid w:val="008C3C2A"/>
    <w:rsid w:val="0090629D"/>
    <w:rsid w:val="009807EB"/>
    <w:rsid w:val="009B6145"/>
    <w:rsid w:val="009F5CE9"/>
    <w:rsid w:val="00A269AB"/>
    <w:rsid w:val="00A57312"/>
    <w:rsid w:val="00A64DC3"/>
    <w:rsid w:val="00BC3138"/>
    <w:rsid w:val="00BC6747"/>
    <w:rsid w:val="00C5535D"/>
    <w:rsid w:val="00E06825"/>
    <w:rsid w:val="00E72D07"/>
    <w:rsid w:val="00F4127E"/>
    <w:rsid w:val="0C120004"/>
    <w:rsid w:val="178C5AA1"/>
    <w:rsid w:val="1DA720CC"/>
    <w:rsid w:val="22A224EC"/>
    <w:rsid w:val="2CCB74FE"/>
    <w:rsid w:val="2DAC01E8"/>
    <w:rsid w:val="2DD871D1"/>
    <w:rsid w:val="2E6F03FC"/>
    <w:rsid w:val="41826C98"/>
    <w:rsid w:val="430E3B2D"/>
    <w:rsid w:val="4AE55F24"/>
    <w:rsid w:val="4DE323DC"/>
    <w:rsid w:val="59B63CDD"/>
    <w:rsid w:val="5B3729AC"/>
    <w:rsid w:val="60C7244D"/>
    <w:rsid w:val="61D86446"/>
    <w:rsid w:val="6BDD334B"/>
    <w:rsid w:val="6D535020"/>
    <w:rsid w:val="6D665EEC"/>
    <w:rsid w:val="72392D10"/>
    <w:rsid w:val="762E7858"/>
    <w:rsid w:val="78F4665A"/>
    <w:rsid w:val="7C783879"/>
    <w:rsid w:val="7F040C60"/>
    <w:rsid w:val="7F2A2185"/>
    <w:rsid w:val="7F8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link w:val="9"/>
    <w:qFormat/>
    <w:uiPriority w:val="0"/>
    <w:pPr>
      <w:spacing w:after="200" w:line="276" w:lineRule="auto"/>
    </w:pPr>
    <w:rPr>
      <w:rFonts w:eastAsia="宋体"/>
      <w:sz w:val="24"/>
      <w:szCs w:val="22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普通(网站) 字符"/>
    <w:link w:val="4"/>
    <w:qFormat/>
    <w:uiPriority w:val="0"/>
    <w:rPr>
      <w:rFonts w:eastAsia="宋体"/>
      <w:sz w:val="24"/>
      <w:szCs w:val="22"/>
    </w:rPr>
  </w:style>
  <w:style w:type="character" w:customStyle="1" w:styleId="10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1073;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EE261-2A22-4319-8925-8B5D51A79F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4</Pages>
  <Words>444</Words>
  <Characters>1949</Characters>
  <Lines>228</Lines>
  <Paragraphs>21</Paragraphs>
  <TotalTime>0</TotalTime>
  <ScaleCrop>false</ScaleCrop>
  <LinksUpToDate>false</LinksUpToDate>
  <CharactersWithSpaces>2213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2018-07-15T01:11:00Z</dcterms:created>
  <dc:creator>周剑</dc:creator>
  <cp:lastModifiedBy>周剑</cp:lastModifiedBy>
  <dcterms:modified xsi:type="dcterms:W3CDTF">2025-10-18T02:15:45Z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BA90C9E7A0864C3EA0D7BC76F775514D_12</vt:lpwstr>
  </property>
  <property fmtid="{D5CDD505-2E9C-101B-9397-08002B2CF9AE}" pid="4" name="KSOTemplateDocerSaveRecord">
    <vt:lpwstr>eyJoZGlkIjoiNWRiN2EzOTIwNTFkMWRjYjlhM2M2MjEwMTAzOTAyMTAiLCJ1c2VySWQiOiIyNzk3NjIxNjQifQ==</vt:lpwstr>
  </property>
</Properties>
</file>