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FC42F">
      <w:pPr>
        <w:pStyle w:val="2"/>
        <w:bidi w:val="0"/>
        <w:spacing w:line="240" w:lineRule="auto"/>
        <w:rPr>
          <w:rFonts w:hint="default" w:ascii="Times New Roman" w:hAnsi="Times New Roman" w:cs="Times New Roman"/>
          <w:b/>
          <w:bCs/>
          <w:szCs w:val="21"/>
          <w:lang w:val="en-US" w:eastAsia="zh-CN"/>
        </w:rPr>
      </w:pPr>
      <w:r>
        <w:rPr>
          <w:rFonts w:hint="eastAsia"/>
          <w:sz w:val="24"/>
          <w:szCs w:val="21"/>
          <w:lang w:val="en-US" w:eastAsia="zh-CN"/>
        </w:rPr>
        <w:t>Supplementary Figures</w:t>
      </w:r>
    </w:p>
    <w:p w14:paraId="0011A7F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3749675"/>
            <wp:effectExtent l="0" t="0" r="635" b="9525"/>
            <wp:docPr id="6" name="图片 6" descr="1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-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74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CAA19">
      <w:pPr>
        <w:spacing w:line="480" w:lineRule="auto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Identification of hub LRGs in the GSE76250 dataset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Cluster dendrogram of the co-expression network.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 B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Scatter plot of module membership (MM) versus gene significance (GS) in blue and green modules.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Gene significance across blue and green modules.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Expression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pattern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s of 10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hub LRGs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>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E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KEGG enrichment pathways of 10 hub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LRGs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.</w:t>
      </w:r>
    </w:p>
    <w:p w14:paraId="70F6A8FB"/>
    <w:p w14:paraId="160507B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9700" cy="5767070"/>
            <wp:effectExtent l="0" t="0" r="0" b="11430"/>
            <wp:docPr id="3" name="图片 3" descr="3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76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10CBC">
      <w:pPr>
        <w:spacing w:line="480" w:lineRule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 xml:space="preserve">Immunological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 xml:space="preserve">ifferences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sz w:val="24"/>
          <w:szCs w:val="24"/>
        </w:rPr>
        <w:t xml:space="preserve">etween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hint="eastAsia" w:ascii="Times New Roman" w:hAnsi="Times New Roman" w:cs="Times New Roman"/>
          <w:sz w:val="24"/>
          <w:szCs w:val="24"/>
        </w:rPr>
        <w:t xml:space="preserve">wo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clusters</w:t>
      </w:r>
      <w:r>
        <w:rPr>
          <w:rFonts w:hint="eastAsia" w:ascii="Times New Roman" w:hAnsi="Times New Roman" w:cs="Times New Roman"/>
          <w:sz w:val="24"/>
          <w:szCs w:val="24"/>
        </w:rPr>
        <w:t xml:space="preserve"> and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cs="Times New Roman"/>
          <w:sz w:val="24"/>
          <w:szCs w:val="24"/>
        </w:rPr>
        <w:t xml:space="preserve">xternal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sz w:val="24"/>
          <w:szCs w:val="24"/>
        </w:rPr>
        <w:t xml:space="preserve">ataset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v</w:t>
      </w:r>
      <w:r>
        <w:rPr>
          <w:rFonts w:hint="eastAsia" w:ascii="Times New Roman" w:hAnsi="Times New Roman" w:cs="Times New Roman"/>
          <w:sz w:val="24"/>
          <w:szCs w:val="24"/>
        </w:rPr>
        <w:t>alidation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Analysis of the infiltration level of each immune cell in two clusters of TNBC samples based on the CIBERSORT algorithm in GSE76250 datasets.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 xml:space="preserve">B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Box plot showing the ImmuneScore of two clusters in GSE76250 datasets.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Differential analysis of hallmark terms was conducted among two clusters in GSE76250 datasets.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D-E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Consensus matrix heatmap when k =2 and t-sne analysis in TNBC samples of GSE65194 and GSE76275 datasets.</w:t>
      </w:r>
    </w:p>
    <w:p w14:paraId="67246CC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9700" cy="5219700"/>
            <wp:effectExtent l="0" t="0" r="0" b="0"/>
            <wp:docPr id="4" name="图片 4" descr="4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-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521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2966F1">
      <w:pPr>
        <w:spacing w:line="480" w:lineRule="auto"/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S3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Diagnostic efficiency of the model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.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 xml:space="preserve">A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>ROC curve of SVM+Ridge model constructed by 8 key diagnostic genes for GSE762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75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and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TCGA BRCA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datasets.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The relative expression of key diagnosis genes in GSE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65194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datasets.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 xml:space="preserve">C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>Nomogram used for predicting TNBC risk in GSE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65194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datasets.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>D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Calibration curve showing predicted performance of the TNBC model in GSE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65194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datasets.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>E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ROC curves were used to evaluate the accuracy of the TNBC model in GSE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ar"/>
        </w:rPr>
        <w:t>65194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ar"/>
        </w:rPr>
        <w:t xml:space="preserve"> datasets.</w:t>
      </w:r>
    </w:p>
    <w:p w14:paraId="0D4A1C2B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</w:p>
    <w:p w14:paraId="766243FB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</w:p>
    <w:p w14:paraId="7E1028BC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</w:p>
    <w:p w14:paraId="1B5ADC4B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</w:p>
    <w:p w14:paraId="14EB81BE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</w:p>
    <w:p w14:paraId="53EEE416">
      <w:pP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1"/>
          <w:szCs w:val="21"/>
          <w:lang w:val="en-US" w:eastAsia="zh-CN" w:bidi="ar"/>
        </w:rPr>
        <w:drawing>
          <wp:inline distT="0" distB="0" distL="114300" distR="114300">
            <wp:extent cx="5219700" cy="6321425"/>
            <wp:effectExtent l="0" t="0" r="0" b="3175"/>
            <wp:docPr id="5" name="图片 5" descr="5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-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632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B7B3E8">
      <w:pPr>
        <w:spacing w:line="480" w:lineRule="auto"/>
        <w:rPr>
          <w:rFonts w:hint="default" w:eastAsiaTheme="minorEastAsia"/>
          <w:sz w:val="18"/>
          <w:szCs w:val="20"/>
          <w:lang w:val="en-US" w:eastAsia="zh-CN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S4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Validation of the prognostic performance of PGK1.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kern w:val="2"/>
          <w:sz w:val="24"/>
          <w:szCs w:val="24"/>
          <w:lang w:val="en-US" w:eastAsia="zh-CN" w:bidi="ar"/>
        </w:rPr>
        <w:t>A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lang w:val="en-US" w:eastAsia="zh-CN" w:bidi="ar"/>
        </w:rPr>
        <w:t xml:space="preserve"> The time-dependent ROC curve showing the prognostic effect of PGK1.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kern w:val="2"/>
          <w:sz w:val="24"/>
          <w:szCs w:val="24"/>
          <w:lang w:val="en-US" w:eastAsia="zh-CN" w:bidi="ar"/>
        </w:rPr>
        <w:t>B</w:t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lang w:val="en-US" w:eastAsia="zh-CN" w:bidi="ar"/>
        </w:rPr>
        <w:t xml:space="preserve"> Prognostic Kaplan-Meier (KM) curves for PGK1 in the TNBC samples of GSE58812 dataset of KM plotter (</w:t>
      </w:r>
      <w:r>
        <w:rPr>
          <w:rStyle w:val="8"/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begin"/>
      </w:r>
      <w:r>
        <w:rPr>
          <w:rStyle w:val="8"/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instrText xml:space="preserve"> HYPERLINK "https://kmplot.com/analysis/" </w:instrText>
      </w:r>
      <w:r>
        <w:rPr>
          <w:rStyle w:val="8"/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separate"/>
      </w:r>
      <w:r>
        <w:rPr>
          <w:rStyle w:val="8"/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t>https://kmplot.com/analysis/</w:t>
      </w:r>
      <w:r>
        <w:rPr>
          <w:rStyle w:val="8"/>
          <w:rFonts w:hint="default" w:ascii="Times New Roman" w:hAnsi="Times New Roman" w:cs="Times New Roman"/>
          <w:i w:val="0"/>
          <w:iCs w:val="0"/>
          <w:sz w:val="24"/>
          <w:szCs w:val="24"/>
          <w:lang w:val="en-US" w:eastAsia="zh-CN"/>
        </w:rPr>
        <w:fldChar w:fldCharType="end"/>
      </w:r>
      <w:r>
        <w:rPr>
          <w:rFonts w:hint="default" w:ascii="Times New Roman" w:hAnsi="Times New Roman" w:eastAsia="宋体" w:cs="Times New Roman"/>
          <w:i w:val="0"/>
          <w:iCs w:val="0"/>
          <w:kern w:val="2"/>
          <w:sz w:val="24"/>
          <w:szCs w:val="24"/>
          <w:lang w:val="en-US" w:eastAsia="zh-CN" w:bidi="ar"/>
        </w:rPr>
        <w:t xml:space="preserve">).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kern w:val="2"/>
          <w:sz w:val="24"/>
          <w:szCs w:val="24"/>
          <w:lang w:val="en-US" w:eastAsia="zh-CN" w:bidi="ar"/>
        </w:rPr>
        <w:t>C-D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lang w:val="en-US" w:eastAsia="zh-CN" w:bidi="ar"/>
        </w:rPr>
        <w:t xml:space="preserve"> Univariate and multivariate Cox regression prognostic indicators in the GSE58812 dataset.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kern w:val="2"/>
          <w:sz w:val="24"/>
          <w:szCs w:val="24"/>
          <w:lang w:val="en-US" w:eastAsia="zh-CN" w:bidi="ar"/>
        </w:rPr>
        <w:t>E</w:t>
      </w:r>
      <w:r>
        <w:rPr>
          <w:rFonts w:hint="eastAsia" w:ascii="Times New Roman" w:hAnsi="Times New Roman" w:eastAsia="宋体" w:cs="Times New Roman"/>
          <w:i w:val="0"/>
          <w:iCs w:val="0"/>
          <w:kern w:val="2"/>
          <w:sz w:val="24"/>
          <w:szCs w:val="24"/>
          <w:lang w:val="en-US" w:eastAsia="zh-CN" w:bidi="ar"/>
        </w:rPr>
        <w:t xml:space="preserve"> Expression of PGK1 in TNBC tissues.</w:t>
      </w:r>
    </w:p>
    <w:p w14:paraId="0A89D443">
      <w:pPr>
        <w:rPr>
          <w:rFonts w:hint="default" w:eastAsiaTheme="minorEastAsia"/>
          <w:sz w:val="18"/>
          <w:szCs w:val="20"/>
          <w:lang w:val="en-US" w:eastAsia="zh-CN"/>
        </w:rPr>
      </w:pPr>
      <w:r>
        <w:rPr>
          <w:rFonts w:hint="default" w:eastAsiaTheme="minorEastAsia"/>
          <w:sz w:val="18"/>
          <w:szCs w:val="20"/>
          <w:lang w:val="en-US" w:eastAsia="zh-CN"/>
        </w:rPr>
        <w:drawing>
          <wp:inline distT="0" distB="0" distL="114300" distR="114300">
            <wp:extent cx="5219700" cy="4331335"/>
            <wp:effectExtent l="0" t="0" r="5080" b="8255"/>
            <wp:docPr id="2" name="图片 2" descr="6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-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433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C65BF9">
      <w:pPr>
        <w:spacing w:line="480" w:lineRule="auto"/>
        <w:rPr>
          <w:rFonts w:hint="default" w:eastAsiaTheme="minorEastAsia"/>
          <w:b/>
          <w:bCs/>
          <w:i w:val="0"/>
          <w:iCs w:val="0"/>
          <w:sz w:val="24"/>
          <w:szCs w:val="24"/>
          <w:lang w:val="en-US" w:eastAsia="zh-CN"/>
        </w:rPr>
      </w:pPr>
      <w:r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 xml:space="preserve">S5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PGK1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’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s effects on immunity.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The correlation between PGK1 and immune cells calculated by ssGSEA. 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B-D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 The immune, estimate and stromal score (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B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); TIDE risk values (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C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); and IPS (</w:t>
      </w:r>
      <w:r>
        <w:rPr>
          <w:rFonts w:hint="eastAsia" w:ascii="Times New Roman" w:hAnsi="Times New Roman" w:cs="Times New Roman"/>
          <w:b/>
          <w:bCs/>
          <w:i w:val="0"/>
          <w:iCs w:val="0"/>
          <w:sz w:val="24"/>
          <w:szCs w:val="24"/>
          <w:lang w:val="en-US" w:eastAsia="zh-CN"/>
        </w:rPr>
        <w:t>D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 xml:space="preserve">) in high and low-expression groups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sz w:val="24"/>
          <w:szCs w:val="24"/>
          <w:lang w:val="en-US" w:eastAsia="zh-CN" w:bidi="ar"/>
        </w:rPr>
        <w:t>in TNBC samples of TCGA BRCA dataset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sz w:val="24"/>
          <w:szCs w:val="24"/>
          <w:lang w:val="en-US" w:eastAsia="zh-CN"/>
        </w:rPr>
        <w:t>.</w:t>
      </w:r>
    </w:p>
    <w:p w14:paraId="0B859593"/>
    <w:p w14:paraId="4EFBC7A1"/>
    <w:p w14:paraId="32EB5084"/>
    <w:p w14:paraId="4A1AD21A"/>
    <w:p w14:paraId="1C243080"/>
    <w:p w14:paraId="1A59B121"/>
    <w:p w14:paraId="75EAF81D"/>
    <w:p w14:paraId="190E3FFD"/>
    <w:p w14:paraId="4F294012"/>
    <w:p w14:paraId="09B093A3"/>
    <w:p w14:paraId="0B87CF19"/>
    <w:p w14:paraId="5970FB13"/>
    <w:p w14:paraId="771E9475"/>
    <w:p w14:paraId="688A55D7"/>
    <w:p w14:paraId="2DBA61D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19700" cy="7376795"/>
            <wp:effectExtent l="0" t="0" r="5080" b="6985"/>
            <wp:docPr id="1" name="图片 1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737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62821D"/>
    <w:p w14:paraId="41580F5B">
      <w:pPr>
        <w:spacing w:line="480" w:lineRule="auto"/>
        <w:rPr>
          <w:rFonts w:hint="default" w:eastAsiaTheme="minorEastAsia"/>
          <w:b/>
          <w:bCs/>
          <w:i w:val="0"/>
          <w:iCs w:val="0"/>
          <w:color w:val="auto"/>
          <w:sz w:val="24"/>
          <w:szCs w:val="24"/>
          <w:lang w:val="en-US" w:eastAsia="zh-CN"/>
        </w:rPr>
      </w:pPr>
      <w:bookmarkStart w:id="0" w:name="_GoBack"/>
      <w:r>
        <w:rPr>
          <w:rFonts w:ascii="Times New Roman" w:hAnsi="Times New Roman" w:cs="Times New Roman"/>
          <w:b/>
          <w:bCs/>
          <w:i w:val="0"/>
          <w:iCs w:val="0"/>
          <w:color w:val="auto"/>
          <w:sz w:val="24"/>
          <w:szCs w:val="24"/>
        </w:rPr>
        <w:t xml:space="preserve">Figure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zh-CN"/>
        </w:rPr>
        <w:t xml:space="preserve">S6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Figure S6. Correlation between PGK1 expression and lactylation-related pathway activity. </w:t>
      </w:r>
      <w:r>
        <w:rPr>
          <w:rFonts w:hint="eastAsia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zh-CN"/>
        </w:rPr>
        <w:t>A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 xml:space="preserve"> The GSVA score of lactylate-related gene sets in PGK1 high- and low-expression groups 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 w:bidi="ar"/>
        </w:rPr>
        <w:t xml:space="preserve">in TNBC samples of TCGA BRCA dataset. B Mantel test showing </w:t>
      </w:r>
      <w:r>
        <w:rPr>
          <w:rFonts w:hint="eastAsia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zh-CN"/>
        </w:rPr>
        <w:t>correlation between PGK1 expression and lactylate-related gene sets.</w:t>
      </w:r>
    </w:p>
    <w:bookmarkEnd w:id="0"/>
    <w:p w14:paraId="6A3CC207">
      <w:pPr>
        <w:rPr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3C"/>
    <w:rsid w:val="0014408E"/>
    <w:rsid w:val="00900C7F"/>
    <w:rsid w:val="009109B9"/>
    <w:rsid w:val="00D4143C"/>
    <w:rsid w:val="0557016F"/>
    <w:rsid w:val="06052619"/>
    <w:rsid w:val="09E335EE"/>
    <w:rsid w:val="09ED69F7"/>
    <w:rsid w:val="0A4D0F1F"/>
    <w:rsid w:val="0C8F34F4"/>
    <w:rsid w:val="0F186506"/>
    <w:rsid w:val="12032DED"/>
    <w:rsid w:val="124717EE"/>
    <w:rsid w:val="1906629D"/>
    <w:rsid w:val="280D4ACA"/>
    <w:rsid w:val="2D197980"/>
    <w:rsid w:val="32D90F76"/>
    <w:rsid w:val="34B00BC9"/>
    <w:rsid w:val="38127FB6"/>
    <w:rsid w:val="3B841076"/>
    <w:rsid w:val="3C5A58BF"/>
    <w:rsid w:val="3F793CA9"/>
    <w:rsid w:val="41195D48"/>
    <w:rsid w:val="46192BC4"/>
    <w:rsid w:val="4EC72940"/>
    <w:rsid w:val="4FF65921"/>
    <w:rsid w:val="52DA2612"/>
    <w:rsid w:val="52E03394"/>
    <w:rsid w:val="55F378B9"/>
    <w:rsid w:val="58E32A6C"/>
    <w:rsid w:val="5A2B0CA1"/>
    <w:rsid w:val="5E1A7D23"/>
    <w:rsid w:val="616442F8"/>
    <w:rsid w:val="6D397BB0"/>
    <w:rsid w:val="738F728D"/>
    <w:rsid w:val="75197FD8"/>
    <w:rsid w:val="7B1E6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9"/>
    <w:pPr>
      <w:keepNext/>
      <w:keepLines/>
      <w:spacing w:beforeLines="0" w:beforeAutospacing="0" w:afterLines="0" w:afterAutospacing="0" w:line="480" w:lineRule="auto"/>
      <w:outlineLvl w:val="2"/>
    </w:pPr>
    <w:rPr>
      <w:rFonts w:ascii="Times New Roman" w:hAnsi="Times New Roman"/>
      <w:b/>
      <w:sz w:val="2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FollowedHyperlink"/>
    <w:basedOn w:val="6"/>
    <w:semiHidden/>
    <w:unhideWhenUsed/>
    <w:qFormat/>
    <w:uiPriority w:val="99"/>
    <w:rPr>
      <w:color w:val="954F72"/>
      <w:u w:val="single"/>
    </w:rPr>
  </w:style>
  <w:style w:type="character" w:styleId="8">
    <w:name w:val="Hyperlink"/>
    <w:basedOn w:val="6"/>
    <w:unhideWhenUsed/>
    <w:qFormat/>
    <w:uiPriority w:val="99"/>
    <w:rPr>
      <w:color w:val="0563C1"/>
      <w:u w:val="single"/>
    </w:rPr>
  </w:style>
  <w:style w:type="character" w:customStyle="1" w:styleId="9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358</Words>
  <Characters>1957</Characters>
  <Lines>1</Lines>
  <Paragraphs>1</Paragraphs>
  <TotalTime>4</TotalTime>
  <ScaleCrop>false</ScaleCrop>
  <LinksUpToDate>false</LinksUpToDate>
  <CharactersWithSpaces>2308</CharactersWithSpaces>
  <Application>WPS Office_12.1.0.23539_F1E327BC-269C-435d-A152-05C5408002CA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2024-10-15T08:55:00Z</dcterms:created>
  <dc:creator>Administrator</dc:creator>
  <cp:lastModifiedBy>周健</cp:lastModifiedBy>
  <dcterms:modified xsi:type="dcterms:W3CDTF">2025-12-05T06:49:27Z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eyJoZGlkIjoiZTdhMzEyMTFkM2M4ZWY1MThhZGMyNDg2ZmEzMWJiMTUiLCJ1c2VySWQiOiI1MTY4MDkwOTIifQ==</vt:lpwstr>
  </property>
  <property fmtid="{D5CDD505-2E9C-101B-9397-08002B2CF9AE}" pid="3" name="KSOProductBuildVer">
    <vt:lpwstr>2052-12.1.0.23539</vt:lpwstr>
  </property>
  <property fmtid="{D5CDD505-2E9C-101B-9397-08002B2CF9AE}" pid="4" name="ICV">
    <vt:lpwstr>C453D18F547D47448FBA65E29F39A560_13</vt:lpwstr>
  </property>
</Properties>
</file>