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1F7F5" w14:textId="77777777" w:rsidR="00304C26" w:rsidRPr="00FB20D6" w:rsidRDefault="00304C26" w:rsidP="00CD6B5C">
      <w:pPr>
        <w:spacing w:line="360" w:lineRule="auto"/>
        <w:rPr>
          <w:rFonts w:asciiTheme="minorBidi" w:hAnsiTheme="minorBidi"/>
          <w:lang w:val="de-DE"/>
        </w:rPr>
      </w:pPr>
    </w:p>
    <w:p w14:paraId="2421634D" w14:textId="77777777" w:rsidR="00FB20D6" w:rsidRPr="00FB20D6" w:rsidRDefault="00FB20D6" w:rsidP="00CD6B5C">
      <w:pPr>
        <w:spacing w:line="360" w:lineRule="auto"/>
        <w:rPr>
          <w:rFonts w:asciiTheme="minorBidi" w:hAnsiTheme="minorBidi"/>
          <w:lang w:val="de-DE"/>
        </w:rPr>
      </w:pPr>
    </w:p>
    <w:p w14:paraId="16467D2A" w14:textId="77777777" w:rsidR="00731B92" w:rsidRPr="004813A3" w:rsidRDefault="00731B92" w:rsidP="00CD6B5C">
      <w:pPr>
        <w:spacing w:before="240" w:after="120" w:line="360" w:lineRule="auto"/>
      </w:pPr>
      <w:r w:rsidRPr="004813A3">
        <w:rPr>
          <w:rFonts w:ascii="Arial" w:eastAsia="Arial" w:hAnsi="Arial" w:cs="Arial"/>
          <w:b/>
          <w:bCs/>
        </w:rPr>
        <w:t>Supplementary Table 1: Sensitivity Analysis – 60-Day Landmark Multivariable Cox Regression (N = 145)*</w:t>
      </w:r>
    </w:p>
    <w:tbl>
      <w:tblPr>
        <w:tblW w:w="8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1500"/>
        <w:gridCol w:w="2000"/>
        <w:gridCol w:w="1326"/>
      </w:tblGrid>
      <w:tr w:rsidR="00731B92" w14:paraId="4D387214" w14:textId="77777777" w:rsidTr="001B455A">
        <w:trPr>
          <w:tblHeader/>
        </w:trPr>
        <w:tc>
          <w:tcPr>
            <w:tcW w:w="3200" w:type="dxa"/>
            <w:tcBorders>
              <w:top w:val="single" w:sz="3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3C6137" w14:textId="77777777" w:rsidR="00731B92" w:rsidRDefault="00731B92" w:rsidP="00CD6B5C">
            <w:pPr>
              <w:spacing w:line="360" w:lineRule="auto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Covariate</w:t>
            </w:r>
          </w:p>
        </w:tc>
        <w:tc>
          <w:tcPr>
            <w:tcW w:w="1500" w:type="dxa"/>
            <w:tcBorders>
              <w:top w:val="single" w:sz="3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6A5439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Hazard Ratio (HR)</w:t>
            </w:r>
          </w:p>
        </w:tc>
        <w:tc>
          <w:tcPr>
            <w:tcW w:w="2000" w:type="dxa"/>
            <w:tcBorders>
              <w:top w:val="single" w:sz="3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2DCEFE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95% CI (Lower – Upper)</w:t>
            </w:r>
          </w:p>
        </w:tc>
        <w:tc>
          <w:tcPr>
            <w:tcW w:w="1326" w:type="dxa"/>
            <w:tcBorders>
              <w:top w:val="single" w:sz="3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6AE0A3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P-value</w:t>
            </w:r>
          </w:p>
        </w:tc>
      </w:tr>
      <w:tr w:rsidR="00731B92" w:rsidRPr="004813A3" w14:paraId="1C961E1D" w14:textId="77777777" w:rsidTr="001B455A">
        <w:tc>
          <w:tcPr>
            <w:tcW w:w="3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7D5132" w14:textId="77777777" w:rsidR="00731B92" w:rsidRPr="004813A3" w:rsidRDefault="00731B92" w:rsidP="00CD6B5C">
            <w:pPr>
              <w:spacing w:line="360" w:lineRule="auto"/>
            </w:pPr>
            <w:r w:rsidRPr="004813A3">
              <w:rPr>
                <w:rFonts w:ascii="Arial" w:eastAsia="Arial" w:hAnsi="Arial" w:cs="Arial"/>
                <w:b/>
                <w:bCs/>
                <w:i/>
                <w:iCs/>
                <w:sz w:val="20"/>
                <w:szCs w:val="20"/>
              </w:rPr>
              <w:t>Model 3: Overall Cohort Landmark (N = 137)</w:t>
            </w:r>
          </w:p>
        </w:tc>
        <w:tc>
          <w:tcPr>
            <w:tcW w:w="15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A09C2B" w14:textId="77777777" w:rsidR="00731B92" w:rsidRPr="004813A3" w:rsidRDefault="00731B92" w:rsidP="00CD6B5C">
            <w:pPr>
              <w:spacing w:line="360" w:lineRule="auto"/>
              <w:jc w:val="center"/>
            </w:pPr>
          </w:p>
        </w:tc>
        <w:tc>
          <w:tcPr>
            <w:tcW w:w="20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93EF84" w14:textId="77777777" w:rsidR="00731B92" w:rsidRPr="004813A3" w:rsidRDefault="00731B92" w:rsidP="00CD6B5C">
            <w:pPr>
              <w:spacing w:line="360" w:lineRule="auto"/>
              <w:jc w:val="center"/>
            </w:pPr>
          </w:p>
        </w:tc>
        <w:tc>
          <w:tcPr>
            <w:tcW w:w="1326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58893F" w14:textId="77777777" w:rsidR="00731B92" w:rsidRPr="004813A3" w:rsidRDefault="00731B92" w:rsidP="00CD6B5C">
            <w:pPr>
              <w:spacing w:line="360" w:lineRule="auto"/>
              <w:jc w:val="center"/>
            </w:pPr>
          </w:p>
        </w:tc>
      </w:tr>
      <w:tr w:rsidR="00731B92" w:rsidRPr="004813A3" w14:paraId="3EF34A3D" w14:textId="77777777" w:rsidTr="001B455A">
        <w:tc>
          <w:tcPr>
            <w:tcW w:w="3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0E0B69" w14:textId="77777777" w:rsidR="00731B92" w:rsidRPr="004813A3" w:rsidRDefault="00731B92" w:rsidP="00CD6B5C">
            <w:pPr>
              <w:spacing w:line="360" w:lineRule="auto"/>
            </w:pPr>
            <w:r w:rsidRPr="004813A3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Treatment Strategy (Ref: </w:t>
            </w:r>
            <w:proofErr w:type="spellStart"/>
            <w:r w:rsidRPr="004813A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Neoadj</w:t>
            </w:r>
            <w:proofErr w:type="spellEnd"/>
            <w:r w:rsidRPr="004813A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. only)</w:t>
            </w:r>
          </w:p>
        </w:tc>
        <w:tc>
          <w:tcPr>
            <w:tcW w:w="15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D8A2EC" w14:textId="77777777" w:rsidR="00731B92" w:rsidRPr="004813A3" w:rsidRDefault="00731B92" w:rsidP="00CD6B5C">
            <w:pPr>
              <w:spacing w:line="360" w:lineRule="auto"/>
              <w:jc w:val="center"/>
            </w:pPr>
          </w:p>
        </w:tc>
        <w:tc>
          <w:tcPr>
            <w:tcW w:w="20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EF012A" w14:textId="77777777" w:rsidR="00731B92" w:rsidRPr="004813A3" w:rsidRDefault="00731B92" w:rsidP="00CD6B5C">
            <w:pPr>
              <w:spacing w:line="360" w:lineRule="auto"/>
              <w:jc w:val="center"/>
            </w:pPr>
          </w:p>
        </w:tc>
        <w:tc>
          <w:tcPr>
            <w:tcW w:w="1326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0C8266" w14:textId="77777777" w:rsidR="00731B92" w:rsidRPr="004813A3" w:rsidRDefault="00731B92" w:rsidP="00CD6B5C">
            <w:pPr>
              <w:spacing w:line="360" w:lineRule="auto"/>
              <w:jc w:val="center"/>
            </w:pPr>
          </w:p>
        </w:tc>
      </w:tr>
      <w:tr w:rsidR="00731B92" w14:paraId="3A12ED2D" w14:textId="77777777" w:rsidTr="001B455A">
        <w:tc>
          <w:tcPr>
            <w:tcW w:w="3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73CF11" w14:textId="77777777" w:rsidR="00731B92" w:rsidRDefault="00731B92" w:rsidP="00CD6B5C">
            <w:pPr>
              <w:spacing w:line="360" w:lineRule="auto"/>
              <w:ind w:left="200"/>
            </w:pPr>
            <w:r w:rsidRPr="004813A3"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– Perioperative completion</w:t>
            </w:r>
          </w:p>
        </w:tc>
        <w:tc>
          <w:tcPr>
            <w:tcW w:w="15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DB8EE6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0.23</w:t>
            </w:r>
          </w:p>
        </w:tc>
        <w:tc>
          <w:tcPr>
            <w:tcW w:w="20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05F195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0.09 – 0.62</w:t>
            </w:r>
          </w:p>
        </w:tc>
        <w:tc>
          <w:tcPr>
            <w:tcW w:w="1326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11CDDB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0.004</w:t>
            </w:r>
          </w:p>
        </w:tc>
      </w:tr>
      <w:tr w:rsidR="00731B92" w14:paraId="682F69AF" w14:textId="77777777" w:rsidTr="001B455A">
        <w:tc>
          <w:tcPr>
            <w:tcW w:w="3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21AE0B" w14:textId="77777777" w:rsidR="00731B92" w:rsidRDefault="00731B92" w:rsidP="00CD6B5C">
            <w:pPr>
              <w:spacing w:line="360" w:lineRule="auto"/>
              <w:ind w:left="200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– Surgery alone</w:t>
            </w:r>
          </w:p>
        </w:tc>
        <w:tc>
          <w:tcPr>
            <w:tcW w:w="15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1E958B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0.33</w:t>
            </w:r>
          </w:p>
        </w:tc>
        <w:tc>
          <w:tcPr>
            <w:tcW w:w="20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5BBC28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0.15 – 0.73</w:t>
            </w:r>
          </w:p>
        </w:tc>
        <w:tc>
          <w:tcPr>
            <w:tcW w:w="1326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4E2005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0.006</w:t>
            </w:r>
          </w:p>
        </w:tc>
      </w:tr>
      <w:tr w:rsidR="00731B92" w14:paraId="7C38F04A" w14:textId="77777777" w:rsidTr="001B455A">
        <w:tc>
          <w:tcPr>
            <w:tcW w:w="3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F640CD" w14:textId="77777777" w:rsidR="00731B92" w:rsidRPr="004813A3" w:rsidRDefault="00731B92" w:rsidP="00CD6B5C">
            <w:pPr>
              <w:spacing w:line="360" w:lineRule="auto"/>
            </w:pPr>
            <w:r w:rsidRPr="004813A3">
              <w:rPr>
                <w:rFonts w:ascii="Arial" w:eastAsia="Arial" w:hAnsi="Arial" w:cs="Arial"/>
                <w:sz w:val="20"/>
                <w:szCs w:val="20"/>
              </w:rPr>
              <w:t>Surgical Approach (Robotic vs. Open)</w:t>
            </w:r>
          </w:p>
        </w:tc>
        <w:tc>
          <w:tcPr>
            <w:tcW w:w="15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20FDB1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0.96</w:t>
            </w:r>
          </w:p>
        </w:tc>
        <w:tc>
          <w:tcPr>
            <w:tcW w:w="20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B16E01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0.42 – 2.22</w:t>
            </w:r>
          </w:p>
        </w:tc>
        <w:tc>
          <w:tcPr>
            <w:tcW w:w="1326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D5FC33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0.925</w:t>
            </w:r>
          </w:p>
        </w:tc>
      </w:tr>
      <w:tr w:rsidR="00731B92" w14:paraId="474142FE" w14:textId="77777777" w:rsidTr="001B455A">
        <w:tc>
          <w:tcPr>
            <w:tcW w:w="3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6736D4" w14:textId="77777777" w:rsidR="00731B92" w:rsidRPr="004813A3" w:rsidRDefault="00731B92" w:rsidP="00CD6B5C">
            <w:pPr>
              <w:spacing w:line="360" w:lineRule="auto"/>
            </w:pPr>
            <w:r w:rsidRPr="004813A3">
              <w:rPr>
                <w:rFonts w:ascii="Arial" w:eastAsia="Arial" w:hAnsi="Arial" w:cs="Arial"/>
                <w:sz w:val="20"/>
                <w:szCs w:val="20"/>
              </w:rPr>
              <w:t>Resection Margin Status (R1 vs. R0)</w:t>
            </w:r>
          </w:p>
        </w:tc>
        <w:tc>
          <w:tcPr>
            <w:tcW w:w="15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AF24E1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3.21</w:t>
            </w:r>
          </w:p>
        </w:tc>
        <w:tc>
          <w:tcPr>
            <w:tcW w:w="20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26989D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0.75 – 13.79</w:t>
            </w:r>
          </w:p>
        </w:tc>
        <w:tc>
          <w:tcPr>
            <w:tcW w:w="1326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B9A6D0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0.116</w:t>
            </w:r>
          </w:p>
        </w:tc>
      </w:tr>
      <w:tr w:rsidR="00731B92" w14:paraId="359C92DA" w14:textId="77777777" w:rsidTr="001B455A">
        <w:tc>
          <w:tcPr>
            <w:tcW w:w="3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B3E46A" w14:textId="77777777" w:rsidR="00731B92" w:rsidRDefault="00731B92" w:rsidP="00CD6B5C">
            <w:pPr>
              <w:spacing w:line="360" w:lineRule="auto"/>
            </w:pPr>
            <w:r>
              <w:rPr>
                <w:rFonts w:ascii="Arial" w:eastAsia="Arial" w:hAnsi="Arial" w:cs="Arial"/>
                <w:sz w:val="20"/>
                <w:szCs w:val="20"/>
              </w:rPr>
              <w:t>Lymph Node Ratio (LNR)</w:t>
            </w:r>
          </w:p>
        </w:tc>
        <w:tc>
          <w:tcPr>
            <w:tcW w:w="15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4E7DB0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2.82</w:t>
            </w:r>
          </w:p>
        </w:tc>
        <w:tc>
          <w:tcPr>
            <w:tcW w:w="20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38B836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0.55 – 14.44</w:t>
            </w:r>
          </w:p>
        </w:tc>
        <w:tc>
          <w:tcPr>
            <w:tcW w:w="1326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FF98FB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0.213</w:t>
            </w:r>
          </w:p>
        </w:tc>
      </w:tr>
      <w:tr w:rsidR="00731B92" w14:paraId="28B66705" w14:textId="77777777" w:rsidTr="001B455A">
        <w:tc>
          <w:tcPr>
            <w:tcW w:w="3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BA927B" w14:textId="77777777" w:rsidR="00731B92" w:rsidRDefault="00731B92" w:rsidP="00CD6B5C">
            <w:pPr>
              <w:spacing w:line="360" w:lineRule="auto"/>
            </w:pPr>
            <w:r>
              <w:rPr>
                <w:rFonts w:ascii="Arial" w:eastAsia="Arial" w:hAnsi="Arial" w:cs="Arial"/>
                <w:sz w:val="20"/>
                <w:szCs w:val="20"/>
              </w:rPr>
              <w:t>Severe Complications (CD ≥ III)</w:t>
            </w:r>
          </w:p>
        </w:tc>
        <w:tc>
          <w:tcPr>
            <w:tcW w:w="15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9257FE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1.31</w:t>
            </w:r>
          </w:p>
        </w:tc>
        <w:tc>
          <w:tcPr>
            <w:tcW w:w="20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4686E9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0.65 – 2.67</w:t>
            </w:r>
          </w:p>
        </w:tc>
        <w:tc>
          <w:tcPr>
            <w:tcW w:w="1326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B2781B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0.450</w:t>
            </w:r>
          </w:p>
        </w:tc>
      </w:tr>
      <w:tr w:rsidR="00731B92" w14:paraId="250E8BB4" w14:textId="77777777" w:rsidTr="001B455A">
        <w:tc>
          <w:tcPr>
            <w:tcW w:w="3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9B0208" w14:textId="77777777" w:rsidR="00731B92" w:rsidRDefault="00731B92" w:rsidP="00CD6B5C">
            <w:pPr>
              <w:spacing w:line="360" w:lineRule="auto"/>
            </w:pPr>
            <w:r>
              <w:rPr>
                <w:rFonts w:ascii="Arial" w:eastAsia="Arial" w:hAnsi="Arial" w:cs="Arial"/>
                <w:sz w:val="20"/>
                <w:szCs w:val="20"/>
              </w:rPr>
              <w:t>Preoperative UICC Stage</w:t>
            </w:r>
          </w:p>
        </w:tc>
        <w:tc>
          <w:tcPr>
            <w:tcW w:w="15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A9D73A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0.79</w:t>
            </w:r>
          </w:p>
        </w:tc>
        <w:tc>
          <w:tcPr>
            <w:tcW w:w="20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B2C2AF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0.45 – 1.40</w:t>
            </w:r>
          </w:p>
        </w:tc>
        <w:tc>
          <w:tcPr>
            <w:tcW w:w="1326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E37BBC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0.415</w:t>
            </w:r>
          </w:p>
        </w:tc>
      </w:tr>
      <w:tr w:rsidR="00731B92" w14:paraId="14E2D326" w14:textId="77777777" w:rsidTr="001B455A">
        <w:tc>
          <w:tcPr>
            <w:tcW w:w="3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1238E8" w14:textId="77777777" w:rsidR="00731B92" w:rsidRDefault="00731B92" w:rsidP="00CD6B5C">
            <w:pPr>
              <w:spacing w:line="360" w:lineRule="auto"/>
            </w:pPr>
            <w:r>
              <w:rPr>
                <w:rFonts w:ascii="Arial" w:eastAsia="Arial" w:hAnsi="Arial" w:cs="Arial"/>
                <w:sz w:val="20"/>
                <w:szCs w:val="20"/>
              </w:rPr>
              <w:t>Charlson Comorbidity Index (CCI)</w:t>
            </w:r>
          </w:p>
        </w:tc>
        <w:tc>
          <w:tcPr>
            <w:tcW w:w="15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1DDED1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1.09</w:t>
            </w:r>
          </w:p>
        </w:tc>
        <w:tc>
          <w:tcPr>
            <w:tcW w:w="20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F9DD27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0.99 – 1.21</w:t>
            </w:r>
          </w:p>
        </w:tc>
        <w:tc>
          <w:tcPr>
            <w:tcW w:w="1326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A60A37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0.093</w:t>
            </w:r>
          </w:p>
        </w:tc>
      </w:tr>
      <w:tr w:rsidR="00731B92" w:rsidRPr="004813A3" w14:paraId="701C4208" w14:textId="77777777" w:rsidTr="001B455A">
        <w:tc>
          <w:tcPr>
            <w:tcW w:w="3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CB1352" w14:textId="77777777" w:rsidR="00731B92" w:rsidRPr="004813A3" w:rsidRDefault="00731B92" w:rsidP="00CD6B5C">
            <w:pPr>
              <w:spacing w:line="360" w:lineRule="auto"/>
            </w:pPr>
            <w:r w:rsidRPr="004813A3">
              <w:rPr>
                <w:rFonts w:ascii="Arial" w:eastAsia="Arial" w:hAnsi="Arial" w:cs="Arial"/>
                <w:b/>
                <w:bCs/>
                <w:i/>
                <w:iCs/>
                <w:sz w:val="20"/>
                <w:szCs w:val="20"/>
              </w:rPr>
              <w:t>Model 4: Neoadjuvant Subgroup Landmark (n = 80)</w:t>
            </w:r>
          </w:p>
        </w:tc>
        <w:tc>
          <w:tcPr>
            <w:tcW w:w="15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B12BAB" w14:textId="77777777" w:rsidR="00731B92" w:rsidRPr="004813A3" w:rsidRDefault="00731B92" w:rsidP="00CD6B5C">
            <w:pPr>
              <w:spacing w:line="360" w:lineRule="auto"/>
              <w:jc w:val="center"/>
            </w:pPr>
          </w:p>
        </w:tc>
        <w:tc>
          <w:tcPr>
            <w:tcW w:w="20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E53B21" w14:textId="77777777" w:rsidR="00731B92" w:rsidRPr="004813A3" w:rsidRDefault="00731B92" w:rsidP="00CD6B5C">
            <w:pPr>
              <w:spacing w:line="360" w:lineRule="auto"/>
              <w:jc w:val="center"/>
            </w:pPr>
          </w:p>
        </w:tc>
        <w:tc>
          <w:tcPr>
            <w:tcW w:w="1326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1A2C23" w14:textId="77777777" w:rsidR="00731B92" w:rsidRPr="004813A3" w:rsidRDefault="00731B92" w:rsidP="00CD6B5C">
            <w:pPr>
              <w:spacing w:line="360" w:lineRule="auto"/>
              <w:jc w:val="center"/>
            </w:pPr>
          </w:p>
        </w:tc>
      </w:tr>
      <w:tr w:rsidR="00731B92" w14:paraId="07FDE79F" w14:textId="77777777" w:rsidTr="001B455A">
        <w:tc>
          <w:tcPr>
            <w:tcW w:w="3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1E2EE9" w14:textId="77777777" w:rsidR="00731B92" w:rsidRDefault="00731B92" w:rsidP="00CD6B5C">
            <w:pPr>
              <w:spacing w:line="360" w:lineRule="auto"/>
            </w:pPr>
            <w:r>
              <w:rPr>
                <w:rFonts w:ascii="Arial" w:eastAsia="Arial" w:hAnsi="Arial" w:cs="Arial"/>
                <w:sz w:val="20"/>
                <w:szCs w:val="20"/>
              </w:rPr>
              <w:t>Becker TRG (Ordinal, 1–4)</w:t>
            </w:r>
          </w:p>
        </w:tc>
        <w:tc>
          <w:tcPr>
            <w:tcW w:w="15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FA59D1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1.53</w:t>
            </w:r>
          </w:p>
        </w:tc>
        <w:tc>
          <w:tcPr>
            <w:tcW w:w="20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54711B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0.91 – 2.57</w:t>
            </w:r>
          </w:p>
        </w:tc>
        <w:tc>
          <w:tcPr>
            <w:tcW w:w="1326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83EBE7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0.106</w:t>
            </w:r>
          </w:p>
        </w:tc>
      </w:tr>
      <w:tr w:rsidR="00731B92" w14:paraId="08D1EC6E" w14:textId="77777777" w:rsidTr="001B455A">
        <w:tc>
          <w:tcPr>
            <w:tcW w:w="3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AB650D" w14:textId="77777777" w:rsidR="00731B92" w:rsidRPr="004813A3" w:rsidRDefault="00731B92" w:rsidP="00CD6B5C">
            <w:pPr>
              <w:spacing w:line="360" w:lineRule="auto"/>
            </w:pPr>
            <w:proofErr w:type="spellStart"/>
            <w:r w:rsidRPr="004813A3">
              <w:rPr>
                <w:rFonts w:ascii="Arial" w:eastAsia="Arial" w:hAnsi="Arial" w:cs="Arial"/>
                <w:sz w:val="20"/>
                <w:szCs w:val="20"/>
              </w:rPr>
              <w:t>Periop</w:t>
            </w:r>
            <w:proofErr w:type="spellEnd"/>
            <w:r w:rsidRPr="004813A3">
              <w:rPr>
                <w:rFonts w:ascii="Arial" w:eastAsia="Arial" w:hAnsi="Arial" w:cs="Arial"/>
                <w:sz w:val="20"/>
                <w:szCs w:val="20"/>
              </w:rPr>
              <w:t xml:space="preserve">. completion (vs. </w:t>
            </w:r>
            <w:proofErr w:type="spellStart"/>
            <w:r w:rsidRPr="004813A3">
              <w:rPr>
                <w:rFonts w:ascii="Arial" w:eastAsia="Arial" w:hAnsi="Arial" w:cs="Arial"/>
                <w:sz w:val="20"/>
                <w:szCs w:val="20"/>
              </w:rPr>
              <w:t>Neoadj</w:t>
            </w:r>
            <w:proofErr w:type="spellEnd"/>
            <w:r w:rsidRPr="004813A3">
              <w:rPr>
                <w:rFonts w:ascii="Arial" w:eastAsia="Arial" w:hAnsi="Arial" w:cs="Arial"/>
                <w:sz w:val="20"/>
                <w:szCs w:val="20"/>
              </w:rPr>
              <w:t>. only)</w:t>
            </w:r>
          </w:p>
        </w:tc>
        <w:tc>
          <w:tcPr>
            <w:tcW w:w="15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507697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0.21</w:t>
            </w:r>
          </w:p>
        </w:tc>
        <w:tc>
          <w:tcPr>
            <w:tcW w:w="20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E27B03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0.08 – 0.59</w:t>
            </w:r>
          </w:p>
        </w:tc>
        <w:tc>
          <w:tcPr>
            <w:tcW w:w="1326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95FB2F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0.003</w:t>
            </w:r>
          </w:p>
        </w:tc>
      </w:tr>
      <w:tr w:rsidR="00731B92" w14:paraId="138D54BA" w14:textId="77777777" w:rsidTr="001B455A">
        <w:tc>
          <w:tcPr>
            <w:tcW w:w="3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67EDD5" w14:textId="77777777" w:rsidR="00731B92" w:rsidRPr="004813A3" w:rsidRDefault="00731B92" w:rsidP="00CD6B5C">
            <w:pPr>
              <w:spacing w:line="360" w:lineRule="auto"/>
            </w:pPr>
            <w:r w:rsidRPr="004813A3">
              <w:rPr>
                <w:rFonts w:ascii="Arial" w:eastAsia="Arial" w:hAnsi="Arial" w:cs="Arial"/>
                <w:sz w:val="20"/>
                <w:szCs w:val="20"/>
              </w:rPr>
              <w:t>Surgical Approach (Robotic vs. Open)</w:t>
            </w:r>
          </w:p>
        </w:tc>
        <w:tc>
          <w:tcPr>
            <w:tcW w:w="15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1BF539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1.25</w:t>
            </w:r>
          </w:p>
        </w:tc>
        <w:tc>
          <w:tcPr>
            <w:tcW w:w="20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9B5477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0.46 – 3.44</w:t>
            </w:r>
          </w:p>
        </w:tc>
        <w:tc>
          <w:tcPr>
            <w:tcW w:w="1326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041B05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0.664</w:t>
            </w:r>
          </w:p>
        </w:tc>
      </w:tr>
      <w:tr w:rsidR="00731B92" w14:paraId="600FB36C" w14:textId="77777777" w:rsidTr="001B455A">
        <w:tc>
          <w:tcPr>
            <w:tcW w:w="3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F8291B" w14:textId="77777777" w:rsidR="00731B92" w:rsidRPr="004813A3" w:rsidRDefault="00731B92" w:rsidP="00CD6B5C">
            <w:pPr>
              <w:spacing w:line="360" w:lineRule="auto"/>
            </w:pPr>
            <w:r w:rsidRPr="004813A3">
              <w:rPr>
                <w:rFonts w:ascii="Arial" w:eastAsia="Arial" w:hAnsi="Arial" w:cs="Arial"/>
                <w:sz w:val="20"/>
                <w:szCs w:val="20"/>
              </w:rPr>
              <w:lastRenderedPageBreak/>
              <w:t>Resection Margin Status (R1 vs. R0)</w:t>
            </w:r>
          </w:p>
        </w:tc>
        <w:tc>
          <w:tcPr>
            <w:tcW w:w="15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4DB9DD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6.27</w:t>
            </w:r>
          </w:p>
        </w:tc>
        <w:tc>
          <w:tcPr>
            <w:tcW w:w="20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E030F2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1.21 – 32.42</w:t>
            </w:r>
          </w:p>
        </w:tc>
        <w:tc>
          <w:tcPr>
            <w:tcW w:w="1326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C28FB4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0.029</w:t>
            </w:r>
          </w:p>
        </w:tc>
      </w:tr>
      <w:tr w:rsidR="00731B92" w14:paraId="1C60341D" w14:textId="77777777" w:rsidTr="001B455A">
        <w:tc>
          <w:tcPr>
            <w:tcW w:w="3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631791" w14:textId="77777777" w:rsidR="00731B92" w:rsidRDefault="00731B92" w:rsidP="00CD6B5C">
            <w:pPr>
              <w:spacing w:line="360" w:lineRule="auto"/>
            </w:pPr>
            <w:r>
              <w:rPr>
                <w:rFonts w:ascii="Arial" w:eastAsia="Arial" w:hAnsi="Arial" w:cs="Arial"/>
                <w:sz w:val="20"/>
                <w:szCs w:val="20"/>
              </w:rPr>
              <w:t>Lymph Node Ratio (LNR)</w:t>
            </w:r>
          </w:p>
        </w:tc>
        <w:tc>
          <w:tcPr>
            <w:tcW w:w="15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8BEDA4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1.08</w:t>
            </w:r>
          </w:p>
        </w:tc>
        <w:tc>
          <w:tcPr>
            <w:tcW w:w="20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288FDB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0.10 – 11.55</w:t>
            </w:r>
          </w:p>
        </w:tc>
        <w:tc>
          <w:tcPr>
            <w:tcW w:w="1326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23B83F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0.947</w:t>
            </w:r>
          </w:p>
        </w:tc>
      </w:tr>
      <w:tr w:rsidR="00731B92" w14:paraId="2CF5557F" w14:textId="77777777" w:rsidTr="001B455A">
        <w:tc>
          <w:tcPr>
            <w:tcW w:w="3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BBED3D" w14:textId="77777777" w:rsidR="00731B92" w:rsidRDefault="00731B92" w:rsidP="00CD6B5C">
            <w:pPr>
              <w:spacing w:line="360" w:lineRule="auto"/>
            </w:pPr>
            <w:r>
              <w:rPr>
                <w:rFonts w:ascii="Arial" w:eastAsia="Arial" w:hAnsi="Arial" w:cs="Arial"/>
                <w:sz w:val="20"/>
                <w:szCs w:val="20"/>
              </w:rPr>
              <w:t>Severe Complications (CD ≥ III)</w:t>
            </w:r>
          </w:p>
        </w:tc>
        <w:tc>
          <w:tcPr>
            <w:tcW w:w="15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89198D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1.21</w:t>
            </w:r>
          </w:p>
        </w:tc>
        <w:tc>
          <w:tcPr>
            <w:tcW w:w="20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A5E846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0.51 – 2.89</w:t>
            </w:r>
          </w:p>
        </w:tc>
        <w:tc>
          <w:tcPr>
            <w:tcW w:w="1326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CCAC29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0.667</w:t>
            </w:r>
          </w:p>
        </w:tc>
      </w:tr>
      <w:tr w:rsidR="00731B92" w14:paraId="5C00C08D" w14:textId="77777777" w:rsidTr="001B455A">
        <w:tc>
          <w:tcPr>
            <w:tcW w:w="3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DDB03E" w14:textId="77777777" w:rsidR="00731B92" w:rsidRDefault="00731B92" w:rsidP="00CD6B5C">
            <w:pPr>
              <w:spacing w:line="360" w:lineRule="auto"/>
            </w:pPr>
            <w:r>
              <w:rPr>
                <w:rFonts w:ascii="Arial" w:eastAsia="Arial" w:hAnsi="Arial" w:cs="Arial"/>
                <w:sz w:val="20"/>
                <w:szCs w:val="20"/>
              </w:rPr>
              <w:t>Preoperative UICC Stage</w:t>
            </w:r>
          </w:p>
        </w:tc>
        <w:tc>
          <w:tcPr>
            <w:tcW w:w="15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BF22D4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0.35</w:t>
            </w:r>
          </w:p>
        </w:tc>
        <w:tc>
          <w:tcPr>
            <w:tcW w:w="20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A7CC80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0.15 – 0.78</w:t>
            </w:r>
          </w:p>
        </w:tc>
        <w:tc>
          <w:tcPr>
            <w:tcW w:w="1326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5D07CB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0.011</w:t>
            </w:r>
          </w:p>
        </w:tc>
      </w:tr>
      <w:tr w:rsidR="00731B92" w14:paraId="79C349F7" w14:textId="77777777" w:rsidTr="001B455A">
        <w:tc>
          <w:tcPr>
            <w:tcW w:w="3200" w:type="dxa"/>
            <w:tcBorders>
              <w:top w:val="single" w:sz="1" w:space="0" w:color="000000"/>
              <w:left w:val="none" w:sz="0" w:space="0" w:color="FFFFFF"/>
              <w:bottom w:val="single" w:sz="3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E7B7D8" w14:textId="77777777" w:rsidR="00731B92" w:rsidRDefault="00731B92" w:rsidP="00CD6B5C">
            <w:pPr>
              <w:spacing w:line="360" w:lineRule="auto"/>
            </w:pPr>
            <w:r>
              <w:rPr>
                <w:rFonts w:ascii="Arial" w:eastAsia="Arial" w:hAnsi="Arial" w:cs="Arial"/>
                <w:sz w:val="20"/>
                <w:szCs w:val="20"/>
              </w:rPr>
              <w:t>Charlson Comorbidity Index (CCI)</w:t>
            </w:r>
          </w:p>
        </w:tc>
        <w:tc>
          <w:tcPr>
            <w:tcW w:w="1500" w:type="dxa"/>
            <w:tcBorders>
              <w:top w:val="single" w:sz="1" w:space="0" w:color="000000"/>
              <w:left w:val="none" w:sz="0" w:space="0" w:color="FFFFFF"/>
              <w:bottom w:val="single" w:sz="3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848C0D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1.17</w:t>
            </w:r>
          </w:p>
        </w:tc>
        <w:tc>
          <w:tcPr>
            <w:tcW w:w="2000" w:type="dxa"/>
            <w:tcBorders>
              <w:top w:val="single" w:sz="1" w:space="0" w:color="000000"/>
              <w:left w:val="none" w:sz="0" w:space="0" w:color="FFFFFF"/>
              <w:bottom w:val="single" w:sz="3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FD7323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1.01 – 1.35</w:t>
            </w:r>
          </w:p>
        </w:tc>
        <w:tc>
          <w:tcPr>
            <w:tcW w:w="1326" w:type="dxa"/>
            <w:tcBorders>
              <w:top w:val="single" w:sz="1" w:space="0" w:color="000000"/>
              <w:left w:val="none" w:sz="0" w:space="0" w:color="FFFFFF"/>
              <w:bottom w:val="single" w:sz="3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36EA31" w14:textId="77777777" w:rsidR="00731B92" w:rsidRDefault="00731B92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0.034</w:t>
            </w:r>
          </w:p>
        </w:tc>
      </w:tr>
    </w:tbl>
    <w:p w14:paraId="53F985C9" w14:textId="77777777" w:rsidR="00731B92" w:rsidRPr="004813A3" w:rsidRDefault="00731B92" w:rsidP="00CD6B5C">
      <w:pPr>
        <w:spacing w:before="60" w:after="20" w:line="360" w:lineRule="auto"/>
      </w:pPr>
      <w:r w:rsidRPr="004813A3">
        <w:rPr>
          <w:rFonts w:ascii="Arial" w:eastAsia="Arial" w:hAnsi="Arial" w:cs="Arial"/>
          <w:i/>
          <w:iCs/>
          <w:sz w:val="18"/>
          <w:szCs w:val="18"/>
        </w:rPr>
        <w:t>* 60-day landmark multivariable Cox proportional hazards regression. Patients who died within 60 days of surgery were excluded to mitigate immortal time bias. Model 3 evaluates the entire landmark cohort (N = 137). Model 4 restricts the analysis to landmark patients who received neoadjuvant therapy (n = 80).</w:t>
      </w:r>
    </w:p>
    <w:p w14:paraId="268E5001" w14:textId="77777777" w:rsidR="00731B92" w:rsidRPr="004813A3" w:rsidRDefault="00731B92" w:rsidP="00CD6B5C">
      <w:pPr>
        <w:spacing w:before="60" w:after="20" w:line="360" w:lineRule="auto"/>
      </w:pPr>
      <w:r w:rsidRPr="004813A3">
        <w:rPr>
          <w:rFonts w:ascii="Arial" w:eastAsia="Arial" w:hAnsi="Arial" w:cs="Arial"/>
          <w:i/>
          <w:iCs/>
          <w:sz w:val="18"/>
          <w:szCs w:val="18"/>
        </w:rPr>
        <w:t>Bold values indicate statistical significance (p &lt; 0.05).</w:t>
      </w:r>
    </w:p>
    <w:p w14:paraId="3CA003FD" w14:textId="77777777" w:rsidR="00731B92" w:rsidRPr="004813A3" w:rsidRDefault="00731B92" w:rsidP="00CD6B5C">
      <w:pPr>
        <w:spacing w:before="60" w:after="20" w:line="360" w:lineRule="auto"/>
      </w:pPr>
      <w:r w:rsidRPr="004813A3">
        <w:rPr>
          <w:rFonts w:ascii="Arial" w:eastAsia="Arial" w:hAnsi="Arial" w:cs="Arial"/>
          <w:i/>
          <w:iCs/>
          <w:sz w:val="18"/>
          <w:szCs w:val="18"/>
        </w:rPr>
        <w:t>TRG: ordinal variable (1 = Grade 1a, 2 = Grade 1b, 3 = Grade 2, 4 = Grade 3). LNR: continuous variable.</w:t>
      </w:r>
    </w:p>
    <w:p w14:paraId="18371F2A" w14:textId="61C5E1A4" w:rsidR="002B36EB" w:rsidRDefault="00731B92" w:rsidP="00CD6B5C">
      <w:pPr>
        <w:spacing w:line="360" w:lineRule="auto"/>
        <w:rPr>
          <w:rFonts w:ascii="Arial" w:eastAsia="Arial" w:hAnsi="Arial" w:cs="Arial"/>
          <w:i/>
          <w:iCs/>
          <w:sz w:val="18"/>
          <w:szCs w:val="18"/>
        </w:rPr>
      </w:pPr>
      <w:r w:rsidRPr="004813A3">
        <w:rPr>
          <w:rFonts w:ascii="Arial" w:eastAsia="Arial" w:hAnsi="Arial" w:cs="Arial"/>
          <w:i/>
          <w:iCs/>
          <w:sz w:val="18"/>
          <w:szCs w:val="18"/>
        </w:rPr>
        <w:t xml:space="preserve">Abbreviations: CI, confidence interval; CD, </w:t>
      </w:r>
      <w:proofErr w:type="spellStart"/>
      <w:r w:rsidRPr="004813A3">
        <w:rPr>
          <w:rFonts w:ascii="Arial" w:eastAsia="Arial" w:hAnsi="Arial" w:cs="Arial"/>
          <w:i/>
          <w:iCs/>
          <w:sz w:val="18"/>
          <w:szCs w:val="18"/>
        </w:rPr>
        <w:t>Clavien</w:t>
      </w:r>
      <w:proofErr w:type="spellEnd"/>
      <w:r w:rsidRPr="004813A3">
        <w:rPr>
          <w:rFonts w:ascii="Arial" w:eastAsia="Arial" w:hAnsi="Arial" w:cs="Arial"/>
          <w:i/>
          <w:iCs/>
          <w:sz w:val="18"/>
          <w:szCs w:val="18"/>
        </w:rPr>
        <w:t>-Dindo classification; CCI, Charlson Comorbidity Index</w:t>
      </w:r>
    </w:p>
    <w:p w14:paraId="79E181EF" w14:textId="77777777" w:rsidR="00ED48F1" w:rsidRDefault="00ED48F1" w:rsidP="00CD6B5C">
      <w:pPr>
        <w:spacing w:line="360" w:lineRule="auto"/>
        <w:rPr>
          <w:rFonts w:asciiTheme="minorBidi" w:hAnsiTheme="minorBidi"/>
          <w:b/>
          <w:bCs/>
        </w:rPr>
      </w:pPr>
    </w:p>
    <w:p w14:paraId="727ED48F" w14:textId="77777777" w:rsidR="00CD6B5C" w:rsidRPr="004813A3" w:rsidRDefault="00CD6B5C" w:rsidP="00CD6B5C">
      <w:pPr>
        <w:spacing w:before="240" w:after="120" w:line="360" w:lineRule="auto"/>
      </w:pPr>
      <w:r w:rsidRPr="004813A3">
        <w:rPr>
          <w:rFonts w:ascii="Arial" w:eastAsia="Arial" w:hAnsi="Arial" w:cs="Arial"/>
          <w:b/>
          <w:bCs/>
        </w:rPr>
        <w:t>Supplementary Table 2: Comprehensive Subgroup Analysis by Tumor Regression Grade (TRG) vs. Surgery Alone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1200"/>
        <w:gridCol w:w="1200"/>
        <w:gridCol w:w="1200"/>
        <w:gridCol w:w="1200"/>
        <w:gridCol w:w="2426"/>
      </w:tblGrid>
      <w:tr w:rsidR="00CD6B5C" w14:paraId="57057C3A" w14:textId="77777777" w:rsidTr="001B455A">
        <w:trPr>
          <w:tblHeader/>
        </w:trPr>
        <w:tc>
          <w:tcPr>
            <w:tcW w:w="1800" w:type="dxa"/>
            <w:tcBorders>
              <w:top w:val="single" w:sz="3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AD61BF" w14:textId="77777777" w:rsidR="00CD6B5C" w:rsidRDefault="00CD6B5C" w:rsidP="00CD6B5C">
            <w:pPr>
              <w:spacing w:line="360" w:lineRule="auto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Subgroup Characteristics</w:t>
            </w:r>
          </w:p>
        </w:tc>
        <w:tc>
          <w:tcPr>
            <w:tcW w:w="1200" w:type="dxa"/>
            <w:tcBorders>
              <w:top w:val="single" w:sz="3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8B902A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Surgery alone (n = 60)</w:t>
            </w:r>
          </w:p>
        </w:tc>
        <w:tc>
          <w:tcPr>
            <w:tcW w:w="1200" w:type="dxa"/>
            <w:tcBorders>
              <w:top w:val="single" w:sz="3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266271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TRG 1a (n = 7)</w:t>
            </w:r>
          </w:p>
        </w:tc>
        <w:tc>
          <w:tcPr>
            <w:tcW w:w="1200" w:type="dxa"/>
            <w:tcBorders>
              <w:top w:val="single" w:sz="3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9B51F6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TRG 1b (n = 11)</w:t>
            </w:r>
          </w:p>
        </w:tc>
        <w:tc>
          <w:tcPr>
            <w:tcW w:w="1200" w:type="dxa"/>
            <w:tcBorders>
              <w:top w:val="single" w:sz="3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A3F3BB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TRG 2 (n = 48)</w:t>
            </w:r>
          </w:p>
        </w:tc>
        <w:tc>
          <w:tcPr>
            <w:tcW w:w="2426" w:type="dxa"/>
            <w:tcBorders>
              <w:top w:val="single" w:sz="3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CA0A99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TRG 3 (n = 19)</w:t>
            </w:r>
          </w:p>
        </w:tc>
      </w:tr>
      <w:tr w:rsidR="00CD6B5C" w14:paraId="39723346" w14:textId="77777777" w:rsidTr="001B455A">
        <w:tc>
          <w:tcPr>
            <w:tcW w:w="18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7BA599" w14:textId="77777777" w:rsidR="00CD6B5C" w:rsidRDefault="00CD6B5C" w:rsidP="00CD6B5C">
            <w:pPr>
              <w:spacing w:line="360" w:lineRule="auto"/>
            </w:pPr>
            <w:r>
              <w:rPr>
                <w:rFonts w:ascii="Arial" w:eastAsia="Arial" w:hAnsi="Arial" w:cs="Arial"/>
                <w:sz w:val="20"/>
                <w:szCs w:val="20"/>
              </w:rPr>
              <w:t>1-Year OS, n/N (%)</w:t>
            </w:r>
          </w:p>
        </w:tc>
        <w:tc>
          <w:tcPr>
            <w:tcW w:w="1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8CA0F9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45/60 (75.0%)</w:t>
            </w:r>
          </w:p>
        </w:tc>
        <w:tc>
          <w:tcPr>
            <w:tcW w:w="1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082162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6/7 (85.7%)</w:t>
            </w:r>
          </w:p>
        </w:tc>
        <w:tc>
          <w:tcPr>
            <w:tcW w:w="1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F59DE4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6/11 (54.5%)</w:t>
            </w:r>
          </w:p>
        </w:tc>
        <w:tc>
          <w:tcPr>
            <w:tcW w:w="1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B7263F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31/48 (64.6%)</w:t>
            </w:r>
          </w:p>
        </w:tc>
        <w:tc>
          <w:tcPr>
            <w:tcW w:w="2426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430060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11/19 (57.9%)</w:t>
            </w:r>
          </w:p>
        </w:tc>
      </w:tr>
      <w:tr w:rsidR="00CD6B5C" w14:paraId="10755C7B" w14:textId="77777777" w:rsidTr="001B455A">
        <w:tc>
          <w:tcPr>
            <w:tcW w:w="18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25DA72" w14:textId="77777777" w:rsidR="00CD6B5C" w:rsidRDefault="00CD6B5C" w:rsidP="00CD6B5C">
            <w:pPr>
              <w:spacing w:line="360" w:lineRule="auto"/>
            </w:pPr>
            <w:r>
              <w:rPr>
                <w:rFonts w:ascii="Arial" w:eastAsia="Arial" w:hAnsi="Arial" w:cs="Arial"/>
                <w:sz w:val="20"/>
                <w:szCs w:val="20"/>
              </w:rPr>
              <w:t>Age, mean (years)</w:t>
            </w:r>
          </w:p>
        </w:tc>
        <w:tc>
          <w:tcPr>
            <w:tcW w:w="1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3A3555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68.0</w:t>
            </w:r>
          </w:p>
        </w:tc>
        <w:tc>
          <w:tcPr>
            <w:tcW w:w="1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1CE9B4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58.5</w:t>
            </w:r>
          </w:p>
        </w:tc>
        <w:tc>
          <w:tcPr>
            <w:tcW w:w="1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3E607A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61.2</w:t>
            </w:r>
          </w:p>
        </w:tc>
        <w:tc>
          <w:tcPr>
            <w:tcW w:w="1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080A19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62.0</w:t>
            </w:r>
          </w:p>
        </w:tc>
        <w:tc>
          <w:tcPr>
            <w:tcW w:w="2426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7862DB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62.8</w:t>
            </w:r>
          </w:p>
        </w:tc>
      </w:tr>
      <w:tr w:rsidR="00CD6B5C" w14:paraId="3471541D" w14:textId="77777777" w:rsidTr="001B455A">
        <w:tc>
          <w:tcPr>
            <w:tcW w:w="18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6983E6" w14:textId="77777777" w:rsidR="00CD6B5C" w:rsidRDefault="00CD6B5C" w:rsidP="00CD6B5C">
            <w:pPr>
              <w:spacing w:line="360" w:lineRule="auto"/>
            </w:pPr>
            <w:r>
              <w:rPr>
                <w:rFonts w:ascii="Arial" w:eastAsia="Arial" w:hAnsi="Arial" w:cs="Arial"/>
                <w:sz w:val="20"/>
                <w:szCs w:val="20"/>
              </w:rPr>
              <w:t>ASA Score, mean</w:t>
            </w:r>
          </w:p>
        </w:tc>
        <w:tc>
          <w:tcPr>
            <w:tcW w:w="1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F5BE49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2.4</w:t>
            </w:r>
          </w:p>
        </w:tc>
        <w:tc>
          <w:tcPr>
            <w:tcW w:w="1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91C50C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2.29</w:t>
            </w:r>
          </w:p>
        </w:tc>
        <w:tc>
          <w:tcPr>
            <w:tcW w:w="1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412A16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2.55</w:t>
            </w:r>
          </w:p>
        </w:tc>
        <w:tc>
          <w:tcPr>
            <w:tcW w:w="1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F867D4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2.33</w:t>
            </w:r>
          </w:p>
        </w:tc>
        <w:tc>
          <w:tcPr>
            <w:tcW w:w="2426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B4280D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2.63</w:t>
            </w:r>
          </w:p>
        </w:tc>
      </w:tr>
      <w:tr w:rsidR="00CD6B5C" w14:paraId="22A69F27" w14:textId="77777777" w:rsidTr="001B455A">
        <w:tc>
          <w:tcPr>
            <w:tcW w:w="18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B4AAC2" w14:textId="77777777" w:rsidR="00CD6B5C" w:rsidRDefault="00CD6B5C" w:rsidP="00CD6B5C">
            <w:pPr>
              <w:spacing w:line="360" w:lineRule="auto"/>
            </w:pPr>
            <w:r>
              <w:rPr>
                <w:rFonts w:ascii="Arial" w:eastAsia="Arial" w:hAnsi="Arial" w:cs="Arial"/>
                <w:sz w:val="20"/>
                <w:szCs w:val="20"/>
              </w:rPr>
              <w:t>CCI, mean</w:t>
            </w:r>
          </w:p>
        </w:tc>
        <w:tc>
          <w:tcPr>
            <w:tcW w:w="1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7C699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6.1</w:t>
            </w:r>
          </w:p>
        </w:tc>
        <w:tc>
          <w:tcPr>
            <w:tcW w:w="1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5A8145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3.71</w:t>
            </w:r>
          </w:p>
        </w:tc>
        <w:tc>
          <w:tcPr>
            <w:tcW w:w="1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1E1BEB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7.00</w:t>
            </w:r>
          </w:p>
        </w:tc>
        <w:tc>
          <w:tcPr>
            <w:tcW w:w="1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21E467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5.08</w:t>
            </w:r>
          </w:p>
        </w:tc>
        <w:tc>
          <w:tcPr>
            <w:tcW w:w="2426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44420C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4.74</w:t>
            </w:r>
          </w:p>
        </w:tc>
      </w:tr>
      <w:tr w:rsidR="00CD6B5C" w14:paraId="29E024B0" w14:textId="77777777" w:rsidTr="001B455A">
        <w:tc>
          <w:tcPr>
            <w:tcW w:w="18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345802" w14:textId="77777777" w:rsidR="00CD6B5C" w:rsidRPr="004813A3" w:rsidRDefault="00CD6B5C" w:rsidP="00CD6B5C">
            <w:pPr>
              <w:spacing w:line="360" w:lineRule="auto"/>
            </w:pPr>
            <w:r w:rsidRPr="004813A3">
              <w:rPr>
                <w:rFonts w:ascii="Arial" w:eastAsia="Arial" w:hAnsi="Arial" w:cs="Arial"/>
                <w:sz w:val="20"/>
                <w:szCs w:val="20"/>
              </w:rPr>
              <w:t>Pre-op UICC stage, mean</w:t>
            </w:r>
          </w:p>
        </w:tc>
        <w:tc>
          <w:tcPr>
            <w:tcW w:w="1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213173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1.6</w:t>
            </w:r>
          </w:p>
        </w:tc>
        <w:tc>
          <w:tcPr>
            <w:tcW w:w="1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72D1D4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1.71</w:t>
            </w:r>
          </w:p>
        </w:tc>
        <w:tc>
          <w:tcPr>
            <w:tcW w:w="1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E8B609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2.09</w:t>
            </w:r>
          </w:p>
        </w:tc>
        <w:tc>
          <w:tcPr>
            <w:tcW w:w="1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9C7992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2.21</w:t>
            </w:r>
          </w:p>
        </w:tc>
        <w:tc>
          <w:tcPr>
            <w:tcW w:w="2426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F0AB16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2.32</w:t>
            </w:r>
          </w:p>
        </w:tc>
      </w:tr>
      <w:tr w:rsidR="00CD6B5C" w14:paraId="5C0B93E3" w14:textId="77777777" w:rsidTr="001B455A">
        <w:tc>
          <w:tcPr>
            <w:tcW w:w="18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EC4889" w14:textId="77777777" w:rsidR="00CD6B5C" w:rsidRDefault="00CD6B5C" w:rsidP="00CD6B5C">
            <w:pPr>
              <w:spacing w:line="360" w:lineRule="auto"/>
            </w:pPr>
            <w:r>
              <w:rPr>
                <w:rFonts w:ascii="Arial" w:eastAsia="Arial" w:hAnsi="Arial" w:cs="Arial"/>
                <w:sz w:val="20"/>
                <w:szCs w:val="20"/>
              </w:rPr>
              <w:t>LNR, mean</w:t>
            </w:r>
          </w:p>
        </w:tc>
        <w:tc>
          <w:tcPr>
            <w:tcW w:w="1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A76606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0.10</w:t>
            </w:r>
          </w:p>
        </w:tc>
        <w:tc>
          <w:tcPr>
            <w:tcW w:w="1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0194C7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0.00</w:t>
            </w:r>
          </w:p>
        </w:tc>
        <w:tc>
          <w:tcPr>
            <w:tcW w:w="1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B54A4B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0.19</w:t>
            </w:r>
          </w:p>
        </w:tc>
        <w:tc>
          <w:tcPr>
            <w:tcW w:w="1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F006D5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0.16</w:t>
            </w:r>
          </w:p>
        </w:tc>
        <w:tc>
          <w:tcPr>
            <w:tcW w:w="2426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430B0C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0.13</w:t>
            </w:r>
          </w:p>
        </w:tc>
      </w:tr>
      <w:tr w:rsidR="00CD6B5C" w14:paraId="0B86D58D" w14:textId="77777777" w:rsidTr="001B455A">
        <w:tc>
          <w:tcPr>
            <w:tcW w:w="18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356513" w14:textId="77777777" w:rsidR="00CD6B5C" w:rsidRDefault="00CD6B5C" w:rsidP="00CD6B5C">
            <w:pPr>
              <w:spacing w:line="360" w:lineRule="auto"/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R1 Resection, n/N (%)</w:t>
            </w:r>
          </w:p>
        </w:tc>
        <w:tc>
          <w:tcPr>
            <w:tcW w:w="1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735C2C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0/60 (0.0%)</w:t>
            </w:r>
          </w:p>
        </w:tc>
        <w:tc>
          <w:tcPr>
            <w:tcW w:w="1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A3EEC2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0/7 (0.0%)</w:t>
            </w:r>
          </w:p>
        </w:tc>
        <w:tc>
          <w:tcPr>
            <w:tcW w:w="1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0B5C2D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2/11 (18.2%)</w:t>
            </w:r>
          </w:p>
        </w:tc>
        <w:tc>
          <w:tcPr>
            <w:tcW w:w="120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DBD9B5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3/48 (6.2%)</w:t>
            </w:r>
          </w:p>
        </w:tc>
        <w:tc>
          <w:tcPr>
            <w:tcW w:w="2426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3BA070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1/19 (5.3%)</w:t>
            </w:r>
          </w:p>
        </w:tc>
      </w:tr>
      <w:tr w:rsidR="00CD6B5C" w14:paraId="100F5CDE" w14:textId="77777777" w:rsidTr="001B455A">
        <w:tc>
          <w:tcPr>
            <w:tcW w:w="1800" w:type="dxa"/>
            <w:tcBorders>
              <w:top w:val="single" w:sz="1" w:space="0" w:color="000000"/>
              <w:left w:val="none" w:sz="0" w:space="0" w:color="FFFFFF"/>
              <w:bottom w:val="single" w:sz="3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BB49EE" w14:textId="77777777" w:rsidR="00CD6B5C" w:rsidRDefault="00CD6B5C" w:rsidP="00CD6B5C">
            <w:pPr>
              <w:spacing w:line="360" w:lineRule="auto"/>
            </w:pPr>
            <w:r>
              <w:rPr>
                <w:rFonts w:ascii="Arial" w:eastAsia="Arial" w:hAnsi="Arial" w:cs="Arial"/>
                <w:sz w:val="20"/>
                <w:szCs w:val="20"/>
              </w:rPr>
              <w:t>CD ≥ III, n/N (%)</w:t>
            </w:r>
          </w:p>
        </w:tc>
        <w:tc>
          <w:tcPr>
            <w:tcW w:w="1200" w:type="dxa"/>
            <w:tcBorders>
              <w:top w:val="single" w:sz="1" w:space="0" w:color="000000"/>
              <w:left w:val="none" w:sz="0" w:space="0" w:color="FFFFFF"/>
              <w:bottom w:val="single" w:sz="3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1002C9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34/60 (56.7%)</w:t>
            </w:r>
          </w:p>
        </w:tc>
        <w:tc>
          <w:tcPr>
            <w:tcW w:w="1200" w:type="dxa"/>
            <w:tcBorders>
              <w:top w:val="single" w:sz="1" w:space="0" w:color="000000"/>
              <w:left w:val="none" w:sz="0" w:space="0" w:color="FFFFFF"/>
              <w:bottom w:val="single" w:sz="3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478BE5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4/7 (57.1%)</w:t>
            </w:r>
          </w:p>
        </w:tc>
        <w:tc>
          <w:tcPr>
            <w:tcW w:w="1200" w:type="dxa"/>
            <w:tcBorders>
              <w:top w:val="single" w:sz="1" w:space="0" w:color="000000"/>
              <w:left w:val="none" w:sz="0" w:space="0" w:color="FFFFFF"/>
              <w:bottom w:val="single" w:sz="3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CEB6D8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4/11 (36.4%)</w:t>
            </w:r>
          </w:p>
        </w:tc>
        <w:tc>
          <w:tcPr>
            <w:tcW w:w="1200" w:type="dxa"/>
            <w:tcBorders>
              <w:top w:val="single" w:sz="1" w:space="0" w:color="000000"/>
              <w:left w:val="none" w:sz="0" w:space="0" w:color="FFFFFF"/>
              <w:bottom w:val="single" w:sz="3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496778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30/48 (62.5%)</w:t>
            </w:r>
          </w:p>
        </w:tc>
        <w:tc>
          <w:tcPr>
            <w:tcW w:w="2426" w:type="dxa"/>
            <w:tcBorders>
              <w:top w:val="single" w:sz="1" w:space="0" w:color="000000"/>
              <w:left w:val="none" w:sz="0" w:space="0" w:color="FFFFFF"/>
              <w:bottom w:val="single" w:sz="3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1328C2" w14:textId="77777777" w:rsidR="00CD6B5C" w:rsidRDefault="00CD6B5C" w:rsidP="00CD6B5C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sz w:val="20"/>
                <w:szCs w:val="20"/>
              </w:rPr>
              <w:t>9/19 (47.4%)</w:t>
            </w:r>
          </w:p>
        </w:tc>
      </w:tr>
    </w:tbl>
    <w:p w14:paraId="386A6194" w14:textId="77777777" w:rsidR="00CD6B5C" w:rsidRPr="004813A3" w:rsidRDefault="00CD6B5C" w:rsidP="00CD6B5C">
      <w:pPr>
        <w:spacing w:before="60" w:after="20" w:line="360" w:lineRule="auto"/>
      </w:pPr>
      <w:r w:rsidRPr="004813A3">
        <w:rPr>
          <w:rFonts w:ascii="Arial" w:eastAsia="Arial" w:hAnsi="Arial" w:cs="Arial"/>
          <w:i/>
          <w:iCs/>
          <w:sz w:val="18"/>
          <w:szCs w:val="18"/>
        </w:rPr>
        <w:t>TRG according to Becker classification. Surgery alone group included as comparator (no neoadjuvant therapy received).</w:t>
      </w:r>
    </w:p>
    <w:p w14:paraId="642E35B1" w14:textId="77777777" w:rsidR="00CD6B5C" w:rsidRPr="004813A3" w:rsidRDefault="00CD6B5C" w:rsidP="00CD6B5C">
      <w:pPr>
        <w:spacing w:before="60" w:after="20" w:line="360" w:lineRule="auto"/>
      </w:pPr>
      <w:r w:rsidRPr="004813A3">
        <w:rPr>
          <w:rFonts w:ascii="Arial" w:eastAsia="Arial" w:hAnsi="Arial" w:cs="Arial"/>
          <w:i/>
          <w:iCs/>
          <w:sz w:val="18"/>
          <w:szCs w:val="18"/>
        </w:rPr>
        <w:t xml:space="preserve">Abbreviations: OS, overall survival; ASA, American Society of Anesthesiologists; CCI, Charlson Comorbidity Index; UICC, Union for International Cancer Control; LNR, lymph node ratio; CD, </w:t>
      </w:r>
      <w:proofErr w:type="spellStart"/>
      <w:r w:rsidRPr="004813A3">
        <w:rPr>
          <w:rFonts w:ascii="Arial" w:eastAsia="Arial" w:hAnsi="Arial" w:cs="Arial"/>
          <w:i/>
          <w:iCs/>
          <w:sz w:val="18"/>
          <w:szCs w:val="18"/>
        </w:rPr>
        <w:t>Clavien</w:t>
      </w:r>
      <w:proofErr w:type="spellEnd"/>
      <w:r w:rsidRPr="004813A3">
        <w:rPr>
          <w:rFonts w:ascii="Arial" w:eastAsia="Arial" w:hAnsi="Arial" w:cs="Arial"/>
          <w:i/>
          <w:iCs/>
          <w:sz w:val="18"/>
          <w:szCs w:val="18"/>
        </w:rPr>
        <w:t>-Dindo classification.</w:t>
      </w:r>
    </w:p>
    <w:p w14:paraId="21392F0E" w14:textId="77777777" w:rsidR="00BB34A7" w:rsidRDefault="00BB34A7" w:rsidP="00CD6B5C">
      <w:pPr>
        <w:spacing w:line="360" w:lineRule="auto"/>
        <w:rPr>
          <w:rFonts w:asciiTheme="minorBidi" w:hAnsiTheme="minorBidi"/>
        </w:rPr>
      </w:pPr>
    </w:p>
    <w:p w14:paraId="08371E30" w14:textId="77777777" w:rsidR="00A136BB" w:rsidRDefault="00A136BB" w:rsidP="00A11B9F">
      <w:pPr>
        <w:spacing w:line="360" w:lineRule="auto"/>
        <w:rPr>
          <w:rFonts w:asciiTheme="minorBidi" w:hAnsiTheme="minorBidi"/>
          <w:b/>
          <w:bCs/>
        </w:rPr>
      </w:pPr>
    </w:p>
    <w:p w14:paraId="6129B084" w14:textId="77777777" w:rsidR="00A136BB" w:rsidRDefault="00A136BB" w:rsidP="00A11B9F">
      <w:pPr>
        <w:spacing w:line="360" w:lineRule="auto"/>
        <w:rPr>
          <w:rFonts w:asciiTheme="minorBidi" w:hAnsiTheme="minorBidi"/>
          <w:b/>
          <w:bCs/>
        </w:rPr>
      </w:pPr>
    </w:p>
    <w:p w14:paraId="2FB37D9E" w14:textId="77777777" w:rsidR="00A136BB" w:rsidRDefault="00A136BB" w:rsidP="00A11B9F">
      <w:pPr>
        <w:spacing w:line="360" w:lineRule="auto"/>
        <w:rPr>
          <w:rFonts w:asciiTheme="minorBidi" w:hAnsiTheme="minorBidi"/>
          <w:b/>
          <w:bCs/>
        </w:rPr>
      </w:pPr>
    </w:p>
    <w:p w14:paraId="19E3B0A4" w14:textId="77777777" w:rsidR="00A136BB" w:rsidRDefault="00A136BB" w:rsidP="00A11B9F">
      <w:pPr>
        <w:spacing w:line="360" w:lineRule="auto"/>
        <w:rPr>
          <w:rFonts w:asciiTheme="minorBidi" w:hAnsiTheme="minorBidi"/>
          <w:b/>
          <w:bCs/>
        </w:rPr>
      </w:pPr>
    </w:p>
    <w:p w14:paraId="3FFAE1AD" w14:textId="77777777" w:rsidR="00A136BB" w:rsidRDefault="00A136BB" w:rsidP="00A11B9F">
      <w:pPr>
        <w:spacing w:line="360" w:lineRule="auto"/>
        <w:rPr>
          <w:rFonts w:asciiTheme="minorBidi" w:hAnsiTheme="minorBidi"/>
          <w:b/>
          <w:bCs/>
        </w:rPr>
      </w:pPr>
    </w:p>
    <w:p w14:paraId="0CD2A773" w14:textId="77777777" w:rsidR="00A136BB" w:rsidRDefault="00A136BB" w:rsidP="00A11B9F">
      <w:pPr>
        <w:spacing w:line="360" w:lineRule="auto"/>
        <w:rPr>
          <w:rFonts w:asciiTheme="minorBidi" w:hAnsiTheme="minorBidi"/>
          <w:b/>
          <w:bCs/>
        </w:rPr>
      </w:pPr>
    </w:p>
    <w:p w14:paraId="16401FDE" w14:textId="77777777" w:rsidR="00A136BB" w:rsidRDefault="00A136BB" w:rsidP="00A11B9F">
      <w:pPr>
        <w:spacing w:line="360" w:lineRule="auto"/>
        <w:rPr>
          <w:rFonts w:asciiTheme="minorBidi" w:hAnsiTheme="minorBidi"/>
          <w:b/>
          <w:bCs/>
        </w:rPr>
      </w:pPr>
    </w:p>
    <w:p w14:paraId="3CB3791A" w14:textId="77777777" w:rsidR="00A136BB" w:rsidRDefault="00A136BB" w:rsidP="00A11B9F">
      <w:pPr>
        <w:spacing w:line="360" w:lineRule="auto"/>
        <w:rPr>
          <w:rFonts w:asciiTheme="minorBidi" w:hAnsiTheme="minorBidi"/>
          <w:b/>
          <w:bCs/>
        </w:rPr>
      </w:pPr>
    </w:p>
    <w:p w14:paraId="5A9B5F26" w14:textId="77777777" w:rsidR="00A136BB" w:rsidRDefault="00A136BB" w:rsidP="00A11B9F">
      <w:pPr>
        <w:spacing w:line="360" w:lineRule="auto"/>
        <w:rPr>
          <w:rFonts w:asciiTheme="minorBidi" w:hAnsiTheme="minorBidi"/>
          <w:b/>
          <w:bCs/>
        </w:rPr>
      </w:pPr>
    </w:p>
    <w:p w14:paraId="6FC951E4" w14:textId="77777777" w:rsidR="00A136BB" w:rsidRDefault="00A136BB" w:rsidP="00A11B9F">
      <w:pPr>
        <w:spacing w:line="360" w:lineRule="auto"/>
        <w:rPr>
          <w:rFonts w:asciiTheme="minorBidi" w:hAnsiTheme="minorBidi"/>
          <w:b/>
          <w:bCs/>
        </w:rPr>
      </w:pPr>
    </w:p>
    <w:p w14:paraId="4CB307CB" w14:textId="77777777" w:rsidR="00A136BB" w:rsidRDefault="00A136BB" w:rsidP="00A11B9F">
      <w:pPr>
        <w:spacing w:line="360" w:lineRule="auto"/>
        <w:rPr>
          <w:rFonts w:asciiTheme="minorBidi" w:hAnsiTheme="minorBidi"/>
          <w:b/>
          <w:bCs/>
        </w:rPr>
      </w:pPr>
    </w:p>
    <w:p w14:paraId="0489F405" w14:textId="77777777" w:rsidR="00A136BB" w:rsidRDefault="00A136BB" w:rsidP="00A11B9F">
      <w:pPr>
        <w:spacing w:line="360" w:lineRule="auto"/>
        <w:rPr>
          <w:rFonts w:asciiTheme="minorBidi" w:hAnsiTheme="minorBidi"/>
          <w:b/>
          <w:bCs/>
        </w:rPr>
      </w:pPr>
    </w:p>
    <w:p w14:paraId="64C63B4D" w14:textId="77777777" w:rsidR="00A136BB" w:rsidRDefault="00A136BB" w:rsidP="00A11B9F">
      <w:pPr>
        <w:spacing w:line="360" w:lineRule="auto"/>
        <w:rPr>
          <w:rFonts w:asciiTheme="minorBidi" w:hAnsiTheme="minorBidi"/>
          <w:b/>
          <w:bCs/>
        </w:rPr>
      </w:pPr>
    </w:p>
    <w:p w14:paraId="14CFAEFB" w14:textId="77777777" w:rsidR="00A136BB" w:rsidRDefault="00A136BB" w:rsidP="00A11B9F">
      <w:pPr>
        <w:spacing w:line="360" w:lineRule="auto"/>
        <w:rPr>
          <w:rFonts w:asciiTheme="minorBidi" w:hAnsiTheme="minorBidi"/>
          <w:b/>
          <w:bCs/>
        </w:rPr>
      </w:pPr>
    </w:p>
    <w:p w14:paraId="725121DD" w14:textId="77777777" w:rsidR="00A136BB" w:rsidRDefault="00A136BB" w:rsidP="00A11B9F">
      <w:pPr>
        <w:spacing w:line="360" w:lineRule="auto"/>
        <w:rPr>
          <w:rFonts w:asciiTheme="minorBidi" w:hAnsiTheme="minorBidi"/>
          <w:b/>
          <w:bCs/>
        </w:rPr>
      </w:pPr>
    </w:p>
    <w:p w14:paraId="17AF6FD1" w14:textId="77777777" w:rsidR="00A136BB" w:rsidRDefault="00A136BB" w:rsidP="00A11B9F">
      <w:pPr>
        <w:spacing w:line="360" w:lineRule="auto"/>
        <w:rPr>
          <w:rFonts w:asciiTheme="minorBidi" w:hAnsiTheme="minorBidi"/>
          <w:b/>
          <w:bCs/>
        </w:rPr>
      </w:pPr>
    </w:p>
    <w:p w14:paraId="7466381C" w14:textId="77777777" w:rsidR="00A136BB" w:rsidRDefault="00A136BB" w:rsidP="00A11B9F">
      <w:pPr>
        <w:spacing w:line="360" w:lineRule="auto"/>
        <w:rPr>
          <w:rFonts w:asciiTheme="minorBidi" w:hAnsiTheme="minorBidi"/>
          <w:b/>
          <w:bCs/>
        </w:rPr>
      </w:pPr>
    </w:p>
    <w:p w14:paraId="1F0D5152" w14:textId="77777777" w:rsidR="00A136BB" w:rsidRDefault="00A136BB" w:rsidP="00A11B9F">
      <w:pPr>
        <w:spacing w:line="360" w:lineRule="auto"/>
        <w:rPr>
          <w:rFonts w:asciiTheme="minorBidi" w:hAnsiTheme="minorBidi"/>
          <w:b/>
          <w:bCs/>
        </w:rPr>
      </w:pPr>
    </w:p>
    <w:p w14:paraId="2856C1B1" w14:textId="77777777" w:rsidR="00A136BB" w:rsidRDefault="00A136BB" w:rsidP="00A136BB">
      <w:pPr>
        <w:spacing w:line="360" w:lineRule="auto"/>
        <w:rPr>
          <w:rFonts w:asciiTheme="minorBidi" w:hAnsiTheme="minorBidi"/>
          <w:b/>
          <w:bCs/>
        </w:rPr>
      </w:pPr>
      <w:r w:rsidRPr="00A136BB">
        <w:rPr>
          <w:rFonts w:asciiTheme="minorBidi" w:hAnsiTheme="minorBidi"/>
          <w:b/>
          <w:bCs/>
        </w:rPr>
        <w:t>Supplementary Figure 1: Kaplan-Meier survival curves for the 60-day landmark cohort by treatment strategy (N = 137). Patients who died within 60 days of surgery were excluded to mitigate immortal time bias. Global log-rank p &lt; 0.001.</w:t>
      </w:r>
    </w:p>
    <w:p w14:paraId="4F451580" w14:textId="77777777" w:rsidR="00A136BB" w:rsidRDefault="00A136BB" w:rsidP="00A11B9F">
      <w:pPr>
        <w:spacing w:line="360" w:lineRule="auto"/>
        <w:rPr>
          <w:rFonts w:asciiTheme="minorBidi" w:hAnsiTheme="minorBidi"/>
          <w:b/>
          <w:bCs/>
        </w:rPr>
      </w:pPr>
    </w:p>
    <w:p w14:paraId="6C663C67" w14:textId="7F3CCB87" w:rsidR="00A136BB" w:rsidRPr="00A136BB" w:rsidRDefault="00A136BB" w:rsidP="00A11B9F">
      <w:pPr>
        <w:spacing w:line="360" w:lineRule="auto"/>
        <w:rPr>
          <w:rFonts w:asciiTheme="minorBidi" w:hAnsiTheme="minorBidi"/>
          <w:b/>
          <w:bCs/>
        </w:rPr>
      </w:pPr>
      <w:r>
        <w:rPr>
          <w:noProof/>
        </w:rPr>
        <w:drawing>
          <wp:inline distT="0" distB="0" distL="0" distR="0" wp14:anchorId="3CEF65C4" wp14:editId="07322BA7">
            <wp:extent cx="5760720" cy="5878195"/>
            <wp:effectExtent l="0" t="0" r="0" b="8255"/>
            <wp:docPr id="127807086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87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136BB" w:rsidRPr="00A136B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E09"/>
    <w:rsid w:val="000865EA"/>
    <w:rsid w:val="000C5006"/>
    <w:rsid w:val="000D6B8D"/>
    <w:rsid w:val="00195BF6"/>
    <w:rsid w:val="001A7EA6"/>
    <w:rsid w:val="00256AB9"/>
    <w:rsid w:val="002B36EB"/>
    <w:rsid w:val="002D1581"/>
    <w:rsid w:val="00304C26"/>
    <w:rsid w:val="00310E09"/>
    <w:rsid w:val="003822D3"/>
    <w:rsid w:val="004740CC"/>
    <w:rsid w:val="005D36FA"/>
    <w:rsid w:val="00731B92"/>
    <w:rsid w:val="00804AA5"/>
    <w:rsid w:val="008445A9"/>
    <w:rsid w:val="009B003F"/>
    <w:rsid w:val="00A11B9F"/>
    <w:rsid w:val="00A136BB"/>
    <w:rsid w:val="00B8197F"/>
    <w:rsid w:val="00BB34A7"/>
    <w:rsid w:val="00C76A3E"/>
    <w:rsid w:val="00CD6B5C"/>
    <w:rsid w:val="00E70588"/>
    <w:rsid w:val="00ED48F1"/>
    <w:rsid w:val="00FB2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A36DD"/>
  <w15:chartTrackingRefBased/>
  <w15:docId w15:val="{5E5332E4-8DAE-473A-B20A-105572B90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10E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10E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10E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10E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10E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10E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10E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10E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10E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10E0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10E0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10E09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10E09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10E09"/>
    <w:rPr>
      <w:rFonts w:eastAsiaTheme="majorEastAsia" w:cstheme="majorBidi"/>
      <w:color w:val="0F4761" w:themeColor="accent1" w:themeShade="BF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10E09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10E09"/>
    <w:rPr>
      <w:rFonts w:eastAsiaTheme="majorEastAsia" w:cstheme="majorBidi"/>
      <w:color w:val="595959" w:themeColor="text1" w:themeTint="A6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10E09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10E09"/>
    <w:rPr>
      <w:rFonts w:eastAsiaTheme="majorEastAsia" w:cstheme="majorBidi"/>
      <w:color w:val="272727" w:themeColor="text1" w:themeTint="D8"/>
      <w:lang w:val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310E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10E0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10E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10E09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310E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10E09"/>
    <w:rPr>
      <w:i/>
      <w:iCs/>
      <w:color w:val="404040" w:themeColor="text1" w:themeTint="BF"/>
      <w:lang w:val="en-US"/>
    </w:rPr>
  </w:style>
  <w:style w:type="paragraph" w:styleId="Listenabsatz">
    <w:name w:val="List Paragraph"/>
    <w:basedOn w:val="Standard"/>
    <w:uiPriority w:val="34"/>
    <w:qFormat/>
    <w:rsid w:val="00310E0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10E0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10E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10E09"/>
    <w:rPr>
      <w:i/>
      <w:iCs/>
      <w:color w:val="0F4761" w:themeColor="accent1" w:themeShade="BF"/>
      <w:lang w:val="en-US"/>
    </w:rPr>
  </w:style>
  <w:style w:type="character" w:styleId="IntensiverVerweis">
    <w:name w:val="Intense Reference"/>
    <w:basedOn w:val="Absatz-Standardschriftart"/>
    <w:uiPriority w:val="32"/>
    <w:qFormat/>
    <w:rsid w:val="00310E09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FB2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413</Words>
  <Characters>2607</Characters>
  <Application>Microsoft Office Word</Application>
  <DocSecurity>0</DocSecurity>
  <Lines>21</Lines>
  <Paragraphs>6</Paragraphs>
  <ScaleCrop>false</ScaleCrop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Mazen Aldarwish</dc:creator>
  <cp:keywords/>
  <dc:description/>
  <cp:lastModifiedBy>Mazen Aldarwish</cp:lastModifiedBy>
  <cp:revision>15</cp:revision>
  <dcterms:created xsi:type="dcterms:W3CDTF">2026-03-08T20:05:00Z</dcterms:created>
  <dcterms:modified xsi:type="dcterms:W3CDTF">2026-03-14T12:24:00Z</dcterms:modified>
</cp:coreProperties>
</file>