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EB3B7" w14:textId="3829DBE3" w:rsidR="00D100EE" w:rsidRPr="005A4A74" w:rsidRDefault="005A4A74">
      <w:pPr>
        <w:rPr>
          <w:rFonts w:ascii="Times New Roman" w:hAnsi="Times New Roman" w:cs="Times New Roman"/>
          <w:b/>
          <w:bCs/>
        </w:rPr>
      </w:pPr>
      <w:r w:rsidRPr="005A4A74">
        <w:rPr>
          <w:rFonts w:ascii="Times New Roman" w:hAnsi="Times New Roman" w:cs="Times New Roman"/>
          <w:b/>
          <w:bCs/>
        </w:rPr>
        <w:t>Supplementary Table 1. Database search strategy and search yield</w:t>
      </w:r>
    </w:p>
    <w:tbl>
      <w:tblPr>
        <w:tblStyle w:val="TableGrid"/>
        <w:tblW w:w="0" w:type="auto"/>
        <w:tblLook w:val="04A0" w:firstRow="1" w:lastRow="0" w:firstColumn="1" w:lastColumn="0" w:noHBand="0" w:noVBand="1"/>
      </w:tblPr>
      <w:tblGrid>
        <w:gridCol w:w="1961"/>
        <w:gridCol w:w="6214"/>
        <w:gridCol w:w="1175"/>
      </w:tblGrid>
      <w:tr w:rsidR="005A4A74" w:rsidRPr="005A4A74" w14:paraId="653DE7D4" w14:textId="77777777" w:rsidTr="005A4A74">
        <w:tc>
          <w:tcPr>
            <w:tcW w:w="0" w:type="auto"/>
            <w:hideMark/>
          </w:tcPr>
          <w:p w14:paraId="774ACA55" w14:textId="77777777" w:rsidR="005A4A74" w:rsidRPr="005A4A74" w:rsidRDefault="005A4A74" w:rsidP="005A4A74">
            <w:pPr>
              <w:spacing w:after="160" w:line="278" w:lineRule="auto"/>
              <w:jc w:val="center"/>
              <w:rPr>
                <w:rFonts w:ascii="Times New Roman" w:hAnsi="Times New Roman" w:cs="Times New Roman"/>
                <w:b/>
                <w:bCs/>
                <w:sz w:val="20"/>
                <w:szCs w:val="20"/>
              </w:rPr>
            </w:pPr>
            <w:r w:rsidRPr="005A4A74">
              <w:rPr>
                <w:rFonts w:ascii="Times New Roman" w:hAnsi="Times New Roman" w:cs="Times New Roman"/>
                <w:b/>
                <w:bCs/>
                <w:sz w:val="20"/>
                <w:szCs w:val="20"/>
              </w:rPr>
              <w:t>Databases searched</w:t>
            </w:r>
          </w:p>
        </w:tc>
        <w:tc>
          <w:tcPr>
            <w:tcW w:w="0" w:type="auto"/>
            <w:hideMark/>
          </w:tcPr>
          <w:p w14:paraId="0B412587" w14:textId="77777777" w:rsidR="005A4A74" w:rsidRPr="005A4A74" w:rsidRDefault="005A4A74" w:rsidP="005A4A74">
            <w:pPr>
              <w:spacing w:after="160" w:line="278" w:lineRule="auto"/>
              <w:jc w:val="center"/>
              <w:rPr>
                <w:rFonts w:ascii="Times New Roman" w:hAnsi="Times New Roman" w:cs="Times New Roman"/>
                <w:b/>
                <w:bCs/>
                <w:sz w:val="20"/>
                <w:szCs w:val="20"/>
              </w:rPr>
            </w:pPr>
            <w:r w:rsidRPr="005A4A74">
              <w:rPr>
                <w:rFonts w:ascii="Times New Roman" w:hAnsi="Times New Roman" w:cs="Times New Roman"/>
                <w:b/>
                <w:bCs/>
                <w:sz w:val="20"/>
                <w:szCs w:val="20"/>
              </w:rPr>
              <w:t>Search strings used</w:t>
            </w:r>
          </w:p>
        </w:tc>
        <w:tc>
          <w:tcPr>
            <w:tcW w:w="0" w:type="auto"/>
            <w:hideMark/>
          </w:tcPr>
          <w:p w14:paraId="5D496F41" w14:textId="77777777" w:rsidR="005A4A74" w:rsidRPr="005A4A74" w:rsidRDefault="005A4A74" w:rsidP="005A4A74">
            <w:pPr>
              <w:spacing w:after="160" w:line="278" w:lineRule="auto"/>
              <w:jc w:val="center"/>
              <w:rPr>
                <w:rFonts w:ascii="Times New Roman" w:hAnsi="Times New Roman" w:cs="Times New Roman"/>
                <w:b/>
                <w:bCs/>
                <w:sz w:val="20"/>
                <w:szCs w:val="20"/>
              </w:rPr>
            </w:pPr>
            <w:r w:rsidRPr="005A4A74">
              <w:rPr>
                <w:rFonts w:ascii="Times New Roman" w:hAnsi="Times New Roman" w:cs="Times New Roman"/>
                <w:b/>
                <w:bCs/>
                <w:sz w:val="20"/>
                <w:szCs w:val="20"/>
              </w:rPr>
              <w:t>Results returned, n</w:t>
            </w:r>
          </w:p>
        </w:tc>
      </w:tr>
      <w:tr w:rsidR="005A4A74" w:rsidRPr="005A4A74" w14:paraId="31B7F17D" w14:textId="77777777" w:rsidTr="005A4A74">
        <w:tc>
          <w:tcPr>
            <w:tcW w:w="0" w:type="auto"/>
            <w:hideMark/>
          </w:tcPr>
          <w:p w14:paraId="12F39A58" w14:textId="77777777" w:rsidR="005A4A74" w:rsidRPr="005A4A74" w:rsidRDefault="005A4A74" w:rsidP="005A4A74">
            <w:pPr>
              <w:spacing w:after="160" w:line="278" w:lineRule="auto"/>
              <w:jc w:val="center"/>
              <w:rPr>
                <w:rFonts w:ascii="Times New Roman" w:hAnsi="Times New Roman" w:cs="Times New Roman"/>
                <w:sz w:val="20"/>
                <w:szCs w:val="20"/>
              </w:rPr>
            </w:pPr>
            <w:r w:rsidRPr="005A4A74">
              <w:rPr>
                <w:rFonts w:ascii="Times New Roman" w:hAnsi="Times New Roman" w:cs="Times New Roman"/>
                <w:b/>
                <w:bCs/>
                <w:sz w:val="20"/>
                <w:szCs w:val="20"/>
              </w:rPr>
              <w:t>PubMed/MEDLINE</w:t>
            </w:r>
          </w:p>
        </w:tc>
        <w:tc>
          <w:tcPr>
            <w:tcW w:w="0" w:type="auto"/>
            <w:hideMark/>
          </w:tcPr>
          <w:p w14:paraId="2674CBC8" w14:textId="77777777" w:rsidR="005A4A74" w:rsidRPr="005A4A74" w:rsidRDefault="005A4A74" w:rsidP="005A4A74">
            <w:pPr>
              <w:spacing w:after="160" w:line="278" w:lineRule="auto"/>
              <w:jc w:val="center"/>
              <w:rPr>
                <w:rFonts w:ascii="Times New Roman" w:hAnsi="Times New Roman" w:cs="Times New Roman"/>
                <w:sz w:val="20"/>
                <w:szCs w:val="20"/>
              </w:rPr>
            </w:pPr>
            <w:r w:rsidRPr="005A4A74">
              <w:rPr>
                <w:rFonts w:ascii="Times New Roman" w:hAnsi="Times New Roman" w:cs="Times New Roman"/>
                <w:sz w:val="20"/>
                <w:szCs w:val="20"/>
              </w:rPr>
              <w:t>(“distal ureterectomy” OR “segmental ureterectomy” OR “ureteral reimplantation”) AND (“radical nephroureterectomy” OR “nephroureterectomy”) AND (“distal ureter” OR “distal ureteral”) AND (“upper tract urothelial carcinoma” OR “urothelial carcinoma” OR “transitional cell carcinoma”)</w:t>
            </w:r>
          </w:p>
        </w:tc>
        <w:tc>
          <w:tcPr>
            <w:tcW w:w="0" w:type="auto"/>
            <w:hideMark/>
          </w:tcPr>
          <w:p w14:paraId="69BA78C4" w14:textId="77777777" w:rsidR="005A4A74" w:rsidRPr="005A4A74" w:rsidRDefault="005A4A74" w:rsidP="005A4A74">
            <w:pPr>
              <w:spacing w:after="160" w:line="278" w:lineRule="auto"/>
              <w:jc w:val="center"/>
              <w:rPr>
                <w:rFonts w:ascii="Times New Roman" w:hAnsi="Times New Roman" w:cs="Times New Roman"/>
                <w:sz w:val="20"/>
                <w:szCs w:val="20"/>
              </w:rPr>
            </w:pPr>
            <w:r w:rsidRPr="005A4A74">
              <w:rPr>
                <w:rFonts w:ascii="Times New Roman" w:hAnsi="Times New Roman" w:cs="Times New Roman"/>
                <w:sz w:val="20"/>
                <w:szCs w:val="20"/>
              </w:rPr>
              <w:t>33</w:t>
            </w:r>
          </w:p>
        </w:tc>
      </w:tr>
      <w:tr w:rsidR="005A4A74" w:rsidRPr="005A4A74" w14:paraId="11736C33" w14:textId="77777777" w:rsidTr="005A4A74">
        <w:tc>
          <w:tcPr>
            <w:tcW w:w="0" w:type="auto"/>
            <w:hideMark/>
          </w:tcPr>
          <w:p w14:paraId="78B80CAB" w14:textId="77777777" w:rsidR="005A4A74" w:rsidRPr="005A4A74" w:rsidRDefault="005A4A74" w:rsidP="005A4A74">
            <w:pPr>
              <w:spacing w:after="160" w:line="278" w:lineRule="auto"/>
              <w:jc w:val="center"/>
              <w:rPr>
                <w:rFonts w:ascii="Times New Roman" w:hAnsi="Times New Roman" w:cs="Times New Roman"/>
                <w:sz w:val="20"/>
                <w:szCs w:val="20"/>
              </w:rPr>
            </w:pPr>
            <w:r w:rsidRPr="005A4A74">
              <w:rPr>
                <w:rFonts w:ascii="Times New Roman" w:hAnsi="Times New Roman" w:cs="Times New Roman"/>
                <w:b/>
                <w:bCs/>
                <w:sz w:val="20"/>
                <w:szCs w:val="20"/>
              </w:rPr>
              <w:t>Embase</w:t>
            </w:r>
          </w:p>
        </w:tc>
        <w:tc>
          <w:tcPr>
            <w:tcW w:w="0" w:type="auto"/>
            <w:hideMark/>
          </w:tcPr>
          <w:p w14:paraId="47CAE82B" w14:textId="77777777" w:rsidR="005A4A74" w:rsidRPr="005A4A74" w:rsidRDefault="005A4A74" w:rsidP="005A4A74">
            <w:pPr>
              <w:spacing w:after="160" w:line="278" w:lineRule="auto"/>
              <w:jc w:val="center"/>
              <w:rPr>
                <w:rFonts w:ascii="Times New Roman" w:hAnsi="Times New Roman" w:cs="Times New Roman"/>
                <w:sz w:val="20"/>
                <w:szCs w:val="20"/>
              </w:rPr>
            </w:pPr>
            <w:r w:rsidRPr="005A4A74">
              <w:rPr>
                <w:rFonts w:ascii="Times New Roman" w:hAnsi="Times New Roman" w:cs="Times New Roman"/>
                <w:sz w:val="20"/>
                <w:szCs w:val="20"/>
              </w:rPr>
              <w:t>(‘distal ureterectomy’ OR ‘segmental ureterectomy’ OR ‘ureteral reimplantation’) AND (‘radical nephroureterectomy’ OR ‘nephroureterectomy’) AND (‘distal ureter’) AND (‘upper tract urothelial carcinoma’ OR ‘urothelial carcinoma’)</w:t>
            </w:r>
          </w:p>
        </w:tc>
        <w:tc>
          <w:tcPr>
            <w:tcW w:w="0" w:type="auto"/>
            <w:hideMark/>
          </w:tcPr>
          <w:p w14:paraId="4E3990C3" w14:textId="77777777" w:rsidR="005A4A74" w:rsidRPr="005A4A74" w:rsidRDefault="005A4A74" w:rsidP="005A4A74">
            <w:pPr>
              <w:spacing w:after="160" w:line="278" w:lineRule="auto"/>
              <w:jc w:val="center"/>
              <w:rPr>
                <w:rFonts w:ascii="Times New Roman" w:hAnsi="Times New Roman" w:cs="Times New Roman"/>
                <w:sz w:val="20"/>
                <w:szCs w:val="20"/>
              </w:rPr>
            </w:pPr>
            <w:r w:rsidRPr="005A4A74">
              <w:rPr>
                <w:rFonts w:ascii="Times New Roman" w:hAnsi="Times New Roman" w:cs="Times New Roman"/>
                <w:sz w:val="20"/>
                <w:szCs w:val="20"/>
              </w:rPr>
              <w:t>61</w:t>
            </w:r>
          </w:p>
        </w:tc>
      </w:tr>
      <w:tr w:rsidR="005A4A74" w:rsidRPr="005A4A74" w14:paraId="12C6B8B1" w14:textId="77777777" w:rsidTr="005A4A74">
        <w:tc>
          <w:tcPr>
            <w:tcW w:w="0" w:type="auto"/>
            <w:hideMark/>
          </w:tcPr>
          <w:p w14:paraId="140A8E76" w14:textId="77777777" w:rsidR="005A4A74" w:rsidRPr="005A4A74" w:rsidRDefault="005A4A74" w:rsidP="005A4A74">
            <w:pPr>
              <w:spacing w:after="160" w:line="278" w:lineRule="auto"/>
              <w:jc w:val="center"/>
              <w:rPr>
                <w:rFonts w:ascii="Times New Roman" w:hAnsi="Times New Roman" w:cs="Times New Roman"/>
                <w:sz w:val="20"/>
                <w:szCs w:val="20"/>
              </w:rPr>
            </w:pPr>
            <w:r w:rsidRPr="005A4A74">
              <w:rPr>
                <w:rFonts w:ascii="Times New Roman" w:hAnsi="Times New Roman" w:cs="Times New Roman"/>
                <w:b/>
                <w:bCs/>
                <w:sz w:val="20"/>
                <w:szCs w:val="20"/>
              </w:rPr>
              <w:t>Scopus</w:t>
            </w:r>
          </w:p>
        </w:tc>
        <w:tc>
          <w:tcPr>
            <w:tcW w:w="0" w:type="auto"/>
            <w:hideMark/>
          </w:tcPr>
          <w:p w14:paraId="7408059A" w14:textId="77777777" w:rsidR="005A4A74" w:rsidRPr="005A4A74" w:rsidRDefault="005A4A74" w:rsidP="005A4A74">
            <w:pPr>
              <w:spacing w:after="160" w:line="278" w:lineRule="auto"/>
              <w:jc w:val="center"/>
              <w:rPr>
                <w:rFonts w:ascii="Times New Roman" w:hAnsi="Times New Roman" w:cs="Times New Roman"/>
                <w:sz w:val="20"/>
                <w:szCs w:val="20"/>
              </w:rPr>
            </w:pPr>
            <w:r w:rsidRPr="005A4A74">
              <w:rPr>
                <w:rFonts w:ascii="Times New Roman" w:hAnsi="Times New Roman" w:cs="Times New Roman"/>
                <w:sz w:val="20"/>
                <w:szCs w:val="20"/>
              </w:rPr>
              <w:t>TITLE-ABS-KEY (“distal ureterectomy” OR “segmental ureterectomy” OR “ureteral reimplantation”) AND TITLE-ABS-KEY (“radical nephroureterectomy” OR “nephroureterectomy”) AND TITLE-ABS-KEY (“distal ureter” AND (“urothelial carcinoma” OR “upper tract urothelial carcinoma”))</w:t>
            </w:r>
          </w:p>
        </w:tc>
        <w:tc>
          <w:tcPr>
            <w:tcW w:w="0" w:type="auto"/>
            <w:hideMark/>
          </w:tcPr>
          <w:p w14:paraId="72CBE2BF" w14:textId="77777777" w:rsidR="005A4A74" w:rsidRPr="005A4A74" w:rsidRDefault="005A4A74" w:rsidP="005A4A74">
            <w:pPr>
              <w:spacing w:after="160" w:line="278" w:lineRule="auto"/>
              <w:jc w:val="center"/>
              <w:rPr>
                <w:rFonts w:ascii="Times New Roman" w:hAnsi="Times New Roman" w:cs="Times New Roman"/>
                <w:sz w:val="20"/>
                <w:szCs w:val="20"/>
              </w:rPr>
            </w:pPr>
            <w:r w:rsidRPr="005A4A74">
              <w:rPr>
                <w:rFonts w:ascii="Times New Roman" w:hAnsi="Times New Roman" w:cs="Times New Roman"/>
                <w:sz w:val="20"/>
                <w:szCs w:val="20"/>
              </w:rPr>
              <w:t>74</w:t>
            </w:r>
          </w:p>
        </w:tc>
      </w:tr>
      <w:tr w:rsidR="005A4A74" w:rsidRPr="005A4A74" w14:paraId="43658B7E" w14:textId="77777777" w:rsidTr="005A4A74">
        <w:tc>
          <w:tcPr>
            <w:tcW w:w="0" w:type="auto"/>
            <w:hideMark/>
          </w:tcPr>
          <w:p w14:paraId="6CA82927" w14:textId="77777777" w:rsidR="005A4A74" w:rsidRPr="005A4A74" w:rsidRDefault="005A4A74" w:rsidP="005A4A74">
            <w:pPr>
              <w:spacing w:after="160" w:line="278" w:lineRule="auto"/>
              <w:jc w:val="center"/>
              <w:rPr>
                <w:rFonts w:ascii="Times New Roman" w:hAnsi="Times New Roman" w:cs="Times New Roman"/>
                <w:sz w:val="20"/>
                <w:szCs w:val="20"/>
              </w:rPr>
            </w:pPr>
            <w:r w:rsidRPr="005A4A74">
              <w:rPr>
                <w:rFonts w:ascii="Times New Roman" w:hAnsi="Times New Roman" w:cs="Times New Roman"/>
                <w:b/>
                <w:bCs/>
                <w:sz w:val="20"/>
                <w:szCs w:val="20"/>
              </w:rPr>
              <w:t>Web of Science</w:t>
            </w:r>
          </w:p>
        </w:tc>
        <w:tc>
          <w:tcPr>
            <w:tcW w:w="0" w:type="auto"/>
            <w:hideMark/>
          </w:tcPr>
          <w:p w14:paraId="0A3FA89E" w14:textId="77777777" w:rsidR="005A4A74" w:rsidRPr="005A4A74" w:rsidRDefault="005A4A74" w:rsidP="005A4A74">
            <w:pPr>
              <w:spacing w:after="160" w:line="278" w:lineRule="auto"/>
              <w:jc w:val="center"/>
              <w:rPr>
                <w:rFonts w:ascii="Times New Roman" w:hAnsi="Times New Roman" w:cs="Times New Roman"/>
                <w:sz w:val="20"/>
                <w:szCs w:val="20"/>
              </w:rPr>
            </w:pPr>
            <w:r w:rsidRPr="005A4A74">
              <w:rPr>
                <w:rFonts w:ascii="Times New Roman" w:hAnsi="Times New Roman" w:cs="Times New Roman"/>
                <w:sz w:val="20"/>
                <w:szCs w:val="20"/>
              </w:rPr>
              <w:t>TS=(“distal ureterectomy” OR “segmental ureterectomy” OR “ureteral reimplantation”) AND TS=(“radical nephroureterectomy” OR “nephroureterectomy”) AND TS=(“distal ureter” AND (“urothelial carcinoma” OR “upper tract urothelial carcinoma”))</w:t>
            </w:r>
          </w:p>
        </w:tc>
        <w:tc>
          <w:tcPr>
            <w:tcW w:w="0" w:type="auto"/>
            <w:hideMark/>
          </w:tcPr>
          <w:p w14:paraId="47347B28" w14:textId="77777777" w:rsidR="005A4A74" w:rsidRPr="005A4A74" w:rsidRDefault="005A4A74" w:rsidP="005A4A74">
            <w:pPr>
              <w:spacing w:after="160" w:line="278" w:lineRule="auto"/>
              <w:jc w:val="center"/>
              <w:rPr>
                <w:rFonts w:ascii="Times New Roman" w:hAnsi="Times New Roman" w:cs="Times New Roman"/>
                <w:sz w:val="20"/>
                <w:szCs w:val="20"/>
              </w:rPr>
            </w:pPr>
            <w:r w:rsidRPr="005A4A74">
              <w:rPr>
                <w:rFonts w:ascii="Times New Roman" w:hAnsi="Times New Roman" w:cs="Times New Roman"/>
                <w:sz w:val="20"/>
                <w:szCs w:val="20"/>
              </w:rPr>
              <w:t>49</w:t>
            </w:r>
          </w:p>
        </w:tc>
      </w:tr>
      <w:tr w:rsidR="005A4A74" w:rsidRPr="005A4A74" w14:paraId="6F9D518C" w14:textId="77777777" w:rsidTr="005A4A74">
        <w:tc>
          <w:tcPr>
            <w:tcW w:w="0" w:type="auto"/>
            <w:hideMark/>
          </w:tcPr>
          <w:p w14:paraId="29A53213" w14:textId="77777777" w:rsidR="005A4A74" w:rsidRPr="005A4A74" w:rsidRDefault="005A4A74" w:rsidP="005A4A74">
            <w:pPr>
              <w:spacing w:after="160" w:line="278" w:lineRule="auto"/>
              <w:jc w:val="center"/>
              <w:rPr>
                <w:rFonts w:ascii="Times New Roman" w:hAnsi="Times New Roman" w:cs="Times New Roman"/>
                <w:sz w:val="20"/>
                <w:szCs w:val="20"/>
              </w:rPr>
            </w:pPr>
            <w:r w:rsidRPr="005A4A74">
              <w:rPr>
                <w:rFonts w:ascii="Times New Roman" w:hAnsi="Times New Roman" w:cs="Times New Roman"/>
                <w:b/>
                <w:bCs/>
                <w:sz w:val="20"/>
                <w:szCs w:val="20"/>
              </w:rPr>
              <w:t>Cochrane Library</w:t>
            </w:r>
          </w:p>
        </w:tc>
        <w:tc>
          <w:tcPr>
            <w:tcW w:w="0" w:type="auto"/>
            <w:hideMark/>
          </w:tcPr>
          <w:p w14:paraId="417EB973" w14:textId="77777777" w:rsidR="005A4A74" w:rsidRPr="005A4A74" w:rsidRDefault="005A4A74" w:rsidP="005A4A74">
            <w:pPr>
              <w:spacing w:after="160" w:line="278" w:lineRule="auto"/>
              <w:jc w:val="center"/>
              <w:rPr>
                <w:rFonts w:ascii="Times New Roman" w:hAnsi="Times New Roman" w:cs="Times New Roman"/>
                <w:sz w:val="20"/>
                <w:szCs w:val="20"/>
              </w:rPr>
            </w:pPr>
            <w:r w:rsidRPr="005A4A74">
              <w:rPr>
                <w:rFonts w:ascii="Times New Roman" w:hAnsi="Times New Roman" w:cs="Times New Roman"/>
                <w:sz w:val="20"/>
                <w:szCs w:val="20"/>
              </w:rPr>
              <w:t>(“distal ureterectomy” OR “segmental ureterectomy”) AND (“radical nephroureterectomy”) AND (“distal ureter” OR “upper tract urothelial carcinoma”)</w:t>
            </w:r>
          </w:p>
        </w:tc>
        <w:tc>
          <w:tcPr>
            <w:tcW w:w="0" w:type="auto"/>
            <w:hideMark/>
          </w:tcPr>
          <w:p w14:paraId="359D539C" w14:textId="77777777" w:rsidR="005A4A74" w:rsidRPr="005A4A74" w:rsidRDefault="005A4A74" w:rsidP="005A4A74">
            <w:pPr>
              <w:spacing w:after="160" w:line="278" w:lineRule="auto"/>
              <w:jc w:val="center"/>
              <w:rPr>
                <w:rFonts w:ascii="Times New Roman" w:hAnsi="Times New Roman" w:cs="Times New Roman"/>
                <w:sz w:val="20"/>
                <w:szCs w:val="20"/>
              </w:rPr>
            </w:pPr>
            <w:r w:rsidRPr="005A4A74">
              <w:rPr>
                <w:rFonts w:ascii="Times New Roman" w:hAnsi="Times New Roman" w:cs="Times New Roman"/>
                <w:sz w:val="20"/>
                <w:szCs w:val="20"/>
              </w:rPr>
              <w:t>8</w:t>
            </w:r>
          </w:p>
        </w:tc>
      </w:tr>
    </w:tbl>
    <w:p w14:paraId="5608D2C9" w14:textId="77777777" w:rsidR="005A4A74" w:rsidRDefault="005A4A74"/>
    <w:p w14:paraId="6EF5AD1B" w14:textId="77777777" w:rsidR="00C87F02" w:rsidRDefault="00C87F02"/>
    <w:p w14:paraId="0A84D730" w14:textId="77777777" w:rsidR="00C87F02" w:rsidRDefault="00C87F02"/>
    <w:p w14:paraId="24439A6E" w14:textId="77777777" w:rsidR="00C87F02" w:rsidRDefault="00C87F02"/>
    <w:p w14:paraId="15294CD0" w14:textId="77777777" w:rsidR="00C87F02" w:rsidRDefault="00C87F02"/>
    <w:p w14:paraId="4F58757F" w14:textId="77777777" w:rsidR="00C87F02" w:rsidRDefault="00C87F02"/>
    <w:p w14:paraId="198005C9" w14:textId="77777777" w:rsidR="00C87F02" w:rsidRDefault="00C87F02"/>
    <w:p w14:paraId="19DE0780" w14:textId="77777777" w:rsidR="00C87F02" w:rsidRDefault="00C87F02"/>
    <w:p w14:paraId="262133AF" w14:textId="77777777" w:rsidR="00C87F02" w:rsidRDefault="00C87F02"/>
    <w:p w14:paraId="3F3B66D8" w14:textId="77777777" w:rsidR="00C87F02" w:rsidRDefault="00C87F02"/>
    <w:p w14:paraId="490C6A49" w14:textId="77777777" w:rsidR="00C87F02" w:rsidRDefault="00C87F02"/>
    <w:p w14:paraId="0A087F8F" w14:textId="77777777" w:rsidR="00C87F02" w:rsidRDefault="00C87F02" w:rsidP="00C87F02">
      <w:pPr>
        <w:rPr>
          <w:rFonts w:ascii="Times New Roman" w:hAnsi="Times New Roman" w:cs="Times New Roman"/>
          <w:b/>
          <w:bCs/>
        </w:rPr>
      </w:pPr>
      <w:r w:rsidRPr="00C87F02">
        <w:rPr>
          <w:rFonts w:ascii="Times New Roman" w:hAnsi="Times New Roman" w:cs="Times New Roman"/>
          <w:b/>
          <w:bCs/>
        </w:rPr>
        <w:t>Supplementary Figure 1. Study-level ROBINS-I domain judgments and overall risk-of-bias assessment across included non-randomized comparative studies</w:t>
      </w:r>
    </w:p>
    <w:p w14:paraId="0BD6EB42" w14:textId="092CE23C" w:rsidR="00C87F02" w:rsidRPr="00C87F02" w:rsidRDefault="00C87F02" w:rsidP="00C87F02">
      <w:pPr>
        <w:rPr>
          <w:rFonts w:ascii="Times New Roman" w:hAnsi="Times New Roman" w:cs="Times New Roman"/>
          <w:b/>
          <w:bCs/>
        </w:rPr>
      </w:pPr>
      <w:r>
        <w:rPr>
          <w:rFonts w:ascii="Times New Roman" w:hAnsi="Times New Roman" w:cs="Times New Roman"/>
          <w:b/>
          <w:bCs/>
          <w:noProof/>
        </w:rPr>
        <w:drawing>
          <wp:inline distT="0" distB="0" distL="0" distR="0" wp14:anchorId="2666B8EC" wp14:editId="6DA83F3F">
            <wp:extent cx="5937250" cy="4038600"/>
            <wp:effectExtent l="0" t="0" r="0" b="0"/>
            <wp:docPr id="694109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7250" cy="4038600"/>
                    </a:xfrm>
                    <a:prstGeom prst="rect">
                      <a:avLst/>
                    </a:prstGeom>
                    <a:noFill/>
                    <a:ln>
                      <a:noFill/>
                    </a:ln>
                  </pic:spPr>
                </pic:pic>
              </a:graphicData>
            </a:graphic>
          </wp:inline>
        </w:drawing>
      </w:r>
    </w:p>
    <w:p w14:paraId="03123D50" w14:textId="553FAB03" w:rsidR="00C87F02" w:rsidRPr="00C87F02" w:rsidRDefault="00C87F02" w:rsidP="00C87F02">
      <w:pPr>
        <w:rPr>
          <w:rFonts w:ascii="Times New Roman" w:hAnsi="Times New Roman" w:cs="Times New Roman"/>
          <w:b/>
          <w:bCs/>
        </w:rPr>
      </w:pPr>
      <w:r w:rsidRPr="00C87F02">
        <w:rPr>
          <w:rFonts w:ascii="Times New Roman" w:hAnsi="Times New Roman" w:cs="Times New Roman"/>
          <w:b/>
          <w:bCs/>
        </w:rPr>
        <w:t>Supplementary Figure 2. Distribution of ROBINS-I judgments across bias domains and overall study-level risk of bias</w:t>
      </w:r>
      <w:r>
        <w:rPr>
          <w:rFonts w:ascii="Times New Roman" w:hAnsi="Times New Roman" w:cs="Times New Roman"/>
          <w:b/>
          <w:bCs/>
          <w:noProof/>
        </w:rPr>
        <w:drawing>
          <wp:inline distT="0" distB="0" distL="0" distR="0" wp14:anchorId="069074C6" wp14:editId="1DEECFD7">
            <wp:extent cx="5937250" cy="1790700"/>
            <wp:effectExtent l="0" t="0" r="0" b="0"/>
            <wp:docPr id="15453927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7250" cy="1790700"/>
                    </a:xfrm>
                    <a:prstGeom prst="rect">
                      <a:avLst/>
                    </a:prstGeom>
                    <a:noFill/>
                    <a:ln>
                      <a:noFill/>
                    </a:ln>
                  </pic:spPr>
                </pic:pic>
              </a:graphicData>
            </a:graphic>
          </wp:inline>
        </w:drawing>
      </w:r>
    </w:p>
    <w:p w14:paraId="18CA13EB" w14:textId="77777777" w:rsidR="00C87F02" w:rsidRDefault="00C87F02"/>
    <w:p w14:paraId="1076EFDA" w14:textId="77777777" w:rsidR="00C67994" w:rsidRDefault="00C67994"/>
    <w:p w14:paraId="458CA396" w14:textId="77777777" w:rsidR="00C67994" w:rsidRDefault="00C67994"/>
    <w:p w14:paraId="1E266118" w14:textId="517EB9A9" w:rsidR="00C67994" w:rsidRPr="00C67994" w:rsidRDefault="00C67994">
      <w:pPr>
        <w:rPr>
          <w:rFonts w:ascii="Times New Roman" w:hAnsi="Times New Roman" w:cs="Times New Roman"/>
          <w:b/>
          <w:bCs/>
        </w:rPr>
      </w:pPr>
      <w:r w:rsidRPr="00C67994">
        <w:rPr>
          <w:rFonts w:ascii="Times New Roman" w:hAnsi="Times New Roman" w:cs="Times New Roman"/>
          <w:b/>
          <w:bCs/>
        </w:rPr>
        <w:lastRenderedPageBreak/>
        <w:t>Supplementary Table 2. Leave-one-out sensitivity analysis for outcomes with the greatest heterogeneity, showing pooled estimates before and after exclusion of the heterogeneity-influencing study</w:t>
      </w:r>
    </w:p>
    <w:tbl>
      <w:tblPr>
        <w:tblStyle w:val="TableGrid"/>
        <w:tblW w:w="0" w:type="auto"/>
        <w:tblLook w:val="04A0" w:firstRow="1" w:lastRow="0" w:firstColumn="1" w:lastColumn="0" w:noHBand="0" w:noVBand="1"/>
      </w:tblPr>
      <w:tblGrid>
        <w:gridCol w:w="1473"/>
        <w:gridCol w:w="1370"/>
        <w:gridCol w:w="1088"/>
        <w:gridCol w:w="1010"/>
        <w:gridCol w:w="1155"/>
        <w:gridCol w:w="1370"/>
        <w:gridCol w:w="981"/>
        <w:gridCol w:w="903"/>
      </w:tblGrid>
      <w:tr w:rsidR="00C67994" w:rsidRPr="00C67994" w14:paraId="5A650D0C" w14:textId="77777777" w:rsidTr="00C67994">
        <w:tc>
          <w:tcPr>
            <w:tcW w:w="0" w:type="auto"/>
            <w:hideMark/>
          </w:tcPr>
          <w:p w14:paraId="596C638E" w14:textId="77777777" w:rsidR="00C67994" w:rsidRPr="00C67994" w:rsidRDefault="00C67994" w:rsidP="00C67994">
            <w:pPr>
              <w:spacing w:after="160" w:line="278" w:lineRule="auto"/>
              <w:jc w:val="center"/>
              <w:rPr>
                <w:rFonts w:ascii="Times New Roman" w:hAnsi="Times New Roman" w:cs="Times New Roman"/>
                <w:b/>
                <w:bCs/>
                <w:sz w:val="20"/>
                <w:szCs w:val="20"/>
              </w:rPr>
            </w:pPr>
            <w:r w:rsidRPr="00C67994">
              <w:rPr>
                <w:rFonts w:ascii="Times New Roman" w:hAnsi="Times New Roman" w:cs="Times New Roman"/>
                <w:b/>
                <w:bCs/>
                <w:sz w:val="20"/>
                <w:szCs w:val="20"/>
              </w:rPr>
              <w:t>Outcome</w:t>
            </w:r>
          </w:p>
        </w:tc>
        <w:tc>
          <w:tcPr>
            <w:tcW w:w="0" w:type="auto"/>
            <w:hideMark/>
          </w:tcPr>
          <w:p w14:paraId="2E343114" w14:textId="77777777" w:rsidR="00C67994" w:rsidRPr="00C67994" w:rsidRDefault="00C67994" w:rsidP="00C67994">
            <w:pPr>
              <w:spacing w:after="160" w:line="278" w:lineRule="auto"/>
              <w:jc w:val="center"/>
              <w:rPr>
                <w:rFonts w:ascii="Times New Roman" w:hAnsi="Times New Roman" w:cs="Times New Roman"/>
                <w:b/>
                <w:bCs/>
                <w:sz w:val="20"/>
                <w:szCs w:val="20"/>
              </w:rPr>
            </w:pPr>
            <w:r w:rsidRPr="00C67994">
              <w:rPr>
                <w:rFonts w:ascii="Times New Roman" w:hAnsi="Times New Roman" w:cs="Times New Roman"/>
                <w:b/>
                <w:bCs/>
                <w:sz w:val="20"/>
                <w:szCs w:val="20"/>
              </w:rPr>
              <w:t>Effect Estimate (Before)</w:t>
            </w:r>
          </w:p>
        </w:tc>
        <w:tc>
          <w:tcPr>
            <w:tcW w:w="0" w:type="auto"/>
            <w:hideMark/>
          </w:tcPr>
          <w:p w14:paraId="234B94B9" w14:textId="77777777" w:rsidR="00C67994" w:rsidRPr="00C67994" w:rsidRDefault="00C67994" w:rsidP="00C67994">
            <w:pPr>
              <w:spacing w:after="160" w:line="278" w:lineRule="auto"/>
              <w:jc w:val="center"/>
              <w:rPr>
                <w:rFonts w:ascii="Times New Roman" w:hAnsi="Times New Roman" w:cs="Times New Roman"/>
                <w:b/>
                <w:bCs/>
                <w:sz w:val="20"/>
                <w:szCs w:val="20"/>
              </w:rPr>
            </w:pPr>
            <w:r w:rsidRPr="00C67994">
              <w:rPr>
                <w:rFonts w:ascii="Times New Roman" w:hAnsi="Times New Roman" w:cs="Times New Roman"/>
                <w:b/>
                <w:bCs/>
                <w:sz w:val="20"/>
                <w:szCs w:val="20"/>
              </w:rPr>
              <w:t>P-value (Before)</w:t>
            </w:r>
          </w:p>
        </w:tc>
        <w:tc>
          <w:tcPr>
            <w:tcW w:w="0" w:type="auto"/>
            <w:hideMark/>
          </w:tcPr>
          <w:p w14:paraId="2595497C" w14:textId="77777777" w:rsidR="00C67994" w:rsidRPr="00C67994" w:rsidRDefault="00C67994" w:rsidP="00C67994">
            <w:pPr>
              <w:spacing w:after="160" w:line="278" w:lineRule="auto"/>
              <w:jc w:val="center"/>
              <w:rPr>
                <w:rFonts w:ascii="Times New Roman" w:hAnsi="Times New Roman" w:cs="Times New Roman"/>
                <w:b/>
                <w:bCs/>
                <w:sz w:val="20"/>
                <w:szCs w:val="20"/>
              </w:rPr>
            </w:pPr>
            <w:r w:rsidRPr="00C67994">
              <w:rPr>
                <w:rFonts w:ascii="Times New Roman" w:hAnsi="Times New Roman" w:cs="Times New Roman"/>
                <w:b/>
                <w:bCs/>
                <w:sz w:val="20"/>
                <w:szCs w:val="20"/>
              </w:rPr>
              <w:t>I²% (Before)</w:t>
            </w:r>
          </w:p>
        </w:tc>
        <w:tc>
          <w:tcPr>
            <w:tcW w:w="0" w:type="auto"/>
            <w:hideMark/>
          </w:tcPr>
          <w:p w14:paraId="6B30F070" w14:textId="77777777" w:rsidR="00C67994" w:rsidRPr="00C67994" w:rsidRDefault="00C67994" w:rsidP="00C67994">
            <w:pPr>
              <w:spacing w:after="160" w:line="278" w:lineRule="auto"/>
              <w:jc w:val="center"/>
              <w:rPr>
                <w:rFonts w:ascii="Times New Roman" w:hAnsi="Times New Roman" w:cs="Times New Roman"/>
                <w:b/>
                <w:bCs/>
                <w:sz w:val="20"/>
                <w:szCs w:val="20"/>
              </w:rPr>
            </w:pPr>
            <w:r w:rsidRPr="00C67994">
              <w:rPr>
                <w:rFonts w:ascii="Times New Roman" w:hAnsi="Times New Roman" w:cs="Times New Roman"/>
                <w:b/>
                <w:bCs/>
                <w:sz w:val="20"/>
                <w:szCs w:val="20"/>
              </w:rPr>
              <w:t>Study Removed</w:t>
            </w:r>
          </w:p>
        </w:tc>
        <w:tc>
          <w:tcPr>
            <w:tcW w:w="0" w:type="auto"/>
            <w:hideMark/>
          </w:tcPr>
          <w:p w14:paraId="4F84E316" w14:textId="77777777" w:rsidR="00C67994" w:rsidRPr="00C67994" w:rsidRDefault="00C67994" w:rsidP="00C67994">
            <w:pPr>
              <w:spacing w:after="160" w:line="278" w:lineRule="auto"/>
              <w:jc w:val="center"/>
              <w:rPr>
                <w:rFonts w:ascii="Times New Roman" w:hAnsi="Times New Roman" w:cs="Times New Roman"/>
                <w:b/>
                <w:bCs/>
                <w:sz w:val="20"/>
                <w:szCs w:val="20"/>
              </w:rPr>
            </w:pPr>
            <w:r w:rsidRPr="00C67994">
              <w:rPr>
                <w:rFonts w:ascii="Times New Roman" w:hAnsi="Times New Roman" w:cs="Times New Roman"/>
                <w:b/>
                <w:bCs/>
                <w:sz w:val="20"/>
                <w:szCs w:val="20"/>
              </w:rPr>
              <w:t>Effect Estimate (After)</w:t>
            </w:r>
          </w:p>
        </w:tc>
        <w:tc>
          <w:tcPr>
            <w:tcW w:w="0" w:type="auto"/>
            <w:hideMark/>
          </w:tcPr>
          <w:p w14:paraId="38089A22" w14:textId="77777777" w:rsidR="00C67994" w:rsidRPr="00C67994" w:rsidRDefault="00C67994" w:rsidP="00C67994">
            <w:pPr>
              <w:spacing w:after="160" w:line="278" w:lineRule="auto"/>
              <w:jc w:val="center"/>
              <w:rPr>
                <w:rFonts w:ascii="Times New Roman" w:hAnsi="Times New Roman" w:cs="Times New Roman"/>
                <w:b/>
                <w:bCs/>
                <w:sz w:val="20"/>
                <w:szCs w:val="20"/>
              </w:rPr>
            </w:pPr>
            <w:r w:rsidRPr="00C67994">
              <w:rPr>
                <w:rFonts w:ascii="Times New Roman" w:hAnsi="Times New Roman" w:cs="Times New Roman"/>
                <w:b/>
                <w:bCs/>
                <w:sz w:val="20"/>
                <w:szCs w:val="20"/>
              </w:rPr>
              <w:t>P-value (After)</w:t>
            </w:r>
          </w:p>
        </w:tc>
        <w:tc>
          <w:tcPr>
            <w:tcW w:w="0" w:type="auto"/>
            <w:hideMark/>
          </w:tcPr>
          <w:p w14:paraId="3D0DEDB5" w14:textId="77777777" w:rsidR="00C67994" w:rsidRPr="00C67994" w:rsidRDefault="00C67994" w:rsidP="00C67994">
            <w:pPr>
              <w:spacing w:after="160" w:line="278" w:lineRule="auto"/>
              <w:jc w:val="center"/>
              <w:rPr>
                <w:rFonts w:ascii="Times New Roman" w:hAnsi="Times New Roman" w:cs="Times New Roman"/>
                <w:b/>
                <w:bCs/>
                <w:sz w:val="20"/>
                <w:szCs w:val="20"/>
              </w:rPr>
            </w:pPr>
            <w:r w:rsidRPr="00C67994">
              <w:rPr>
                <w:rFonts w:ascii="Times New Roman" w:hAnsi="Times New Roman" w:cs="Times New Roman"/>
                <w:b/>
                <w:bCs/>
                <w:sz w:val="20"/>
                <w:szCs w:val="20"/>
              </w:rPr>
              <w:t>I²% (After)</w:t>
            </w:r>
          </w:p>
        </w:tc>
      </w:tr>
      <w:tr w:rsidR="00C67994" w:rsidRPr="00C67994" w14:paraId="0C08C63E" w14:textId="77777777" w:rsidTr="00C67994">
        <w:tc>
          <w:tcPr>
            <w:tcW w:w="0" w:type="auto"/>
            <w:hideMark/>
          </w:tcPr>
          <w:p w14:paraId="71B26C75" w14:textId="77777777" w:rsidR="00C67994" w:rsidRPr="00C67994" w:rsidRDefault="00C67994" w:rsidP="00C67994">
            <w:pPr>
              <w:spacing w:after="160" w:line="278" w:lineRule="auto"/>
              <w:jc w:val="center"/>
              <w:rPr>
                <w:rFonts w:ascii="Times New Roman" w:hAnsi="Times New Roman" w:cs="Times New Roman"/>
                <w:b/>
                <w:bCs/>
                <w:sz w:val="20"/>
                <w:szCs w:val="20"/>
              </w:rPr>
            </w:pPr>
            <w:r w:rsidRPr="00C67994">
              <w:rPr>
                <w:rFonts w:ascii="Times New Roman" w:hAnsi="Times New Roman" w:cs="Times New Roman"/>
                <w:b/>
                <w:bCs/>
                <w:sz w:val="20"/>
                <w:szCs w:val="20"/>
              </w:rPr>
              <w:t>Intravesical recurrence</w:t>
            </w:r>
          </w:p>
        </w:tc>
        <w:tc>
          <w:tcPr>
            <w:tcW w:w="0" w:type="auto"/>
            <w:hideMark/>
          </w:tcPr>
          <w:p w14:paraId="64F7C24E" w14:textId="77777777" w:rsidR="00C67994" w:rsidRPr="00C67994" w:rsidRDefault="00C67994" w:rsidP="00C67994">
            <w:pPr>
              <w:spacing w:after="160" w:line="278" w:lineRule="auto"/>
              <w:jc w:val="center"/>
              <w:rPr>
                <w:rFonts w:ascii="Times New Roman" w:hAnsi="Times New Roman" w:cs="Times New Roman"/>
                <w:sz w:val="20"/>
                <w:szCs w:val="20"/>
              </w:rPr>
            </w:pPr>
            <w:r w:rsidRPr="00C67994">
              <w:rPr>
                <w:rFonts w:ascii="Times New Roman" w:hAnsi="Times New Roman" w:cs="Times New Roman"/>
                <w:sz w:val="20"/>
                <w:szCs w:val="20"/>
              </w:rPr>
              <w:t>HR 1.36 (95% CI 0.89–2.07)</w:t>
            </w:r>
          </w:p>
        </w:tc>
        <w:tc>
          <w:tcPr>
            <w:tcW w:w="0" w:type="auto"/>
            <w:hideMark/>
          </w:tcPr>
          <w:p w14:paraId="0FE629A4" w14:textId="77777777" w:rsidR="00C67994" w:rsidRPr="00C67994" w:rsidRDefault="00C67994" w:rsidP="00C67994">
            <w:pPr>
              <w:spacing w:after="160" w:line="278" w:lineRule="auto"/>
              <w:jc w:val="center"/>
              <w:rPr>
                <w:rFonts w:ascii="Times New Roman" w:hAnsi="Times New Roman" w:cs="Times New Roman"/>
                <w:sz w:val="20"/>
                <w:szCs w:val="20"/>
              </w:rPr>
            </w:pPr>
            <w:r w:rsidRPr="00C67994">
              <w:rPr>
                <w:rFonts w:ascii="Times New Roman" w:hAnsi="Times New Roman" w:cs="Times New Roman"/>
                <w:sz w:val="20"/>
                <w:szCs w:val="20"/>
              </w:rPr>
              <w:t>0.16</w:t>
            </w:r>
          </w:p>
        </w:tc>
        <w:tc>
          <w:tcPr>
            <w:tcW w:w="0" w:type="auto"/>
            <w:hideMark/>
          </w:tcPr>
          <w:p w14:paraId="0BD8435C" w14:textId="77777777" w:rsidR="00C67994" w:rsidRPr="00C67994" w:rsidRDefault="00C67994" w:rsidP="00C67994">
            <w:pPr>
              <w:spacing w:after="160" w:line="278" w:lineRule="auto"/>
              <w:jc w:val="center"/>
              <w:rPr>
                <w:rFonts w:ascii="Times New Roman" w:hAnsi="Times New Roman" w:cs="Times New Roman"/>
                <w:sz w:val="20"/>
                <w:szCs w:val="20"/>
              </w:rPr>
            </w:pPr>
            <w:r w:rsidRPr="00C67994">
              <w:rPr>
                <w:rFonts w:ascii="Times New Roman" w:hAnsi="Times New Roman" w:cs="Times New Roman"/>
                <w:sz w:val="20"/>
                <w:szCs w:val="20"/>
              </w:rPr>
              <w:t>75</w:t>
            </w:r>
          </w:p>
        </w:tc>
        <w:tc>
          <w:tcPr>
            <w:tcW w:w="0" w:type="auto"/>
            <w:hideMark/>
          </w:tcPr>
          <w:p w14:paraId="029CDE8B" w14:textId="77777777" w:rsidR="00C67994" w:rsidRPr="00C67994" w:rsidRDefault="00C67994" w:rsidP="00C67994">
            <w:pPr>
              <w:spacing w:after="160" w:line="278" w:lineRule="auto"/>
              <w:jc w:val="center"/>
              <w:rPr>
                <w:rFonts w:ascii="Times New Roman" w:hAnsi="Times New Roman" w:cs="Times New Roman"/>
                <w:sz w:val="20"/>
                <w:szCs w:val="20"/>
              </w:rPr>
            </w:pPr>
            <w:proofErr w:type="spellStart"/>
            <w:r w:rsidRPr="00C67994">
              <w:rPr>
                <w:rFonts w:ascii="Times New Roman" w:hAnsi="Times New Roman" w:cs="Times New Roman"/>
                <w:sz w:val="20"/>
                <w:szCs w:val="20"/>
              </w:rPr>
              <w:t>Seisen</w:t>
            </w:r>
            <w:proofErr w:type="spellEnd"/>
            <w:r w:rsidRPr="00C67994">
              <w:rPr>
                <w:rFonts w:ascii="Times New Roman" w:hAnsi="Times New Roman" w:cs="Times New Roman"/>
                <w:sz w:val="20"/>
                <w:szCs w:val="20"/>
              </w:rPr>
              <w:t xml:space="preserve"> 2016</w:t>
            </w:r>
          </w:p>
        </w:tc>
        <w:tc>
          <w:tcPr>
            <w:tcW w:w="0" w:type="auto"/>
            <w:hideMark/>
          </w:tcPr>
          <w:p w14:paraId="57121DDC" w14:textId="77777777" w:rsidR="00C67994" w:rsidRPr="00C67994" w:rsidRDefault="00C67994" w:rsidP="00C67994">
            <w:pPr>
              <w:spacing w:after="160" w:line="278" w:lineRule="auto"/>
              <w:jc w:val="center"/>
              <w:rPr>
                <w:rFonts w:ascii="Times New Roman" w:hAnsi="Times New Roman" w:cs="Times New Roman"/>
                <w:sz w:val="20"/>
                <w:szCs w:val="20"/>
              </w:rPr>
            </w:pPr>
            <w:r w:rsidRPr="00C67994">
              <w:rPr>
                <w:rFonts w:ascii="Times New Roman" w:hAnsi="Times New Roman" w:cs="Times New Roman"/>
                <w:sz w:val="20"/>
                <w:szCs w:val="20"/>
              </w:rPr>
              <w:t>HR 1.68 (95% CI 1.26–2.24)</w:t>
            </w:r>
          </w:p>
        </w:tc>
        <w:tc>
          <w:tcPr>
            <w:tcW w:w="0" w:type="auto"/>
            <w:hideMark/>
          </w:tcPr>
          <w:p w14:paraId="6D1076EF" w14:textId="77777777" w:rsidR="00C67994" w:rsidRPr="00C67994" w:rsidRDefault="00C67994" w:rsidP="00C67994">
            <w:pPr>
              <w:spacing w:after="160" w:line="278" w:lineRule="auto"/>
              <w:jc w:val="center"/>
              <w:rPr>
                <w:rFonts w:ascii="Times New Roman" w:hAnsi="Times New Roman" w:cs="Times New Roman"/>
                <w:sz w:val="20"/>
                <w:szCs w:val="20"/>
              </w:rPr>
            </w:pPr>
            <w:r w:rsidRPr="00C67994">
              <w:rPr>
                <w:rFonts w:ascii="Times New Roman" w:hAnsi="Times New Roman" w:cs="Times New Roman"/>
                <w:sz w:val="20"/>
                <w:szCs w:val="20"/>
              </w:rPr>
              <w:t>0.0004</w:t>
            </w:r>
          </w:p>
        </w:tc>
        <w:tc>
          <w:tcPr>
            <w:tcW w:w="0" w:type="auto"/>
            <w:hideMark/>
          </w:tcPr>
          <w:p w14:paraId="2BAFA2E4" w14:textId="77777777" w:rsidR="00C67994" w:rsidRPr="00C67994" w:rsidRDefault="00C67994" w:rsidP="00C67994">
            <w:pPr>
              <w:spacing w:after="160" w:line="278" w:lineRule="auto"/>
              <w:jc w:val="center"/>
              <w:rPr>
                <w:rFonts w:ascii="Times New Roman" w:hAnsi="Times New Roman" w:cs="Times New Roman"/>
                <w:sz w:val="20"/>
                <w:szCs w:val="20"/>
              </w:rPr>
            </w:pPr>
            <w:r w:rsidRPr="00C67994">
              <w:rPr>
                <w:rFonts w:ascii="Times New Roman" w:hAnsi="Times New Roman" w:cs="Times New Roman"/>
                <w:sz w:val="20"/>
                <w:szCs w:val="20"/>
              </w:rPr>
              <w:t>0</w:t>
            </w:r>
          </w:p>
        </w:tc>
      </w:tr>
      <w:tr w:rsidR="00C67994" w:rsidRPr="00C67994" w14:paraId="4D5B3330" w14:textId="77777777" w:rsidTr="00C67994">
        <w:tc>
          <w:tcPr>
            <w:tcW w:w="0" w:type="auto"/>
            <w:hideMark/>
          </w:tcPr>
          <w:p w14:paraId="47AA01F4" w14:textId="77777777" w:rsidR="00C67994" w:rsidRPr="00C67994" w:rsidRDefault="00C67994" w:rsidP="00C67994">
            <w:pPr>
              <w:spacing w:after="160" w:line="278" w:lineRule="auto"/>
              <w:jc w:val="center"/>
              <w:rPr>
                <w:rFonts w:ascii="Times New Roman" w:hAnsi="Times New Roman" w:cs="Times New Roman"/>
                <w:b/>
                <w:bCs/>
                <w:sz w:val="20"/>
                <w:szCs w:val="20"/>
              </w:rPr>
            </w:pPr>
            <w:r w:rsidRPr="00C67994">
              <w:rPr>
                <w:rFonts w:ascii="Times New Roman" w:hAnsi="Times New Roman" w:cs="Times New Roman"/>
                <w:b/>
                <w:bCs/>
                <w:sz w:val="20"/>
                <w:szCs w:val="20"/>
              </w:rPr>
              <w:t>High-grade disease</w:t>
            </w:r>
          </w:p>
        </w:tc>
        <w:tc>
          <w:tcPr>
            <w:tcW w:w="0" w:type="auto"/>
            <w:hideMark/>
          </w:tcPr>
          <w:p w14:paraId="6019C7C7" w14:textId="77777777" w:rsidR="00C67994" w:rsidRPr="00C67994" w:rsidRDefault="00C67994" w:rsidP="00C67994">
            <w:pPr>
              <w:spacing w:after="160" w:line="278" w:lineRule="auto"/>
              <w:jc w:val="center"/>
              <w:rPr>
                <w:rFonts w:ascii="Times New Roman" w:hAnsi="Times New Roman" w:cs="Times New Roman"/>
                <w:sz w:val="20"/>
                <w:szCs w:val="20"/>
              </w:rPr>
            </w:pPr>
            <w:r w:rsidRPr="00C67994">
              <w:rPr>
                <w:rFonts w:ascii="Times New Roman" w:hAnsi="Times New Roman" w:cs="Times New Roman"/>
                <w:sz w:val="20"/>
                <w:szCs w:val="20"/>
              </w:rPr>
              <w:t>RR 0.97 (95% CI 0.86–1.09)</w:t>
            </w:r>
          </w:p>
        </w:tc>
        <w:tc>
          <w:tcPr>
            <w:tcW w:w="0" w:type="auto"/>
            <w:hideMark/>
          </w:tcPr>
          <w:p w14:paraId="58120AD6" w14:textId="77777777" w:rsidR="00C67994" w:rsidRPr="00C67994" w:rsidRDefault="00C67994" w:rsidP="00C67994">
            <w:pPr>
              <w:spacing w:after="160" w:line="278" w:lineRule="auto"/>
              <w:jc w:val="center"/>
              <w:rPr>
                <w:rFonts w:ascii="Times New Roman" w:hAnsi="Times New Roman" w:cs="Times New Roman"/>
                <w:sz w:val="20"/>
                <w:szCs w:val="20"/>
              </w:rPr>
            </w:pPr>
            <w:r w:rsidRPr="00C67994">
              <w:rPr>
                <w:rFonts w:ascii="Times New Roman" w:hAnsi="Times New Roman" w:cs="Times New Roman"/>
                <w:sz w:val="20"/>
                <w:szCs w:val="20"/>
              </w:rPr>
              <w:t>0.62</w:t>
            </w:r>
          </w:p>
        </w:tc>
        <w:tc>
          <w:tcPr>
            <w:tcW w:w="0" w:type="auto"/>
            <w:hideMark/>
          </w:tcPr>
          <w:p w14:paraId="4736A303" w14:textId="77777777" w:rsidR="00C67994" w:rsidRPr="00C67994" w:rsidRDefault="00C67994" w:rsidP="00C67994">
            <w:pPr>
              <w:spacing w:after="160" w:line="278" w:lineRule="auto"/>
              <w:jc w:val="center"/>
              <w:rPr>
                <w:rFonts w:ascii="Times New Roman" w:hAnsi="Times New Roman" w:cs="Times New Roman"/>
                <w:sz w:val="20"/>
                <w:szCs w:val="20"/>
              </w:rPr>
            </w:pPr>
            <w:r w:rsidRPr="00C67994">
              <w:rPr>
                <w:rFonts w:ascii="Times New Roman" w:hAnsi="Times New Roman" w:cs="Times New Roman"/>
                <w:sz w:val="20"/>
                <w:szCs w:val="20"/>
              </w:rPr>
              <w:t>13</w:t>
            </w:r>
          </w:p>
        </w:tc>
        <w:tc>
          <w:tcPr>
            <w:tcW w:w="0" w:type="auto"/>
            <w:hideMark/>
          </w:tcPr>
          <w:p w14:paraId="161879D1" w14:textId="77777777" w:rsidR="00C67994" w:rsidRPr="00C67994" w:rsidRDefault="00C67994" w:rsidP="00C67994">
            <w:pPr>
              <w:spacing w:after="160" w:line="278" w:lineRule="auto"/>
              <w:jc w:val="center"/>
              <w:rPr>
                <w:rFonts w:ascii="Times New Roman" w:hAnsi="Times New Roman" w:cs="Times New Roman"/>
                <w:sz w:val="20"/>
                <w:szCs w:val="20"/>
              </w:rPr>
            </w:pPr>
            <w:r w:rsidRPr="00C67994">
              <w:rPr>
                <w:rFonts w:ascii="Times New Roman" w:hAnsi="Times New Roman" w:cs="Times New Roman"/>
                <w:sz w:val="20"/>
                <w:szCs w:val="20"/>
              </w:rPr>
              <w:t>Lee 2024</w:t>
            </w:r>
          </w:p>
        </w:tc>
        <w:tc>
          <w:tcPr>
            <w:tcW w:w="0" w:type="auto"/>
            <w:hideMark/>
          </w:tcPr>
          <w:p w14:paraId="44060498" w14:textId="77777777" w:rsidR="00C67994" w:rsidRPr="00C67994" w:rsidRDefault="00C67994" w:rsidP="00C67994">
            <w:pPr>
              <w:spacing w:after="160" w:line="278" w:lineRule="auto"/>
              <w:jc w:val="center"/>
              <w:rPr>
                <w:rFonts w:ascii="Times New Roman" w:hAnsi="Times New Roman" w:cs="Times New Roman"/>
                <w:sz w:val="20"/>
                <w:szCs w:val="20"/>
              </w:rPr>
            </w:pPr>
            <w:r w:rsidRPr="00C67994">
              <w:rPr>
                <w:rFonts w:ascii="Times New Roman" w:hAnsi="Times New Roman" w:cs="Times New Roman"/>
                <w:sz w:val="20"/>
                <w:szCs w:val="20"/>
              </w:rPr>
              <w:t>RR 1.00 (95% CI 0.91–1.10)</w:t>
            </w:r>
          </w:p>
        </w:tc>
        <w:tc>
          <w:tcPr>
            <w:tcW w:w="0" w:type="auto"/>
            <w:hideMark/>
          </w:tcPr>
          <w:p w14:paraId="35EB0181" w14:textId="77777777" w:rsidR="00C67994" w:rsidRPr="00C67994" w:rsidRDefault="00C67994" w:rsidP="00C67994">
            <w:pPr>
              <w:spacing w:after="160" w:line="278" w:lineRule="auto"/>
              <w:jc w:val="center"/>
              <w:rPr>
                <w:rFonts w:ascii="Times New Roman" w:hAnsi="Times New Roman" w:cs="Times New Roman"/>
                <w:sz w:val="20"/>
                <w:szCs w:val="20"/>
              </w:rPr>
            </w:pPr>
            <w:r w:rsidRPr="00C67994">
              <w:rPr>
                <w:rFonts w:ascii="Times New Roman" w:hAnsi="Times New Roman" w:cs="Times New Roman"/>
                <w:sz w:val="20"/>
                <w:szCs w:val="20"/>
              </w:rPr>
              <w:t>0.99</w:t>
            </w:r>
          </w:p>
        </w:tc>
        <w:tc>
          <w:tcPr>
            <w:tcW w:w="0" w:type="auto"/>
            <w:hideMark/>
          </w:tcPr>
          <w:p w14:paraId="13A573E1" w14:textId="77777777" w:rsidR="00C67994" w:rsidRPr="00C67994" w:rsidRDefault="00C67994" w:rsidP="00C67994">
            <w:pPr>
              <w:spacing w:after="160" w:line="278" w:lineRule="auto"/>
              <w:jc w:val="center"/>
              <w:rPr>
                <w:rFonts w:ascii="Times New Roman" w:hAnsi="Times New Roman" w:cs="Times New Roman"/>
                <w:sz w:val="20"/>
                <w:szCs w:val="20"/>
              </w:rPr>
            </w:pPr>
            <w:r w:rsidRPr="00C67994">
              <w:rPr>
                <w:rFonts w:ascii="Times New Roman" w:hAnsi="Times New Roman" w:cs="Times New Roman"/>
                <w:sz w:val="20"/>
                <w:szCs w:val="20"/>
              </w:rPr>
              <w:t>0</w:t>
            </w:r>
          </w:p>
        </w:tc>
      </w:tr>
    </w:tbl>
    <w:p w14:paraId="442116EB" w14:textId="77777777" w:rsidR="00C67994" w:rsidRDefault="00C67994"/>
    <w:p w14:paraId="424ED8CF" w14:textId="77777777" w:rsidR="004B625E" w:rsidRDefault="004B625E"/>
    <w:p w14:paraId="6938DAA8" w14:textId="77777777" w:rsidR="004B625E" w:rsidRDefault="004B625E"/>
    <w:p w14:paraId="5EB5F849" w14:textId="77777777" w:rsidR="004B625E" w:rsidRDefault="004B625E"/>
    <w:p w14:paraId="3C6CDEA6" w14:textId="77777777" w:rsidR="004B625E" w:rsidRDefault="004B625E"/>
    <w:p w14:paraId="03676CC4" w14:textId="77777777" w:rsidR="004B625E" w:rsidRDefault="004B625E"/>
    <w:p w14:paraId="52F71BCA" w14:textId="77777777" w:rsidR="004B625E" w:rsidRDefault="004B625E"/>
    <w:p w14:paraId="16CE8395" w14:textId="77777777" w:rsidR="004B625E" w:rsidRDefault="004B625E"/>
    <w:p w14:paraId="475B9F9E" w14:textId="77777777" w:rsidR="004B625E" w:rsidRDefault="004B625E"/>
    <w:p w14:paraId="2E30E96C" w14:textId="77777777" w:rsidR="004B625E" w:rsidRDefault="004B625E"/>
    <w:p w14:paraId="790DBB36" w14:textId="77777777" w:rsidR="004B625E" w:rsidRDefault="004B625E"/>
    <w:p w14:paraId="47C2F047" w14:textId="77777777" w:rsidR="004B625E" w:rsidRDefault="004B625E"/>
    <w:p w14:paraId="40E4A3C2" w14:textId="77777777" w:rsidR="004B625E" w:rsidRDefault="004B625E"/>
    <w:p w14:paraId="0FFD032D" w14:textId="77777777" w:rsidR="004B625E" w:rsidRDefault="004B625E"/>
    <w:p w14:paraId="6D30D22C" w14:textId="77777777" w:rsidR="004B625E" w:rsidRDefault="004B625E"/>
    <w:p w14:paraId="4A1C0B7C" w14:textId="77777777" w:rsidR="004B625E" w:rsidRDefault="004B625E"/>
    <w:p w14:paraId="36EC67D7" w14:textId="77777777" w:rsidR="004B625E" w:rsidRDefault="004B625E"/>
    <w:p w14:paraId="28E6E24F" w14:textId="77777777" w:rsidR="004B625E" w:rsidRDefault="004B625E"/>
    <w:p w14:paraId="488F7907" w14:textId="3F142776" w:rsidR="004B625E" w:rsidRPr="004B625E" w:rsidRDefault="004B625E">
      <w:pPr>
        <w:rPr>
          <w:rFonts w:ascii="Times New Roman" w:hAnsi="Times New Roman" w:cs="Times New Roman"/>
          <w:b/>
          <w:bCs/>
        </w:rPr>
      </w:pPr>
      <w:r w:rsidRPr="004B625E">
        <w:rPr>
          <w:rFonts w:ascii="Times New Roman" w:hAnsi="Times New Roman" w:cs="Times New Roman"/>
          <w:b/>
          <w:bCs/>
        </w:rPr>
        <w:lastRenderedPageBreak/>
        <w:t>Supplementary Table 3. GRADE certainty-of-evidence assessment for the primary and secondary outcomes comparing distal ureterectomy versus radical nephroureterectomy</w:t>
      </w:r>
    </w:p>
    <w:tbl>
      <w:tblPr>
        <w:tblStyle w:val="TableGrid"/>
        <w:tblW w:w="0" w:type="auto"/>
        <w:tblLook w:val="04A0" w:firstRow="1" w:lastRow="0" w:firstColumn="1" w:lastColumn="0" w:noHBand="0" w:noVBand="1"/>
      </w:tblPr>
      <w:tblGrid>
        <w:gridCol w:w="1197"/>
        <w:gridCol w:w="740"/>
        <w:gridCol w:w="1141"/>
        <w:gridCol w:w="1049"/>
        <w:gridCol w:w="1031"/>
        <w:gridCol w:w="1042"/>
        <w:gridCol w:w="985"/>
        <w:gridCol w:w="1184"/>
        <w:gridCol w:w="981"/>
      </w:tblGrid>
      <w:tr w:rsidR="004B625E" w:rsidRPr="004B625E" w14:paraId="6080955D" w14:textId="77777777" w:rsidTr="004B625E">
        <w:tc>
          <w:tcPr>
            <w:tcW w:w="0" w:type="auto"/>
            <w:hideMark/>
          </w:tcPr>
          <w:p w14:paraId="00A6C39F" w14:textId="77777777" w:rsidR="004B625E" w:rsidRPr="004B625E" w:rsidRDefault="004B625E" w:rsidP="004B625E">
            <w:pPr>
              <w:spacing w:after="160" w:line="278" w:lineRule="auto"/>
              <w:jc w:val="center"/>
              <w:rPr>
                <w:rFonts w:ascii="Times New Roman" w:hAnsi="Times New Roman" w:cs="Times New Roman"/>
                <w:b/>
                <w:bCs/>
                <w:sz w:val="16"/>
                <w:szCs w:val="16"/>
              </w:rPr>
            </w:pPr>
            <w:r w:rsidRPr="004B625E">
              <w:rPr>
                <w:rFonts w:ascii="Times New Roman" w:hAnsi="Times New Roman" w:cs="Times New Roman"/>
                <w:b/>
                <w:bCs/>
                <w:sz w:val="16"/>
                <w:szCs w:val="16"/>
              </w:rPr>
              <w:t>Outcome</w:t>
            </w:r>
          </w:p>
        </w:tc>
        <w:tc>
          <w:tcPr>
            <w:tcW w:w="0" w:type="auto"/>
            <w:hideMark/>
          </w:tcPr>
          <w:p w14:paraId="18AB4F41" w14:textId="77777777" w:rsidR="004B625E" w:rsidRPr="004B625E" w:rsidRDefault="004B625E" w:rsidP="004B625E">
            <w:pPr>
              <w:spacing w:after="160" w:line="278" w:lineRule="auto"/>
              <w:jc w:val="center"/>
              <w:rPr>
                <w:rFonts w:ascii="Times New Roman" w:hAnsi="Times New Roman" w:cs="Times New Roman"/>
                <w:b/>
                <w:bCs/>
                <w:sz w:val="16"/>
                <w:szCs w:val="16"/>
              </w:rPr>
            </w:pPr>
            <w:r w:rsidRPr="004B625E">
              <w:rPr>
                <w:rFonts w:ascii="Times New Roman" w:hAnsi="Times New Roman" w:cs="Times New Roman"/>
                <w:b/>
                <w:bCs/>
                <w:sz w:val="16"/>
                <w:szCs w:val="16"/>
              </w:rPr>
              <w:t>Risk of Bias</w:t>
            </w:r>
          </w:p>
        </w:tc>
        <w:tc>
          <w:tcPr>
            <w:tcW w:w="0" w:type="auto"/>
            <w:hideMark/>
          </w:tcPr>
          <w:p w14:paraId="7F0C35B2" w14:textId="77777777" w:rsidR="004B625E" w:rsidRPr="004B625E" w:rsidRDefault="004B625E" w:rsidP="004B625E">
            <w:pPr>
              <w:spacing w:after="160" w:line="278" w:lineRule="auto"/>
              <w:jc w:val="center"/>
              <w:rPr>
                <w:rFonts w:ascii="Times New Roman" w:hAnsi="Times New Roman" w:cs="Times New Roman"/>
                <w:b/>
                <w:bCs/>
                <w:sz w:val="16"/>
                <w:szCs w:val="16"/>
              </w:rPr>
            </w:pPr>
            <w:r w:rsidRPr="004B625E">
              <w:rPr>
                <w:rFonts w:ascii="Times New Roman" w:hAnsi="Times New Roman" w:cs="Times New Roman"/>
                <w:b/>
                <w:bCs/>
                <w:sz w:val="16"/>
                <w:szCs w:val="16"/>
              </w:rPr>
              <w:t>Inconsistency</w:t>
            </w:r>
          </w:p>
        </w:tc>
        <w:tc>
          <w:tcPr>
            <w:tcW w:w="0" w:type="auto"/>
            <w:hideMark/>
          </w:tcPr>
          <w:p w14:paraId="1274E524" w14:textId="77777777" w:rsidR="004B625E" w:rsidRPr="004B625E" w:rsidRDefault="004B625E" w:rsidP="004B625E">
            <w:pPr>
              <w:spacing w:after="160" w:line="278" w:lineRule="auto"/>
              <w:jc w:val="center"/>
              <w:rPr>
                <w:rFonts w:ascii="Times New Roman" w:hAnsi="Times New Roman" w:cs="Times New Roman"/>
                <w:b/>
                <w:bCs/>
                <w:sz w:val="16"/>
                <w:szCs w:val="16"/>
              </w:rPr>
            </w:pPr>
            <w:r w:rsidRPr="004B625E">
              <w:rPr>
                <w:rFonts w:ascii="Times New Roman" w:hAnsi="Times New Roman" w:cs="Times New Roman"/>
                <w:b/>
                <w:bCs/>
                <w:sz w:val="16"/>
                <w:szCs w:val="16"/>
              </w:rPr>
              <w:t>Indirectness</w:t>
            </w:r>
          </w:p>
        </w:tc>
        <w:tc>
          <w:tcPr>
            <w:tcW w:w="0" w:type="auto"/>
            <w:hideMark/>
          </w:tcPr>
          <w:p w14:paraId="29874E80" w14:textId="77777777" w:rsidR="004B625E" w:rsidRPr="004B625E" w:rsidRDefault="004B625E" w:rsidP="004B625E">
            <w:pPr>
              <w:spacing w:after="160" w:line="278" w:lineRule="auto"/>
              <w:jc w:val="center"/>
              <w:rPr>
                <w:rFonts w:ascii="Times New Roman" w:hAnsi="Times New Roman" w:cs="Times New Roman"/>
                <w:b/>
                <w:bCs/>
                <w:sz w:val="16"/>
                <w:szCs w:val="16"/>
              </w:rPr>
            </w:pPr>
            <w:r w:rsidRPr="004B625E">
              <w:rPr>
                <w:rFonts w:ascii="Times New Roman" w:hAnsi="Times New Roman" w:cs="Times New Roman"/>
                <w:b/>
                <w:bCs/>
                <w:sz w:val="16"/>
                <w:szCs w:val="16"/>
              </w:rPr>
              <w:t>Imprecision</w:t>
            </w:r>
          </w:p>
        </w:tc>
        <w:tc>
          <w:tcPr>
            <w:tcW w:w="0" w:type="auto"/>
            <w:hideMark/>
          </w:tcPr>
          <w:p w14:paraId="46DB55B9" w14:textId="77777777" w:rsidR="004B625E" w:rsidRPr="004B625E" w:rsidRDefault="004B625E" w:rsidP="004B625E">
            <w:pPr>
              <w:spacing w:after="160" w:line="278" w:lineRule="auto"/>
              <w:jc w:val="center"/>
              <w:rPr>
                <w:rFonts w:ascii="Times New Roman" w:hAnsi="Times New Roman" w:cs="Times New Roman"/>
                <w:b/>
                <w:bCs/>
                <w:sz w:val="16"/>
                <w:szCs w:val="16"/>
              </w:rPr>
            </w:pPr>
            <w:r w:rsidRPr="004B625E">
              <w:rPr>
                <w:rFonts w:ascii="Times New Roman" w:hAnsi="Times New Roman" w:cs="Times New Roman"/>
                <w:b/>
                <w:bCs/>
                <w:sz w:val="16"/>
                <w:szCs w:val="16"/>
              </w:rPr>
              <w:t>Publication Bias</w:t>
            </w:r>
          </w:p>
        </w:tc>
        <w:tc>
          <w:tcPr>
            <w:tcW w:w="0" w:type="auto"/>
            <w:hideMark/>
          </w:tcPr>
          <w:p w14:paraId="67747026" w14:textId="77777777" w:rsidR="004B625E" w:rsidRPr="004B625E" w:rsidRDefault="004B625E" w:rsidP="004B625E">
            <w:pPr>
              <w:spacing w:after="160" w:line="278" w:lineRule="auto"/>
              <w:jc w:val="center"/>
              <w:rPr>
                <w:rFonts w:ascii="Times New Roman" w:hAnsi="Times New Roman" w:cs="Times New Roman"/>
                <w:b/>
                <w:bCs/>
                <w:sz w:val="16"/>
                <w:szCs w:val="16"/>
              </w:rPr>
            </w:pPr>
            <w:r w:rsidRPr="004B625E">
              <w:rPr>
                <w:rFonts w:ascii="Times New Roman" w:hAnsi="Times New Roman" w:cs="Times New Roman"/>
                <w:b/>
                <w:bCs/>
                <w:sz w:val="16"/>
                <w:szCs w:val="16"/>
              </w:rPr>
              <w:t>Effect Estimate</w:t>
            </w:r>
          </w:p>
        </w:tc>
        <w:tc>
          <w:tcPr>
            <w:tcW w:w="0" w:type="auto"/>
            <w:hideMark/>
          </w:tcPr>
          <w:p w14:paraId="78FF48C1" w14:textId="77777777" w:rsidR="004B625E" w:rsidRPr="004B625E" w:rsidRDefault="004B625E" w:rsidP="004B625E">
            <w:pPr>
              <w:spacing w:after="160" w:line="278" w:lineRule="auto"/>
              <w:jc w:val="center"/>
              <w:rPr>
                <w:rFonts w:ascii="Times New Roman" w:hAnsi="Times New Roman" w:cs="Times New Roman"/>
                <w:b/>
                <w:bCs/>
                <w:sz w:val="16"/>
                <w:szCs w:val="16"/>
              </w:rPr>
            </w:pPr>
            <w:r w:rsidRPr="004B625E">
              <w:rPr>
                <w:rFonts w:ascii="Times New Roman" w:hAnsi="Times New Roman" w:cs="Times New Roman"/>
                <w:b/>
                <w:bCs/>
                <w:sz w:val="16"/>
                <w:szCs w:val="16"/>
              </w:rPr>
              <w:t>Absolute Effect (per 1,000)</w:t>
            </w:r>
          </w:p>
        </w:tc>
        <w:tc>
          <w:tcPr>
            <w:tcW w:w="0" w:type="auto"/>
            <w:hideMark/>
          </w:tcPr>
          <w:p w14:paraId="749703FA" w14:textId="77777777" w:rsidR="004B625E" w:rsidRPr="004B625E" w:rsidRDefault="004B625E" w:rsidP="004B625E">
            <w:pPr>
              <w:spacing w:after="160" w:line="278" w:lineRule="auto"/>
              <w:jc w:val="center"/>
              <w:rPr>
                <w:rFonts w:ascii="Times New Roman" w:hAnsi="Times New Roman" w:cs="Times New Roman"/>
                <w:b/>
                <w:bCs/>
                <w:sz w:val="16"/>
                <w:szCs w:val="16"/>
              </w:rPr>
            </w:pPr>
            <w:r w:rsidRPr="004B625E">
              <w:rPr>
                <w:rFonts w:ascii="Times New Roman" w:hAnsi="Times New Roman" w:cs="Times New Roman"/>
                <w:b/>
                <w:bCs/>
                <w:sz w:val="16"/>
                <w:szCs w:val="16"/>
              </w:rPr>
              <w:t>GRADE Certainty</w:t>
            </w:r>
          </w:p>
        </w:tc>
      </w:tr>
      <w:tr w:rsidR="004B625E" w:rsidRPr="004B625E" w14:paraId="3337C2EC" w14:textId="77777777" w:rsidTr="004B625E">
        <w:tc>
          <w:tcPr>
            <w:tcW w:w="0" w:type="auto"/>
            <w:hideMark/>
          </w:tcPr>
          <w:p w14:paraId="3FEF0141" w14:textId="77777777" w:rsidR="004B625E" w:rsidRPr="004B625E" w:rsidRDefault="004B625E" w:rsidP="004B625E">
            <w:pPr>
              <w:spacing w:after="160" w:line="278" w:lineRule="auto"/>
              <w:jc w:val="center"/>
              <w:rPr>
                <w:rFonts w:ascii="Times New Roman" w:hAnsi="Times New Roman" w:cs="Times New Roman"/>
                <w:b/>
                <w:bCs/>
                <w:sz w:val="16"/>
                <w:szCs w:val="16"/>
              </w:rPr>
            </w:pPr>
            <w:r w:rsidRPr="004B625E">
              <w:rPr>
                <w:rFonts w:ascii="Times New Roman" w:hAnsi="Times New Roman" w:cs="Times New Roman"/>
                <w:b/>
                <w:bCs/>
                <w:sz w:val="16"/>
                <w:szCs w:val="16"/>
              </w:rPr>
              <w:t>Positive surgical margin</w:t>
            </w:r>
          </w:p>
        </w:tc>
        <w:tc>
          <w:tcPr>
            <w:tcW w:w="0" w:type="auto"/>
            <w:hideMark/>
          </w:tcPr>
          <w:p w14:paraId="4F0FE6BD"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Serious</w:t>
            </w:r>
          </w:p>
        </w:tc>
        <w:tc>
          <w:tcPr>
            <w:tcW w:w="0" w:type="auto"/>
            <w:hideMark/>
          </w:tcPr>
          <w:p w14:paraId="3013CF7B"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Not serious</w:t>
            </w:r>
          </w:p>
        </w:tc>
        <w:tc>
          <w:tcPr>
            <w:tcW w:w="0" w:type="auto"/>
            <w:hideMark/>
          </w:tcPr>
          <w:p w14:paraId="030B6DF7"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Not serious</w:t>
            </w:r>
          </w:p>
        </w:tc>
        <w:tc>
          <w:tcPr>
            <w:tcW w:w="0" w:type="auto"/>
            <w:hideMark/>
          </w:tcPr>
          <w:p w14:paraId="68864CC2"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Serious</w:t>
            </w:r>
          </w:p>
        </w:tc>
        <w:tc>
          <w:tcPr>
            <w:tcW w:w="0" w:type="auto"/>
            <w:hideMark/>
          </w:tcPr>
          <w:p w14:paraId="033B98E2"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Not serious</w:t>
            </w:r>
          </w:p>
        </w:tc>
        <w:tc>
          <w:tcPr>
            <w:tcW w:w="0" w:type="auto"/>
            <w:hideMark/>
          </w:tcPr>
          <w:p w14:paraId="2064B786"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RR 1.24 (95% CI 0.64–2.43)</w:t>
            </w:r>
          </w:p>
        </w:tc>
        <w:tc>
          <w:tcPr>
            <w:tcW w:w="0" w:type="auto"/>
            <w:hideMark/>
          </w:tcPr>
          <w:p w14:paraId="52E1439B"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b/>
                <w:bCs/>
                <w:sz w:val="16"/>
                <w:szCs w:val="16"/>
              </w:rPr>
              <w:t>7 more per 1,000</w:t>
            </w:r>
            <w:r w:rsidRPr="004B625E">
              <w:rPr>
                <w:rFonts w:ascii="Times New Roman" w:hAnsi="Times New Roman" w:cs="Times New Roman"/>
                <w:sz w:val="16"/>
                <w:szCs w:val="16"/>
              </w:rPr>
              <w:t xml:space="preserve"> (from 10 fewer to 39 more)</w:t>
            </w:r>
          </w:p>
        </w:tc>
        <w:tc>
          <w:tcPr>
            <w:tcW w:w="0" w:type="auto"/>
            <w:hideMark/>
          </w:tcPr>
          <w:p w14:paraId="26EB7D6F"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Cambria Math" w:hAnsi="Cambria Math" w:cs="Cambria Math"/>
                <w:b/>
                <w:bCs/>
                <w:sz w:val="16"/>
                <w:szCs w:val="16"/>
              </w:rPr>
              <w:t>⊕◯◯◯</w:t>
            </w:r>
            <w:r w:rsidRPr="004B625E">
              <w:rPr>
                <w:rFonts w:ascii="Times New Roman" w:hAnsi="Times New Roman" w:cs="Times New Roman"/>
                <w:b/>
                <w:bCs/>
                <w:sz w:val="16"/>
                <w:szCs w:val="16"/>
              </w:rPr>
              <w:t xml:space="preserve"> Very low</w:t>
            </w:r>
          </w:p>
        </w:tc>
      </w:tr>
      <w:tr w:rsidR="004B625E" w:rsidRPr="004B625E" w14:paraId="589DA55F" w14:textId="77777777" w:rsidTr="004B625E">
        <w:tc>
          <w:tcPr>
            <w:tcW w:w="0" w:type="auto"/>
            <w:hideMark/>
          </w:tcPr>
          <w:p w14:paraId="7D3DA907" w14:textId="77777777" w:rsidR="004B625E" w:rsidRPr="004B625E" w:rsidRDefault="004B625E" w:rsidP="004B625E">
            <w:pPr>
              <w:spacing w:after="160" w:line="278" w:lineRule="auto"/>
              <w:jc w:val="center"/>
              <w:rPr>
                <w:rFonts w:ascii="Times New Roman" w:hAnsi="Times New Roman" w:cs="Times New Roman"/>
                <w:b/>
                <w:bCs/>
                <w:sz w:val="16"/>
                <w:szCs w:val="16"/>
              </w:rPr>
            </w:pPr>
            <w:r w:rsidRPr="004B625E">
              <w:rPr>
                <w:rFonts w:ascii="Times New Roman" w:hAnsi="Times New Roman" w:cs="Times New Roman"/>
                <w:b/>
                <w:bCs/>
                <w:sz w:val="16"/>
                <w:szCs w:val="16"/>
              </w:rPr>
              <w:t>Intravesical recurrence</w:t>
            </w:r>
          </w:p>
        </w:tc>
        <w:tc>
          <w:tcPr>
            <w:tcW w:w="0" w:type="auto"/>
            <w:hideMark/>
          </w:tcPr>
          <w:p w14:paraId="418A74D1"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Serious</w:t>
            </w:r>
          </w:p>
        </w:tc>
        <w:tc>
          <w:tcPr>
            <w:tcW w:w="0" w:type="auto"/>
            <w:hideMark/>
          </w:tcPr>
          <w:p w14:paraId="77B058C1"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Serious</w:t>
            </w:r>
          </w:p>
        </w:tc>
        <w:tc>
          <w:tcPr>
            <w:tcW w:w="0" w:type="auto"/>
            <w:hideMark/>
          </w:tcPr>
          <w:p w14:paraId="4349D45B"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Not serious</w:t>
            </w:r>
          </w:p>
        </w:tc>
        <w:tc>
          <w:tcPr>
            <w:tcW w:w="0" w:type="auto"/>
            <w:hideMark/>
          </w:tcPr>
          <w:p w14:paraId="026484CC"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Serious</w:t>
            </w:r>
          </w:p>
        </w:tc>
        <w:tc>
          <w:tcPr>
            <w:tcW w:w="0" w:type="auto"/>
            <w:hideMark/>
          </w:tcPr>
          <w:p w14:paraId="65474280"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Not serious</w:t>
            </w:r>
          </w:p>
        </w:tc>
        <w:tc>
          <w:tcPr>
            <w:tcW w:w="0" w:type="auto"/>
            <w:hideMark/>
          </w:tcPr>
          <w:p w14:paraId="79CF11C6"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HR 1.36 (95% CI 0.89–2.07)</w:t>
            </w:r>
          </w:p>
        </w:tc>
        <w:tc>
          <w:tcPr>
            <w:tcW w:w="0" w:type="auto"/>
            <w:hideMark/>
          </w:tcPr>
          <w:p w14:paraId="17E9D1A4"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Not applicable</w:t>
            </w:r>
          </w:p>
        </w:tc>
        <w:tc>
          <w:tcPr>
            <w:tcW w:w="0" w:type="auto"/>
            <w:hideMark/>
          </w:tcPr>
          <w:p w14:paraId="001C4C09"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Cambria Math" w:hAnsi="Cambria Math" w:cs="Cambria Math"/>
                <w:b/>
                <w:bCs/>
                <w:sz w:val="16"/>
                <w:szCs w:val="16"/>
              </w:rPr>
              <w:t>⊕◯◯◯</w:t>
            </w:r>
            <w:r w:rsidRPr="004B625E">
              <w:rPr>
                <w:rFonts w:ascii="Times New Roman" w:hAnsi="Times New Roman" w:cs="Times New Roman"/>
                <w:b/>
                <w:bCs/>
                <w:sz w:val="16"/>
                <w:szCs w:val="16"/>
              </w:rPr>
              <w:t xml:space="preserve"> Very low</w:t>
            </w:r>
          </w:p>
        </w:tc>
      </w:tr>
      <w:tr w:rsidR="004B625E" w:rsidRPr="004B625E" w14:paraId="78888215" w14:textId="77777777" w:rsidTr="004B625E">
        <w:tc>
          <w:tcPr>
            <w:tcW w:w="0" w:type="auto"/>
            <w:hideMark/>
          </w:tcPr>
          <w:p w14:paraId="32DE1EE1" w14:textId="77777777" w:rsidR="004B625E" w:rsidRPr="004B625E" w:rsidRDefault="004B625E" w:rsidP="004B625E">
            <w:pPr>
              <w:spacing w:after="160" w:line="278" w:lineRule="auto"/>
              <w:jc w:val="center"/>
              <w:rPr>
                <w:rFonts w:ascii="Times New Roman" w:hAnsi="Times New Roman" w:cs="Times New Roman"/>
                <w:b/>
                <w:bCs/>
                <w:sz w:val="16"/>
                <w:szCs w:val="16"/>
              </w:rPr>
            </w:pPr>
            <w:r w:rsidRPr="004B625E">
              <w:rPr>
                <w:rFonts w:ascii="Times New Roman" w:hAnsi="Times New Roman" w:cs="Times New Roman"/>
                <w:b/>
                <w:bCs/>
                <w:sz w:val="16"/>
                <w:szCs w:val="16"/>
              </w:rPr>
              <w:t>Cancer-specific survival</w:t>
            </w:r>
          </w:p>
        </w:tc>
        <w:tc>
          <w:tcPr>
            <w:tcW w:w="0" w:type="auto"/>
            <w:hideMark/>
          </w:tcPr>
          <w:p w14:paraId="0E537F26"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Serious</w:t>
            </w:r>
          </w:p>
        </w:tc>
        <w:tc>
          <w:tcPr>
            <w:tcW w:w="0" w:type="auto"/>
            <w:hideMark/>
          </w:tcPr>
          <w:p w14:paraId="34418D60"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Not serious</w:t>
            </w:r>
          </w:p>
        </w:tc>
        <w:tc>
          <w:tcPr>
            <w:tcW w:w="0" w:type="auto"/>
            <w:hideMark/>
          </w:tcPr>
          <w:p w14:paraId="51D97B08"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Not serious</w:t>
            </w:r>
          </w:p>
        </w:tc>
        <w:tc>
          <w:tcPr>
            <w:tcW w:w="0" w:type="auto"/>
            <w:hideMark/>
          </w:tcPr>
          <w:p w14:paraId="1F51D5F9"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Serious</w:t>
            </w:r>
          </w:p>
        </w:tc>
        <w:tc>
          <w:tcPr>
            <w:tcW w:w="0" w:type="auto"/>
            <w:hideMark/>
          </w:tcPr>
          <w:p w14:paraId="218A72CC"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Not serious</w:t>
            </w:r>
          </w:p>
        </w:tc>
        <w:tc>
          <w:tcPr>
            <w:tcW w:w="0" w:type="auto"/>
            <w:hideMark/>
          </w:tcPr>
          <w:p w14:paraId="5762BE92"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HR 0.97 (95% CI 0.72–1.29)</w:t>
            </w:r>
          </w:p>
        </w:tc>
        <w:tc>
          <w:tcPr>
            <w:tcW w:w="0" w:type="auto"/>
            <w:hideMark/>
          </w:tcPr>
          <w:p w14:paraId="0235C54E"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Not applicable</w:t>
            </w:r>
          </w:p>
        </w:tc>
        <w:tc>
          <w:tcPr>
            <w:tcW w:w="0" w:type="auto"/>
            <w:hideMark/>
          </w:tcPr>
          <w:p w14:paraId="63DEE1C7"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Cambria Math" w:hAnsi="Cambria Math" w:cs="Cambria Math"/>
                <w:b/>
                <w:bCs/>
                <w:sz w:val="16"/>
                <w:szCs w:val="16"/>
              </w:rPr>
              <w:t>⊕◯◯◯</w:t>
            </w:r>
            <w:r w:rsidRPr="004B625E">
              <w:rPr>
                <w:rFonts w:ascii="Times New Roman" w:hAnsi="Times New Roman" w:cs="Times New Roman"/>
                <w:b/>
                <w:bCs/>
                <w:sz w:val="16"/>
                <w:szCs w:val="16"/>
              </w:rPr>
              <w:t xml:space="preserve"> Very low</w:t>
            </w:r>
          </w:p>
        </w:tc>
      </w:tr>
      <w:tr w:rsidR="004B625E" w:rsidRPr="004B625E" w14:paraId="0E394C29" w14:textId="77777777" w:rsidTr="004B625E">
        <w:tc>
          <w:tcPr>
            <w:tcW w:w="0" w:type="auto"/>
            <w:hideMark/>
          </w:tcPr>
          <w:p w14:paraId="27F35AF6" w14:textId="77777777" w:rsidR="004B625E" w:rsidRPr="004B625E" w:rsidRDefault="004B625E" w:rsidP="004B625E">
            <w:pPr>
              <w:spacing w:after="160" w:line="278" w:lineRule="auto"/>
              <w:jc w:val="center"/>
              <w:rPr>
                <w:rFonts w:ascii="Times New Roman" w:hAnsi="Times New Roman" w:cs="Times New Roman"/>
                <w:b/>
                <w:bCs/>
                <w:sz w:val="16"/>
                <w:szCs w:val="16"/>
              </w:rPr>
            </w:pPr>
            <w:r w:rsidRPr="004B625E">
              <w:rPr>
                <w:rFonts w:ascii="Times New Roman" w:hAnsi="Times New Roman" w:cs="Times New Roman"/>
                <w:b/>
                <w:bCs/>
                <w:sz w:val="16"/>
                <w:szCs w:val="16"/>
              </w:rPr>
              <w:t>Lymph node metastasis</w:t>
            </w:r>
          </w:p>
        </w:tc>
        <w:tc>
          <w:tcPr>
            <w:tcW w:w="0" w:type="auto"/>
            <w:hideMark/>
          </w:tcPr>
          <w:p w14:paraId="3DF5689B"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Serious</w:t>
            </w:r>
          </w:p>
        </w:tc>
        <w:tc>
          <w:tcPr>
            <w:tcW w:w="0" w:type="auto"/>
            <w:hideMark/>
          </w:tcPr>
          <w:p w14:paraId="0ABAE8F7"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Not serious</w:t>
            </w:r>
          </w:p>
        </w:tc>
        <w:tc>
          <w:tcPr>
            <w:tcW w:w="0" w:type="auto"/>
            <w:hideMark/>
          </w:tcPr>
          <w:p w14:paraId="3F87F95D"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Not serious</w:t>
            </w:r>
          </w:p>
        </w:tc>
        <w:tc>
          <w:tcPr>
            <w:tcW w:w="0" w:type="auto"/>
            <w:hideMark/>
          </w:tcPr>
          <w:p w14:paraId="5E763003"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Serious</w:t>
            </w:r>
          </w:p>
        </w:tc>
        <w:tc>
          <w:tcPr>
            <w:tcW w:w="0" w:type="auto"/>
            <w:hideMark/>
          </w:tcPr>
          <w:p w14:paraId="771CCB03"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Not serious</w:t>
            </w:r>
          </w:p>
        </w:tc>
        <w:tc>
          <w:tcPr>
            <w:tcW w:w="0" w:type="auto"/>
            <w:hideMark/>
          </w:tcPr>
          <w:p w14:paraId="26A52FD2"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RR 0.85 (95% CI 0.40–1.80)</w:t>
            </w:r>
          </w:p>
        </w:tc>
        <w:tc>
          <w:tcPr>
            <w:tcW w:w="0" w:type="auto"/>
            <w:hideMark/>
          </w:tcPr>
          <w:p w14:paraId="2A285D56"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b/>
                <w:bCs/>
                <w:sz w:val="16"/>
                <w:szCs w:val="16"/>
              </w:rPr>
              <w:t>7 fewer per 1,000</w:t>
            </w:r>
            <w:r w:rsidRPr="004B625E">
              <w:rPr>
                <w:rFonts w:ascii="Times New Roman" w:hAnsi="Times New Roman" w:cs="Times New Roman"/>
                <w:sz w:val="16"/>
                <w:szCs w:val="16"/>
              </w:rPr>
              <w:t xml:space="preserve"> (from 28 fewer to 38 more)</w:t>
            </w:r>
          </w:p>
        </w:tc>
        <w:tc>
          <w:tcPr>
            <w:tcW w:w="0" w:type="auto"/>
            <w:hideMark/>
          </w:tcPr>
          <w:p w14:paraId="6991821C"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Cambria Math" w:hAnsi="Cambria Math" w:cs="Cambria Math"/>
                <w:b/>
                <w:bCs/>
                <w:sz w:val="16"/>
                <w:szCs w:val="16"/>
              </w:rPr>
              <w:t>⊕◯◯◯</w:t>
            </w:r>
            <w:r w:rsidRPr="004B625E">
              <w:rPr>
                <w:rFonts w:ascii="Times New Roman" w:hAnsi="Times New Roman" w:cs="Times New Roman"/>
                <w:b/>
                <w:bCs/>
                <w:sz w:val="16"/>
                <w:szCs w:val="16"/>
              </w:rPr>
              <w:t xml:space="preserve"> Very low</w:t>
            </w:r>
          </w:p>
        </w:tc>
      </w:tr>
      <w:tr w:rsidR="004B625E" w:rsidRPr="004B625E" w14:paraId="54D05D92" w14:textId="77777777" w:rsidTr="004B625E">
        <w:tc>
          <w:tcPr>
            <w:tcW w:w="0" w:type="auto"/>
            <w:hideMark/>
          </w:tcPr>
          <w:p w14:paraId="472B6828" w14:textId="77777777" w:rsidR="004B625E" w:rsidRPr="004B625E" w:rsidRDefault="004B625E" w:rsidP="004B625E">
            <w:pPr>
              <w:spacing w:after="160" w:line="278" w:lineRule="auto"/>
              <w:jc w:val="center"/>
              <w:rPr>
                <w:rFonts w:ascii="Times New Roman" w:hAnsi="Times New Roman" w:cs="Times New Roman"/>
                <w:b/>
                <w:bCs/>
                <w:sz w:val="16"/>
                <w:szCs w:val="16"/>
              </w:rPr>
            </w:pPr>
            <w:r w:rsidRPr="004B625E">
              <w:rPr>
                <w:rFonts w:ascii="Times New Roman" w:hAnsi="Times New Roman" w:cs="Times New Roman"/>
                <w:b/>
                <w:bCs/>
                <w:sz w:val="16"/>
                <w:szCs w:val="16"/>
              </w:rPr>
              <w:t>Muscle-invasive disease (≥pT2)</w:t>
            </w:r>
          </w:p>
        </w:tc>
        <w:tc>
          <w:tcPr>
            <w:tcW w:w="0" w:type="auto"/>
            <w:hideMark/>
          </w:tcPr>
          <w:p w14:paraId="6747A743"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Not serious</w:t>
            </w:r>
          </w:p>
        </w:tc>
        <w:tc>
          <w:tcPr>
            <w:tcW w:w="0" w:type="auto"/>
            <w:hideMark/>
          </w:tcPr>
          <w:p w14:paraId="42E8A249"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Not serious</w:t>
            </w:r>
          </w:p>
        </w:tc>
        <w:tc>
          <w:tcPr>
            <w:tcW w:w="0" w:type="auto"/>
            <w:hideMark/>
          </w:tcPr>
          <w:p w14:paraId="71A6A867"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Not serious</w:t>
            </w:r>
          </w:p>
        </w:tc>
        <w:tc>
          <w:tcPr>
            <w:tcW w:w="0" w:type="auto"/>
            <w:hideMark/>
          </w:tcPr>
          <w:p w14:paraId="2197681D"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Not serious</w:t>
            </w:r>
          </w:p>
        </w:tc>
        <w:tc>
          <w:tcPr>
            <w:tcW w:w="0" w:type="auto"/>
            <w:hideMark/>
          </w:tcPr>
          <w:p w14:paraId="4881DB34"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Not serious</w:t>
            </w:r>
          </w:p>
        </w:tc>
        <w:tc>
          <w:tcPr>
            <w:tcW w:w="0" w:type="auto"/>
            <w:hideMark/>
          </w:tcPr>
          <w:p w14:paraId="38C33C59"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RR 0.96 (95% CI 0.86–1.08)</w:t>
            </w:r>
          </w:p>
        </w:tc>
        <w:tc>
          <w:tcPr>
            <w:tcW w:w="0" w:type="auto"/>
            <w:hideMark/>
          </w:tcPr>
          <w:p w14:paraId="34EEEFBC"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b/>
                <w:bCs/>
                <w:sz w:val="16"/>
                <w:szCs w:val="16"/>
              </w:rPr>
              <w:t>23 fewer per 1,000</w:t>
            </w:r>
            <w:r w:rsidRPr="004B625E">
              <w:rPr>
                <w:rFonts w:ascii="Times New Roman" w:hAnsi="Times New Roman" w:cs="Times New Roman"/>
                <w:sz w:val="16"/>
                <w:szCs w:val="16"/>
              </w:rPr>
              <w:t xml:space="preserve"> (from 79 fewer to 45 more)</w:t>
            </w:r>
          </w:p>
        </w:tc>
        <w:tc>
          <w:tcPr>
            <w:tcW w:w="0" w:type="auto"/>
            <w:hideMark/>
          </w:tcPr>
          <w:p w14:paraId="4D6FCB20"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Cambria Math" w:hAnsi="Cambria Math" w:cs="Cambria Math"/>
                <w:b/>
                <w:bCs/>
                <w:sz w:val="16"/>
                <w:szCs w:val="16"/>
              </w:rPr>
              <w:t>⊕⊕◯◯</w:t>
            </w:r>
            <w:r w:rsidRPr="004B625E">
              <w:rPr>
                <w:rFonts w:ascii="Times New Roman" w:hAnsi="Times New Roman" w:cs="Times New Roman"/>
                <w:b/>
                <w:bCs/>
                <w:sz w:val="16"/>
                <w:szCs w:val="16"/>
              </w:rPr>
              <w:t xml:space="preserve"> Low</w:t>
            </w:r>
          </w:p>
        </w:tc>
      </w:tr>
      <w:tr w:rsidR="004B625E" w:rsidRPr="004B625E" w14:paraId="5F13BAFC" w14:textId="77777777" w:rsidTr="004B625E">
        <w:tc>
          <w:tcPr>
            <w:tcW w:w="0" w:type="auto"/>
            <w:hideMark/>
          </w:tcPr>
          <w:p w14:paraId="58A286CD" w14:textId="77777777" w:rsidR="004B625E" w:rsidRPr="004B625E" w:rsidRDefault="004B625E" w:rsidP="004B625E">
            <w:pPr>
              <w:spacing w:after="160" w:line="278" w:lineRule="auto"/>
              <w:jc w:val="center"/>
              <w:rPr>
                <w:rFonts w:ascii="Times New Roman" w:hAnsi="Times New Roman" w:cs="Times New Roman"/>
                <w:b/>
                <w:bCs/>
                <w:sz w:val="16"/>
                <w:szCs w:val="16"/>
              </w:rPr>
            </w:pPr>
            <w:r w:rsidRPr="004B625E">
              <w:rPr>
                <w:rFonts w:ascii="Times New Roman" w:hAnsi="Times New Roman" w:cs="Times New Roman"/>
                <w:b/>
                <w:bCs/>
                <w:sz w:val="16"/>
                <w:szCs w:val="16"/>
              </w:rPr>
              <w:t>High-grade disease</w:t>
            </w:r>
          </w:p>
        </w:tc>
        <w:tc>
          <w:tcPr>
            <w:tcW w:w="0" w:type="auto"/>
            <w:hideMark/>
          </w:tcPr>
          <w:p w14:paraId="6E1A3B5D"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Not serious</w:t>
            </w:r>
          </w:p>
        </w:tc>
        <w:tc>
          <w:tcPr>
            <w:tcW w:w="0" w:type="auto"/>
            <w:hideMark/>
          </w:tcPr>
          <w:p w14:paraId="7F645744"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Not serious</w:t>
            </w:r>
          </w:p>
        </w:tc>
        <w:tc>
          <w:tcPr>
            <w:tcW w:w="0" w:type="auto"/>
            <w:hideMark/>
          </w:tcPr>
          <w:p w14:paraId="4774CEE7"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Not serious</w:t>
            </w:r>
          </w:p>
        </w:tc>
        <w:tc>
          <w:tcPr>
            <w:tcW w:w="0" w:type="auto"/>
            <w:hideMark/>
          </w:tcPr>
          <w:p w14:paraId="67324FDA"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Not serious</w:t>
            </w:r>
          </w:p>
        </w:tc>
        <w:tc>
          <w:tcPr>
            <w:tcW w:w="0" w:type="auto"/>
            <w:hideMark/>
          </w:tcPr>
          <w:p w14:paraId="102E5988"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Not serious</w:t>
            </w:r>
          </w:p>
        </w:tc>
        <w:tc>
          <w:tcPr>
            <w:tcW w:w="0" w:type="auto"/>
            <w:hideMark/>
          </w:tcPr>
          <w:p w14:paraId="5D2D6922"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sz w:val="16"/>
                <w:szCs w:val="16"/>
              </w:rPr>
              <w:t>RR 0.97 (95% CI 0.86–1.09)</w:t>
            </w:r>
          </w:p>
        </w:tc>
        <w:tc>
          <w:tcPr>
            <w:tcW w:w="0" w:type="auto"/>
            <w:hideMark/>
          </w:tcPr>
          <w:p w14:paraId="32271611"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Times New Roman" w:hAnsi="Times New Roman" w:cs="Times New Roman"/>
                <w:b/>
                <w:bCs/>
                <w:sz w:val="16"/>
                <w:szCs w:val="16"/>
              </w:rPr>
              <w:t>17 fewer per 1,000</w:t>
            </w:r>
            <w:r w:rsidRPr="004B625E">
              <w:rPr>
                <w:rFonts w:ascii="Times New Roman" w:hAnsi="Times New Roman" w:cs="Times New Roman"/>
                <w:sz w:val="16"/>
                <w:szCs w:val="16"/>
              </w:rPr>
              <w:t xml:space="preserve"> (from 81 fewer to 52 more)</w:t>
            </w:r>
          </w:p>
        </w:tc>
        <w:tc>
          <w:tcPr>
            <w:tcW w:w="0" w:type="auto"/>
            <w:hideMark/>
          </w:tcPr>
          <w:p w14:paraId="2086666A" w14:textId="77777777" w:rsidR="004B625E" w:rsidRPr="004B625E" w:rsidRDefault="004B625E" w:rsidP="004B625E">
            <w:pPr>
              <w:spacing w:after="160" w:line="278" w:lineRule="auto"/>
              <w:jc w:val="center"/>
              <w:rPr>
                <w:rFonts w:ascii="Times New Roman" w:hAnsi="Times New Roman" w:cs="Times New Roman"/>
                <w:sz w:val="16"/>
                <w:szCs w:val="16"/>
              </w:rPr>
            </w:pPr>
            <w:r w:rsidRPr="004B625E">
              <w:rPr>
                <w:rFonts w:ascii="Cambria Math" w:hAnsi="Cambria Math" w:cs="Cambria Math"/>
                <w:b/>
                <w:bCs/>
                <w:sz w:val="16"/>
                <w:szCs w:val="16"/>
              </w:rPr>
              <w:t>⊕⊕◯◯</w:t>
            </w:r>
            <w:r w:rsidRPr="004B625E">
              <w:rPr>
                <w:rFonts w:ascii="Times New Roman" w:hAnsi="Times New Roman" w:cs="Times New Roman"/>
                <w:b/>
                <w:bCs/>
                <w:sz w:val="16"/>
                <w:szCs w:val="16"/>
              </w:rPr>
              <w:t xml:space="preserve"> Low</w:t>
            </w:r>
          </w:p>
        </w:tc>
      </w:tr>
    </w:tbl>
    <w:p w14:paraId="25EA6B46" w14:textId="77777777" w:rsidR="004B625E" w:rsidRPr="004B625E" w:rsidRDefault="004B625E" w:rsidP="004B625E">
      <w:pPr>
        <w:rPr>
          <w:rFonts w:ascii="Times New Roman" w:hAnsi="Times New Roman" w:cs="Times New Roman"/>
          <w:sz w:val="18"/>
          <w:szCs w:val="18"/>
        </w:rPr>
      </w:pPr>
      <w:r w:rsidRPr="004B625E">
        <w:rPr>
          <w:rFonts w:ascii="Times New Roman" w:hAnsi="Times New Roman" w:cs="Times New Roman"/>
          <w:b/>
          <w:bCs/>
          <w:sz w:val="18"/>
          <w:szCs w:val="18"/>
        </w:rPr>
        <w:t>Certainty key</w:t>
      </w:r>
    </w:p>
    <w:p w14:paraId="2D223585" w14:textId="77777777" w:rsidR="004B625E" w:rsidRPr="004B625E" w:rsidRDefault="004B625E" w:rsidP="004B625E">
      <w:pPr>
        <w:numPr>
          <w:ilvl w:val="0"/>
          <w:numId w:val="1"/>
        </w:numPr>
        <w:rPr>
          <w:rFonts w:ascii="Times New Roman" w:hAnsi="Times New Roman" w:cs="Times New Roman"/>
          <w:sz w:val="18"/>
          <w:szCs w:val="18"/>
        </w:rPr>
      </w:pPr>
      <w:r w:rsidRPr="004B625E">
        <w:rPr>
          <w:rFonts w:ascii="Cambria Math" w:hAnsi="Cambria Math" w:cs="Cambria Math"/>
          <w:b/>
          <w:bCs/>
          <w:sz w:val="18"/>
          <w:szCs w:val="18"/>
        </w:rPr>
        <w:t>⊕⊕⊕⊕</w:t>
      </w:r>
      <w:r w:rsidRPr="004B625E">
        <w:rPr>
          <w:rFonts w:ascii="Times New Roman" w:hAnsi="Times New Roman" w:cs="Times New Roman"/>
          <w:b/>
          <w:bCs/>
          <w:sz w:val="18"/>
          <w:szCs w:val="18"/>
        </w:rPr>
        <w:t xml:space="preserve"> High</w:t>
      </w:r>
    </w:p>
    <w:p w14:paraId="146C0809" w14:textId="77777777" w:rsidR="004B625E" w:rsidRPr="004B625E" w:rsidRDefault="004B625E" w:rsidP="004B625E">
      <w:pPr>
        <w:numPr>
          <w:ilvl w:val="0"/>
          <w:numId w:val="1"/>
        </w:numPr>
        <w:rPr>
          <w:rFonts w:ascii="Times New Roman" w:hAnsi="Times New Roman" w:cs="Times New Roman"/>
          <w:sz w:val="18"/>
          <w:szCs w:val="18"/>
        </w:rPr>
      </w:pPr>
      <w:r w:rsidRPr="004B625E">
        <w:rPr>
          <w:rFonts w:ascii="Cambria Math" w:hAnsi="Cambria Math" w:cs="Cambria Math"/>
          <w:b/>
          <w:bCs/>
          <w:sz w:val="18"/>
          <w:szCs w:val="18"/>
        </w:rPr>
        <w:t>⊕⊕⊕◯</w:t>
      </w:r>
      <w:r w:rsidRPr="004B625E">
        <w:rPr>
          <w:rFonts w:ascii="Times New Roman" w:hAnsi="Times New Roman" w:cs="Times New Roman"/>
          <w:b/>
          <w:bCs/>
          <w:sz w:val="18"/>
          <w:szCs w:val="18"/>
        </w:rPr>
        <w:t xml:space="preserve"> Moderate</w:t>
      </w:r>
    </w:p>
    <w:p w14:paraId="0F7CF725" w14:textId="77777777" w:rsidR="004B625E" w:rsidRPr="004B625E" w:rsidRDefault="004B625E" w:rsidP="004B625E">
      <w:pPr>
        <w:numPr>
          <w:ilvl w:val="0"/>
          <w:numId w:val="1"/>
        </w:numPr>
        <w:rPr>
          <w:rFonts w:ascii="Times New Roman" w:hAnsi="Times New Roman" w:cs="Times New Roman"/>
          <w:sz w:val="18"/>
          <w:szCs w:val="18"/>
        </w:rPr>
      </w:pPr>
      <w:r w:rsidRPr="004B625E">
        <w:rPr>
          <w:rFonts w:ascii="Cambria Math" w:hAnsi="Cambria Math" w:cs="Cambria Math"/>
          <w:b/>
          <w:bCs/>
          <w:sz w:val="18"/>
          <w:szCs w:val="18"/>
        </w:rPr>
        <w:t>⊕⊕◯◯</w:t>
      </w:r>
      <w:r w:rsidRPr="004B625E">
        <w:rPr>
          <w:rFonts w:ascii="Times New Roman" w:hAnsi="Times New Roman" w:cs="Times New Roman"/>
          <w:b/>
          <w:bCs/>
          <w:sz w:val="18"/>
          <w:szCs w:val="18"/>
        </w:rPr>
        <w:t xml:space="preserve"> Low</w:t>
      </w:r>
    </w:p>
    <w:p w14:paraId="482210EC" w14:textId="77777777" w:rsidR="004B625E" w:rsidRPr="004B625E" w:rsidRDefault="004B625E" w:rsidP="004B625E">
      <w:pPr>
        <w:numPr>
          <w:ilvl w:val="0"/>
          <w:numId w:val="1"/>
        </w:numPr>
        <w:rPr>
          <w:rFonts w:ascii="Times New Roman" w:hAnsi="Times New Roman" w:cs="Times New Roman"/>
          <w:sz w:val="18"/>
          <w:szCs w:val="18"/>
        </w:rPr>
      </w:pPr>
      <w:r w:rsidRPr="004B625E">
        <w:rPr>
          <w:rFonts w:ascii="Cambria Math" w:hAnsi="Cambria Math" w:cs="Cambria Math"/>
          <w:b/>
          <w:bCs/>
          <w:sz w:val="18"/>
          <w:szCs w:val="18"/>
        </w:rPr>
        <w:t>⊕◯◯◯</w:t>
      </w:r>
      <w:r w:rsidRPr="004B625E">
        <w:rPr>
          <w:rFonts w:ascii="Times New Roman" w:hAnsi="Times New Roman" w:cs="Times New Roman"/>
          <w:b/>
          <w:bCs/>
          <w:sz w:val="18"/>
          <w:szCs w:val="18"/>
        </w:rPr>
        <w:t xml:space="preserve"> Very low</w:t>
      </w:r>
    </w:p>
    <w:p w14:paraId="5DEFF657" w14:textId="77777777" w:rsidR="004B625E" w:rsidRPr="004B625E" w:rsidRDefault="004B625E" w:rsidP="004B625E">
      <w:pPr>
        <w:rPr>
          <w:rFonts w:ascii="Times New Roman" w:hAnsi="Times New Roman" w:cs="Times New Roman"/>
          <w:sz w:val="18"/>
          <w:szCs w:val="18"/>
        </w:rPr>
      </w:pPr>
      <w:r w:rsidRPr="004B625E">
        <w:rPr>
          <w:rFonts w:ascii="Times New Roman" w:hAnsi="Times New Roman" w:cs="Times New Roman"/>
          <w:b/>
          <w:bCs/>
          <w:sz w:val="18"/>
          <w:szCs w:val="18"/>
        </w:rPr>
        <w:t>Downgrading key</w:t>
      </w:r>
    </w:p>
    <w:p w14:paraId="59CA41D1" w14:textId="77777777" w:rsidR="004B625E" w:rsidRPr="004B625E" w:rsidRDefault="004B625E" w:rsidP="004B625E">
      <w:pPr>
        <w:numPr>
          <w:ilvl w:val="0"/>
          <w:numId w:val="2"/>
        </w:numPr>
        <w:rPr>
          <w:rFonts w:ascii="Times New Roman" w:hAnsi="Times New Roman" w:cs="Times New Roman"/>
          <w:sz w:val="18"/>
          <w:szCs w:val="18"/>
        </w:rPr>
      </w:pPr>
      <w:r w:rsidRPr="004B625E">
        <w:rPr>
          <w:rFonts w:ascii="Times New Roman" w:hAnsi="Times New Roman" w:cs="Times New Roman"/>
          <w:b/>
          <w:bCs/>
          <w:sz w:val="18"/>
          <w:szCs w:val="18"/>
        </w:rPr>
        <w:t>Not serious</w:t>
      </w:r>
      <w:r w:rsidRPr="004B625E">
        <w:rPr>
          <w:rFonts w:ascii="Times New Roman" w:hAnsi="Times New Roman" w:cs="Times New Roman"/>
          <w:sz w:val="18"/>
          <w:szCs w:val="18"/>
        </w:rPr>
        <w:t xml:space="preserve"> = no downgrade</w:t>
      </w:r>
    </w:p>
    <w:p w14:paraId="3F4BE371" w14:textId="77777777" w:rsidR="004B625E" w:rsidRPr="004B625E" w:rsidRDefault="004B625E" w:rsidP="004B625E">
      <w:pPr>
        <w:numPr>
          <w:ilvl w:val="0"/>
          <w:numId w:val="2"/>
        </w:numPr>
        <w:rPr>
          <w:rFonts w:ascii="Times New Roman" w:hAnsi="Times New Roman" w:cs="Times New Roman"/>
          <w:sz w:val="18"/>
          <w:szCs w:val="18"/>
        </w:rPr>
      </w:pPr>
      <w:r w:rsidRPr="004B625E">
        <w:rPr>
          <w:rFonts w:ascii="Times New Roman" w:hAnsi="Times New Roman" w:cs="Times New Roman"/>
          <w:b/>
          <w:bCs/>
          <w:sz w:val="18"/>
          <w:szCs w:val="18"/>
        </w:rPr>
        <w:t>Serious</w:t>
      </w:r>
      <w:r w:rsidRPr="004B625E">
        <w:rPr>
          <w:rFonts w:ascii="Times New Roman" w:hAnsi="Times New Roman" w:cs="Times New Roman"/>
          <w:sz w:val="18"/>
          <w:szCs w:val="18"/>
        </w:rPr>
        <w:t xml:space="preserve"> = downgraded by 1 level</w:t>
      </w:r>
    </w:p>
    <w:p w14:paraId="5D612AD5" w14:textId="77777777" w:rsidR="004B625E" w:rsidRPr="004B625E" w:rsidRDefault="004B625E" w:rsidP="004B625E">
      <w:pPr>
        <w:numPr>
          <w:ilvl w:val="0"/>
          <w:numId w:val="2"/>
        </w:numPr>
        <w:rPr>
          <w:rFonts w:ascii="Times New Roman" w:hAnsi="Times New Roman" w:cs="Times New Roman"/>
          <w:sz w:val="18"/>
          <w:szCs w:val="18"/>
        </w:rPr>
      </w:pPr>
      <w:r w:rsidRPr="004B625E">
        <w:rPr>
          <w:rFonts w:ascii="Times New Roman" w:hAnsi="Times New Roman" w:cs="Times New Roman"/>
          <w:b/>
          <w:bCs/>
          <w:sz w:val="18"/>
          <w:szCs w:val="18"/>
        </w:rPr>
        <w:t>Very serious</w:t>
      </w:r>
      <w:r w:rsidRPr="004B625E">
        <w:rPr>
          <w:rFonts w:ascii="Times New Roman" w:hAnsi="Times New Roman" w:cs="Times New Roman"/>
          <w:sz w:val="18"/>
          <w:szCs w:val="18"/>
        </w:rPr>
        <w:t xml:space="preserve"> = downgraded by 2 levels</w:t>
      </w:r>
    </w:p>
    <w:p w14:paraId="14081A60" w14:textId="77777777" w:rsidR="004B625E" w:rsidRPr="004B625E" w:rsidRDefault="004B625E" w:rsidP="004B625E">
      <w:pPr>
        <w:rPr>
          <w:rFonts w:ascii="Times New Roman" w:hAnsi="Times New Roman" w:cs="Times New Roman"/>
          <w:b/>
          <w:bCs/>
          <w:sz w:val="18"/>
          <w:szCs w:val="18"/>
        </w:rPr>
      </w:pPr>
      <w:r w:rsidRPr="004B625E">
        <w:rPr>
          <w:rFonts w:ascii="Times New Roman" w:hAnsi="Times New Roman" w:cs="Times New Roman"/>
          <w:b/>
          <w:bCs/>
          <w:sz w:val="18"/>
          <w:szCs w:val="18"/>
        </w:rPr>
        <w:t>Justification for downgrading</w:t>
      </w:r>
    </w:p>
    <w:p w14:paraId="15E89A1D" w14:textId="77777777" w:rsidR="004B625E" w:rsidRPr="004B625E" w:rsidRDefault="004B625E" w:rsidP="004B625E">
      <w:pPr>
        <w:numPr>
          <w:ilvl w:val="0"/>
          <w:numId w:val="4"/>
        </w:numPr>
        <w:rPr>
          <w:rFonts w:ascii="Times New Roman" w:hAnsi="Times New Roman" w:cs="Times New Roman"/>
          <w:sz w:val="18"/>
          <w:szCs w:val="18"/>
        </w:rPr>
      </w:pPr>
      <w:r w:rsidRPr="004B625E">
        <w:rPr>
          <w:rFonts w:ascii="Times New Roman" w:hAnsi="Times New Roman" w:cs="Times New Roman"/>
          <w:b/>
          <w:bCs/>
          <w:sz w:val="18"/>
          <w:szCs w:val="18"/>
        </w:rPr>
        <w:t>Risk of bias</w:t>
      </w:r>
    </w:p>
    <w:p w14:paraId="176CF7B8" w14:textId="77777777" w:rsidR="004B625E" w:rsidRPr="004B625E" w:rsidRDefault="004B625E" w:rsidP="004B625E">
      <w:pPr>
        <w:numPr>
          <w:ilvl w:val="1"/>
          <w:numId w:val="4"/>
        </w:numPr>
        <w:rPr>
          <w:rFonts w:ascii="Times New Roman" w:hAnsi="Times New Roman" w:cs="Times New Roman"/>
          <w:sz w:val="18"/>
          <w:szCs w:val="18"/>
        </w:rPr>
      </w:pPr>
      <w:r w:rsidRPr="004B625E">
        <w:rPr>
          <w:rFonts w:ascii="Times New Roman" w:hAnsi="Times New Roman" w:cs="Times New Roman"/>
          <w:sz w:val="18"/>
          <w:szCs w:val="18"/>
        </w:rPr>
        <w:t xml:space="preserve">Downgraded as </w:t>
      </w:r>
      <w:r w:rsidRPr="004B625E">
        <w:rPr>
          <w:rFonts w:ascii="Times New Roman" w:hAnsi="Times New Roman" w:cs="Times New Roman"/>
          <w:b/>
          <w:bCs/>
          <w:sz w:val="18"/>
          <w:szCs w:val="18"/>
        </w:rPr>
        <w:t>serious</w:t>
      </w:r>
      <w:r w:rsidRPr="004B625E">
        <w:rPr>
          <w:rFonts w:ascii="Times New Roman" w:hAnsi="Times New Roman" w:cs="Times New Roman"/>
          <w:sz w:val="18"/>
          <w:szCs w:val="18"/>
        </w:rPr>
        <w:t xml:space="preserve"> for positive surgical margin, intravesical recurrence, cancer-specific survival, and lymph node metastasis because these outcomes were derived from retrospective non-randomized cohorts with residual confounding and selection bias demonstrated on ROBINS-I.</w:t>
      </w:r>
    </w:p>
    <w:p w14:paraId="4A6815A0" w14:textId="77777777" w:rsidR="004B625E" w:rsidRPr="004B625E" w:rsidRDefault="004B625E" w:rsidP="004B625E">
      <w:pPr>
        <w:numPr>
          <w:ilvl w:val="1"/>
          <w:numId w:val="4"/>
        </w:numPr>
        <w:rPr>
          <w:rFonts w:ascii="Times New Roman" w:hAnsi="Times New Roman" w:cs="Times New Roman"/>
          <w:sz w:val="18"/>
          <w:szCs w:val="18"/>
        </w:rPr>
      </w:pPr>
      <w:r w:rsidRPr="004B625E">
        <w:rPr>
          <w:rFonts w:ascii="Times New Roman" w:hAnsi="Times New Roman" w:cs="Times New Roman"/>
          <w:sz w:val="18"/>
          <w:szCs w:val="18"/>
        </w:rPr>
        <w:lastRenderedPageBreak/>
        <w:t xml:space="preserve">Rated </w:t>
      </w:r>
      <w:r w:rsidRPr="004B625E">
        <w:rPr>
          <w:rFonts w:ascii="Times New Roman" w:hAnsi="Times New Roman" w:cs="Times New Roman"/>
          <w:b/>
          <w:bCs/>
          <w:sz w:val="18"/>
          <w:szCs w:val="18"/>
        </w:rPr>
        <w:t>not serious</w:t>
      </w:r>
      <w:r w:rsidRPr="004B625E">
        <w:rPr>
          <w:rFonts w:ascii="Times New Roman" w:hAnsi="Times New Roman" w:cs="Times New Roman"/>
          <w:sz w:val="18"/>
          <w:szCs w:val="18"/>
        </w:rPr>
        <w:t xml:space="preserve"> for muscle-invasive disease and high-grade disease because these were objective pathologic endpoints with more consistent ascertainment and less susceptibility to differential outcome measurement.</w:t>
      </w:r>
    </w:p>
    <w:p w14:paraId="1612756B" w14:textId="77777777" w:rsidR="004B625E" w:rsidRPr="004B625E" w:rsidRDefault="004B625E" w:rsidP="004B625E">
      <w:pPr>
        <w:numPr>
          <w:ilvl w:val="0"/>
          <w:numId w:val="4"/>
        </w:numPr>
        <w:rPr>
          <w:rFonts w:ascii="Times New Roman" w:hAnsi="Times New Roman" w:cs="Times New Roman"/>
          <w:sz w:val="18"/>
          <w:szCs w:val="18"/>
        </w:rPr>
      </w:pPr>
      <w:r w:rsidRPr="004B625E">
        <w:rPr>
          <w:rFonts w:ascii="Times New Roman" w:hAnsi="Times New Roman" w:cs="Times New Roman"/>
          <w:b/>
          <w:bCs/>
          <w:sz w:val="18"/>
          <w:szCs w:val="18"/>
        </w:rPr>
        <w:t>Inconsistency</w:t>
      </w:r>
    </w:p>
    <w:p w14:paraId="5D2F38A0" w14:textId="77777777" w:rsidR="004B625E" w:rsidRPr="004B625E" w:rsidRDefault="004B625E" w:rsidP="004B625E">
      <w:pPr>
        <w:numPr>
          <w:ilvl w:val="1"/>
          <w:numId w:val="4"/>
        </w:numPr>
        <w:rPr>
          <w:rFonts w:ascii="Times New Roman" w:hAnsi="Times New Roman" w:cs="Times New Roman"/>
          <w:sz w:val="18"/>
          <w:szCs w:val="18"/>
        </w:rPr>
      </w:pPr>
      <w:r w:rsidRPr="004B625E">
        <w:rPr>
          <w:rFonts w:ascii="Times New Roman" w:hAnsi="Times New Roman" w:cs="Times New Roman"/>
          <w:sz w:val="18"/>
          <w:szCs w:val="18"/>
        </w:rPr>
        <w:t xml:space="preserve">Downgraded as </w:t>
      </w:r>
      <w:r w:rsidRPr="004B625E">
        <w:rPr>
          <w:rFonts w:ascii="Times New Roman" w:hAnsi="Times New Roman" w:cs="Times New Roman"/>
          <w:b/>
          <w:bCs/>
          <w:sz w:val="18"/>
          <w:szCs w:val="18"/>
        </w:rPr>
        <w:t>serious</w:t>
      </w:r>
      <w:r w:rsidRPr="004B625E">
        <w:rPr>
          <w:rFonts w:ascii="Times New Roman" w:hAnsi="Times New Roman" w:cs="Times New Roman"/>
          <w:sz w:val="18"/>
          <w:szCs w:val="18"/>
        </w:rPr>
        <w:t xml:space="preserve"> only for </w:t>
      </w:r>
      <w:r w:rsidRPr="004B625E">
        <w:rPr>
          <w:rFonts w:ascii="Times New Roman" w:hAnsi="Times New Roman" w:cs="Times New Roman"/>
          <w:b/>
          <w:bCs/>
          <w:sz w:val="18"/>
          <w:szCs w:val="18"/>
        </w:rPr>
        <w:t>intravesical recurrence</w:t>
      </w:r>
      <w:r w:rsidRPr="004B625E">
        <w:rPr>
          <w:rFonts w:ascii="Times New Roman" w:hAnsi="Times New Roman" w:cs="Times New Roman"/>
          <w:sz w:val="18"/>
          <w:szCs w:val="18"/>
        </w:rPr>
        <w:t>, which showed the highest heterogeneity (</w:t>
      </w:r>
      <w:r w:rsidRPr="004B625E">
        <w:rPr>
          <w:rFonts w:ascii="Times New Roman" w:hAnsi="Times New Roman" w:cs="Times New Roman"/>
          <w:b/>
          <w:bCs/>
          <w:sz w:val="18"/>
          <w:szCs w:val="18"/>
        </w:rPr>
        <w:t>I² = 75%</w:t>
      </w:r>
      <w:r w:rsidRPr="004B625E">
        <w:rPr>
          <w:rFonts w:ascii="Times New Roman" w:hAnsi="Times New Roman" w:cs="Times New Roman"/>
          <w:sz w:val="18"/>
          <w:szCs w:val="18"/>
        </w:rPr>
        <w:t>).</w:t>
      </w:r>
    </w:p>
    <w:p w14:paraId="779C3926" w14:textId="77777777" w:rsidR="004B625E" w:rsidRPr="004B625E" w:rsidRDefault="004B625E" w:rsidP="004B625E">
      <w:pPr>
        <w:numPr>
          <w:ilvl w:val="1"/>
          <w:numId w:val="4"/>
        </w:numPr>
        <w:rPr>
          <w:rFonts w:ascii="Times New Roman" w:hAnsi="Times New Roman" w:cs="Times New Roman"/>
          <w:sz w:val="18"/>
          <w:szCs w:val="18"/>
        </w:rPr>
      </w:pPr>
      <w:r w:rsidRPr="004B625E">
        <w:rPr>
          <w:rFonts w:ascii="Times New Roman" w:hAnsi="Times New Roman" w:cs="Times New Roman"/>
          <w:sz w:val="18"/>
          <w:szCs w:val="18"/>
        </w:rPr>
        <w:t xml:space="preserve">Rated </w:t>
      </w:r>
      <w:r w:rsidRPr="004B625E">
        <w:rPr>
          <w:rFonts w:ascii="Times New Roman" w:hAnsi="Times New Roman" w:cs="Times New Roman"/>
          <w:b/>
          <w:bCs/>
          <w:sz w:val="18"/>
          <w:szCs w:val="18"/>
        </w:rPr>
        <w:t>not serious</w:t>
      </w:r>
      <w:r w:rsidRPr="004B625E">
        <w:rPr>
          <w:rFonts w:ascii="Times New Roman" w:hAnsi="Times New Roman" w:cs="Times New Roman"/>
          <w:sz w:val="18"/>
          <w:szCs w:val="18"/>
        </w:rPr>
        <w:t xml:space="preserve"> for the remaining outcomes because heterogeneity was low or absent.</w:t>
      </w:r>
    </w:p>
    <w:p w14:paraId="3F495DA4" w14:textId="77777777" w:rsidR="004B625E" w:rsidRPr="004B625E" w:rsidRDefault="004B625E" w:rsidP="004B625E">
      <w:pPr>
        <w:numPr>
          <w:ilvl w:val="0"/>
          <w:numId w:val="4"/>
        </w:numPr>
        <w:rPr>
          <w:rFonts w:ascii="Times New Roman" w:hAnsi="Times New Roman" w:cs="Times New Roman"/>
          <w:sz w:val="18"/>
          <w:szCs w:val="18"/>
        </w:rPr>
      </w:pPr>
      <w:r w:rsidRPr="004B625E">
        <w:rPr>
          <w:rFonts w:ascii="Times New Roman" w:hAnsi="Times New Roman" w:cs="Times New Roman"/>
          <w:b/>
          <w:bCs/>
          <w:sz w:val="18"/>
          <w:szCs w:val="18"/>
        </w:rPr>
        <w:t>Indirectness</w:t>
      </w:r>
    </w:p>
    <w:p w14:paraId="7C9A39B6" w14:textId="77777777" w:rsidR="004B625E" w:rsidRPr="004B625E" w:rsidRDefault="004B625E" w:rsidP="004B625E">
      <w:pPr>
        <w:numPr>
          <w:ilvl w:val="1"/>
          <w:numId w:val="4"/>
        </w:numPr>
        <w:rPr>
          <w:rFonts w:ascii="Times New Roman" w:hAnsi="Times New Roman" w:cs="Times New Roman"/>
          <w:sz w:val="18"/>
          <w:szCs w:val="18"/>
        </w:rPr>
      </w:pPr>
      <w:r w:rsidRPr="004B625E">
        <w:rPr>
          <w:rFonts w:ascii="Times New Roman" w:hAnsi="Times New Roman" w:cs="Times New Roman"/>
          <w:sz w:val="18"/>
          <w:szCs w:val="18"/>
        </w:rPr>
        <w:t xml:space="preserve">Rated </w:t>
      </w:r>
      <w:r w:rsidRPr="004B625E">
        <w:rPr>
          <w:rFonts w:ascii="Times New Roman" w:hAnsi="Times New Roman" w:cs="Times New Roman"/>
          <w:b/>
          <w:bCs/>
          <w:sz w:val="18"/>
          <w:szCs w:val="18"/>
        </w:rPr>
        <w:t>not serious</w:t>
      </w:r>
      <w:r w:rsidRPr="004B625E">
        <w:rPr>
          <w:rFonts w:ascii="Times New Roman" w:hAnsi="Times New Roman" w:cs="Times New Roman"/>
          <w:sz w:val="18"/>
          <w:szCs w:val="18"/>
        </w:rPr>
        <w:t xml:space="preserve"> across outcomes because the included studies directly addressed the review question, population, intervention, comparator, and clinically relevant endpoints.</w:t>
      </w:r>
    </w:p>
    <w:p w14:paraId="43A4F2DA" w14:textId="77777777" w:rsidR="004B625E" w:rsidRPr="004B625E" w:rsidRDefault="004B625E" w:rsidP="004B625E">
      <w:pPr>
        <w:numPr>
          <w:ilvl w:val="0"/>
          <w:numId w:val="4"/>
        </w:numPr>
        <w:rPr>
          <w:rFonts w:ascii="Times New Roman" w:hAnsi="Times New Roman" w:cs="Times New Roman"/>
          <w:sz w:val="18"/>
          <w:szCs w:val="18"/>
        </w:rPr>
      </w:pPr>
      <w:r w:rsidRPr="004B625E">
        <w:rPr>
          <w:rFonts w:ascii="Times New Roman" w:hAnsi="Times New Roman" w:cs="Times New Roman"/>
          <w:b/>
          <w:bCs/>
          <w:sz w:val="18"/>
          <w:szCs w:val="18"/>
        </w:rPr>
        <w:t>Imprecision</w:t>
      </w:r>
    </w:p>
    <w:p w14:paraId="2A05793A" w14:textId="77777777" w:rsidR="004B625E" w:rsidRPr="004B625E" w:rsidRDefault="004B625E" w:rsidP="004B625E">
      <w:pPr>
        <w:numPr>
          <w:ilvl w:val="1"/>
          <w:numId w:val="4"/>
        </w:numPr>
        <w:rPr>
          <w:rFonts w:ascii="Times New Roman" w:hAnsi="Times New Roman" w:cs="Times New Roman"/>
          <w:sz w:val="18"/>
          <w:szCs w:val="18"/>
        </w:rPr>
      </w:pPr>
      <w:r w:rsidRPr="004B625E">
        <w:rPr>
          <w:rFonts w:ascii="Times New Roman" w:hAnsi="Times New Roman" w:cs="Times New Roman"/>
          <w:sz w:val="18"/>
          <w:szCs w:val="18"/>
        </w:rPr>
        <w:t xml:space="preserve">Downgraded as </w:t>
      </w:r>
      <w:r w:rsidRPr="004B625E">
        <w:rPr>
          <w:rFonts w:ascii="Times New Roman" w:hAnsi="Times New Roman" w:cs="Times New Roman"/>
          <w:b/>
          <w:bCs/>
          <w:sz w:val="18"/>
          <w:szCs w:val="18"/>
        </w:rPr>
        <w:t>serious</w:t>
      </w:r>
      <w:r w:rsidRPr="004B625E">
        <w:rPr>
          <w:rFonts w:ascii="Times New Roman" w:hAnsi="Times New Roman" w:cs="Times New Roman"/>
          <w:sz w:val="18"/>
          <w:szCs w:val="18"/>
        </w:rPr>
        <w:t xml:space="preserve"> for positive surgical margin, intravesical recurrence, cancer-specific survival, and lymph node metastasis because the confidence intervals crossed the line of no effect and remained sufficiently wide to include potentially important benefit or harm.</w:t>
      </w:r>
    </w:p>
    <w:p w14:paraId="2F086C5B" w14:textId="77777777" w:rsidR="004B625E" w:rsidRPr="004B625E" w:rsidRDefault="004B625E" w:rsidP="004B625E">
      <w:pPr>
        <w:numPr>
          <w:ilvl w:val="1"/>
          <w:numId w:val="4"/>
        </w:numPr>
        <w:rPr>
          <w:rFonts w:ascii="Times New Roman" w:hAnsi="Times New Roman" w:cs="Times New Roman"/>
          <w:sz w:val="18"/>
          <w:szCs w:val="18"/>
        </w:rPr>
      </w:pPr>
      <w:r w:rsidRPr="004B625E">
        <w:rPr>
          <w:rFonts w:ascii="Times New Roman" w:hAnsi="Times New Roman" w:cs="Times New Roman"/>
          <w:sz w:val="18"/>
          <w:szCs w:val="18"/>
        </w:rPr>
        <w:t xml:space="preserve">Rated </w:t>
      </w:r>
      <w:r w:rsidRPr="004B625E">
        <w:rPr>
          <w:rFonts w:ascii="Times New Roman" w:hAnsi="Times New Roman" w:cs="Times New Roman"/>
          <w:b/>
          <w:bCs/>
          <w:sz w:val="18"/>
          <w:szCs w:val="18"/>
        </w:rPr>
        <w:t>not serious</w:t>
      </w:r>
      <w:r w:rsidRPr="004B625E">
        <w:rPr>
          <w:rFonts w:ascii="Times New Roman" w:hAnsi="Times New Roman" w:cs="Times New Roman"/>
          <w:sz w:val="18"/>
          <w:szCs w:val="18"/>
        </w:rPr>
        <w:t xml:space="preserve"> for muscle-invasive disease and high-grade disease because the pooled estimates were precise and confidence intervals were relatively narrow around the null.</w:t>
      </w:r>
    </w:p>
    <w:p w14:paraId="7131A111" w14:textId="77777777" w:rsidR="004B625E" w:rsidRPr="004B625E" w:rsidRDefault="004B625E" w:rsidP="004B625E">
      <w:pPr>
        <w:numPr>
          <w:ilvl w:val="0"/>
          <w:numId w:val="4"/>
        </w:numPr>
        <w:rPr>
          <w:rFonts w:ascii="Times New Roman" w:hAnsi="Times New Roman" w:cs="Times New Roman"/>
          <w:sz w:val="18"/>
          <w:szCs w:val="18"/>
        </w:rPr>
      </w:pPr>
      <w:r w:rsidRPr="004B625E">
        <w:rPr>
          <w:rFonts w:ascii="Times New Roman" w:hAnsi="Times New Roman" w:cs="Times New Roman"/>
          <w:b/>
          <w:bCs/>
          <w:sz w:val="18"/>
          <w:szCs w:val="18"/>
        </w:rPr>
        <w:t>Publication bias</w:t>
      </w:r>
    </w:p>
    <w:p w14:paraId="17FD0A5B" w14:textId="77777777" w:rsidR="004B625E" w:rsidRPr="004B625E" w:rsidRDefault="004B625E" w:rsidP="004B625E">
      <w:pPr>
        <w:numPr>
          <w:ilvl w:val="1"/>
          <w:numId w:val="4"/>
        </w:numPr>
        <w:rPr>
          <w:rFonts w:ascii="Times New Roman" w:hAnsi="Times New Roman" w:cs="Times New Roman"/>
          <w:sz w:val="18"/>
          <w:szCs w:val="18"/>
        </w:rPr>
      </w:pPr>
      <w:r w:rsidRPr="004B625E">
        <w:rPr>
          <w:rFonts w:ascii="Times New Roman" w:hAnsi="Times New Roman" w:cs="Times New Roman"/>
          <w:sz w:val="18"/>
          <w:szCs w:val="18"/>
        </w:rPr>
        <w:t xml:space="preserve">Rated </w:t>
      </w:r>
      <w:r w:rsidRPr="004B625E">
        <w:rPr>
          <w:rFonts w:ascii="Times New Roman" w:hAnsi="Times New Roman" w:cs="Times New Roman"/>
          <w:b/>
          <w:bCs/>
          <w:sz w:val="18"/>
          <w:szCs w:val="18"/>
        </w:rPr>
        <w:t>not serious</w:t>
      </w:r>
      <w:r w:rsidRPr="004B625E">
        <w:rPr>
          <w:rFonts w:ascii="Times New Roman" w:hAnsi="Times New Roman" w:cs="Times New Roman"/>
          <w:sz w:val="18"/>
          <w:szCs w:val="18"/>
        </w:rPr>
        <w:t xml:space="preserve"> for all outcomes because no clear signal of publication bias was detected, although formal assessment was limited by the small number of studies per outcome.</w:t>
      </w:r>
    </w:p>
    <w:p w14:paraId="2A7539B7" w14:textId="77777777" w:rsidR="004B625E" w:rsidRDefault="004B625E"/>
    <w:sectPr w:rsidR="004B6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E74FC"/>
    <w:multiLevelType w:val="multilevel"/>
    <w:tmpl w:val="7CC863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0C1277"/>
    <w:multiLevelType w:val="multilevel"/>
    <w:tmpl w:val="11122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822B37"/>
    <w:multiLevelType w:val="multilevel"/>
    <w:tmpl w:val="5180E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BE1185"/>
    <w:multiLevelType w:val="multilevel"/>
    <w:tmpl w:val="92541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2520604">
    <w:abstractNumId w:val="2"/>
  </w:num>
  <w:num w:numId="2" w16cid:durableId="1806120999">
    <w:abstractNumId w:val="1"/>
  </w:num>
  <w:num w:numId="3" w16cid:durableId="825820147">
    <w:abstractNumId w:val="3"/>
  </w:num>
  <w:num w:numId="4" w16cid:durableId="1043870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A74"/>
    <w:rsid w:val="000B4174"/>
    <w:rsid w:val="000F3235"/>
    <w:rsid w:val="00120AA7"/>
    <w:rsid w:val="0018376D"/>
    <w:rsid w:val="0043791C"/>
    <w:rsid w:val="004B625E"/>
    <w:rsid w:val="00594EA0"/>
    <w:rsid w:val="005A4A74"/>
    <w:rsid w:val="00935354"/>
    <w:rsid w:val="00993A68"/>
    <w:rsid w:val="00A67C2C"/>
    <w:rsid w:val="00C67994"/>
    <w:rsid w:val="00C87F02"/>
    <w:rsid w:val="00D100EE"/>
    <w:rsid w:val="00D90773"/>
    <w:rsid w:val="00F873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1CA33"/>
  <w15:chartTrackingRefBased/>
  <w15:docId w15:val="{4DA0454D-C0DB-45DC-A968-04735F94D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4A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A4A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A4A7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A4A7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A4A7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A4A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4A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4A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4A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4A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A4A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A4A7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A4A7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A4A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A4A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4A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4A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4A74"/>
    <w:rPr>
      <w:rFonts w:eastAsiaTheme="majorEastAsia" w:cstheme="majorBidi"/>
      <w:color w:val="272727" w:themeColor="text1" w:themeTint="D8"/>
    </w:rPr>
  </w:style>
  <w:style w:type="paragraph" w:styleId="Title">
    <w:name w:val="Title"/>
    <w:basedOn w:val="Normal"/>
    <w:next w:val="Normal"/>
    <w:link w:val="TitleChar"/>
    <w:uiPriority w:val="10"/>
    <w:qFormat/>
    <w:rsid w:val="005A4A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4A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4A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4A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4A74"/>
    <w:pPr>
      <w:spacing w:before="160"/>
      <w:jc w:val="center"/>
    </w:pPr>
    <w:rPr>
      <w:i/>
      <w:iCs/>
      <w:color w:val="404040" w:themeColor="text1" w:themeTint="BF"/>
    </w:rPr>
  </w:style>
  <w:style w:type="character" w:customStyle="1" w:styleId="QuoteChar">
    <w:name w:val="Quote Char"/>
    <w:basedOn w:val="DefaultParagraphFont"/>
    <w:link w:val="Quote"/>
    <w:uiPriority w:val="29"/>
    <w:rsid w:val="005A4A74"/>
    <w:rPr>
      <w:i/>
      <w:iCs/>
      <w:color w:val="404040" w:themeColor="text1" w:themeTint="BF"/>
    </w:rPr>
  </w:style>
  <w:style w:type="paragraph" w:styleId="ListParagraph">
    <w:name w:val="List Paragraph"/>
    <w:basedOn w:val="Normal"/>
    <w:uiPriority w:val="34"/>
    <w:qFormat/>
    <w:rsid w:val="005A4A74"/>
    <w:pPr>
      <w:ind w:left="720"/>
      <w:contextualSpacing/>
    </w:pPr>
  </w:style>
  <w:style w:type="character" w:styleId="IntenseEmphasis">
    <w:name w:val="Intense Emphasis"/>
    <w:basedOn w:val="DefaultParagraphFont"/>
    <w:uiPriority w:val="21"/>
    <w:qFormat/>
    <w:rsid w:val="005A4A74"/>
    <w:rPr>
      <w:i/>
      <w:iCs/>
      <w:color w:val="2F5496" w:themeColor="accent1" w:themeShade="BF"/>
    </w:rPr>
  </w:style>
  <w:style w:type="paragraph" w:styleId="IntenseQuote">
    <w:name w:val="Intense Quote"/>
    <w:basedOn w:val="Normal"/>
    <w:next w:val="Normal"/>
    <w:link w:val="IntenseQuoteChar"/>
    <w:uiPriority w:val="30"/>
    <w:qFormat/>
    <w:rsid w:val="005A4A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A4A74"/>
    <w:rPr>
      <w:i/>
      <w:iCs/>
      <w:color w:val="2F5496" w:themeColor="accent1" w:themeShade="BF"/>
    </w:rPr>
  </w:style>
  <w:style w:type="character" w:styleId="IntenseReference">
    <w:name w:val="Intense Reference"/>
    <w:basedOn w:val="DefaultParagraphFont"/>
    <w:uiPriority w:val="32"/>
    <w:qFormat/>
    <w:rsid w:val="005A4A74"/>
    <w:rPr>
      <w:b/>
      <w:bCs/>
      <w:smallCaps/>
      <w:color w:val="2F5496" w:themeColor="accent1" w:themeShade="BF"/>
      <w:spacing w:val="5"/>
    </w:rPr>
  </w:style>
  <w:style w:type="table" w:styleId="TableGrid">
    <w:name w:val="Table Grid"/>
    <w:basedOn w:val="TableNormal"/>
    <w:uiPriority w:val="39"/>
    <w:rsid w:val="005A4A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774</Words>
  <Characters>4417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2026-02-27T06:00:00Z</dcterms:created>
  <dcterms:modified xsi:type="dcterms:W3CDTF">2026-02-27T21:27:00Z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96f2ab87-30dc-42cf-b1d5-2e85e8a4be09</vt:lpwstr>
  </property>
</Properties>
</file>