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B3CBE" w14:textId="55D4FEAA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Supplementary Table S1. Univariate Cox proportional hazards analysis for locoregional recurrence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"/>
        <w:gridCol w:w="1672"/>
        <w:gridCol w:w="1627"/>
        <w:gridCol w:w="2228"/>
        <w:gridCol w:w="731"/>
      </w:tblGrid>
      <w:tr w:rsidR="00BE612E" w:rsidRPr="003C7F4C" w14:paraId="3419D376" w14:textId="77777777" w:rsidTr="00797A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4629CE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  <w:tc>
          <w:tcPr>
            <w:tcW w:w="0" w:type="auto"/>
            <w:vAlign w:val="center"/>
            <w:hideMark/>
          </w:tcPr>
          <w:p w14:paraId="1DBE8327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30BA354D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Hazard ratio (HR)</w:t>
            </w:r>
          </w:p>
        </w:tc>
        <w:tc>
          <w:tcPr>
            <w:tcW w:w="0" w:type="auto"/>
            <w:vAlign w:val="center"/>
            <w:hideMark/>
          </w:tcPr>
          <w:p w14:paraId="729BA569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95% Confidence interval</w:t>
            </w:r>
          </w:p>
        </w:tc>
        <w:tc>
          <w:tcPr>
            <w:tcW w:w="0" w:type="auto"/>
            <w:vAlign w:val="center"/>
            <w:hideMark/>
          </w:tcPr>
          <w:p w14:paraId="58259033" w14:textId="5712F348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p</w:t>
            </w:r>
            <w:r w:rsidR="006D191B" w:rsidRPr="003C7F4C">
              <w:rPr>
                <w:rFonts w:ascii="Arial" w:hAnsi="Arial" w:cs="Arial"/>
                <w:sz w:val="20"/>
                <w:szCs w:val="20"/>
              </w:rPr>
              <w:t>-</w:t>
            </w:r>
            <w:r w:rsidRPr="003C7F4C">
              <w:rPr>
                <w:rFonts w:ascii="Arial" w:hAnsi="Arial" w:cs="Arial"/>
                <w:sz w:val="20"/>
                <w:szCs w:val="20"/>
              </w:rPr>
              <w:t>value</w:t>
            </w:r>
          </w:p>
        </w:tc>
      </w:tr>
      <w:tr w:rsidR="00BE612E" w:rsidRPr="003C7F4C" w14:paraId="0A5D99EF" w14:textId="77777777" w:rsidTr="00797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23506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True LRR</w:t>
            </w:r>
          </w:p>
        </w:tc>
        <w:tc>
          <w:tcPr>
            <w:tcW w:w="0" w:type="auto"/>
            <w:vAlign w:val="center"/>
            <w:hideMark/>
          </w:tcPr>
          <w:p w14:paraId="64491B3E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NAT (vs non-NAT)</w:t>
            </w:r>
          </w:p>
        </w:tc>
        <w:tc>
          <w:tcPr>
            <w:tcW w:w="0" w:type="auto"/>
            <w:vAlign w:val="center"/>
            <w:hideMark/>
          </w:tcPr>
          <w:p w14:paraId="63A70139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0" w:type="auto"/>
            <w:vAlign w:val="center"/>
            <w:hideMark/>
          </w:tcPr>
          <w:p w14:paraId="18E6D089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1.41–4.65</w:t>
            </w:r>
          </w:p>
        </w:tc>
        <w:tc>
          <w:tcPr>
            <w:tcW w:w="0" w:type="auto"/>
            <w:vAlign w:val="center"/>
            <w:hideMark/>
          </w:tcPr>
          <w:p w14:paraId="69DACFAA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BE612E" w:rsidRPr="003C7F4C" w14:paraId="10B8250A" w14:textId="77777777" w:rsidTr="00797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70BE3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Any LRR</w:t>
            </w:r>
          </w:p>
        </w:tc>
        <w:tc>
          <w:tcPr>
            <w:tcW w:w="0" w:type="auto"/>
            <w:vAlign w:val="center"/>
            <w:hideMark/>
          </w:tcPr>
          <w:p w14:paraId="11BFE7CC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NAT (vs non-NAT)</w:t>
            </w:r>
          </w:p>
        </w:tc>
        <w:tc>
          <w:tcPr>
            <w:tcW w:w="0" w:type="auto"/>
            <w:vAlign w:val="center"/>
            <w:hideMark/>
          </w:tcPr>
          <w:p w14:paraId="0A2C38E8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0" w:type="auto"/>
            <w:vAlign w:val="center"/>
            <w:hideMark/>
          </w:tcPr>
          <w:p w14:paraId="5D8FCDCF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1.21–3.23</w:t>
            </w:r>
          </w:p>
        </w:tc>
        <w:tc>
          <w:tcPr>
            <w:tcW w:w="0" w:type="auto"/>
            <w:vAlign w:val="center"/>
            <w:hideMark/>
          </w:tcPr>
          <w:p w14:paraId="70D75A82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</w:tr>
    </w:tbl>
    <w:p w14:paraId="0371B532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Univariate Cox proportional hazards models were used.</w:t>
      </w:r>
    </w:p>
    <w:p w14:paraId="3C40FA5C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Non-NAT was set as the reference category.</w:t>
      </w:r>
    </w:p>
    <w:p w14:paraId="23D161EE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True locoregional recurrence (True LRR) was defined as isolated local and/or regional</w:t>
      </w:r>
    </w:p>
    <w:p w14:paraId="32A6BE61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recurrence without distant metastasis.</w:t>
      </w:r>
    </w:p>
    <w:p w14:paraId="41E25DB0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Any locoregional recurrence (Any LRR) included all local and/or regional recurrences,</w:t>
      </w:r>
    </w:p>
    <w:p w14:paraId="24310999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regardless of the presence of synchronous distant metastasis.</w:t>
      </w:r>
    </w:p>
    <w:p w14:paraId="43D57731" w14:textId="77777777" w:rsidR="00C83D02" w:rsidRPr="003C7F4C" w:rsidRDefault="00C83D02" w:rsidP="00BE612E">
      <w:pPr>
        <w:rPr>
          <w:rFonts w:ascii="Arial" w:hAnsi="Arial" w:cs="Arial"/>
          <w:sz w:val="20"/>
          <w:szCs w:val="20"/>
        </w:rPr>
      </w:pPr>
    </w:p>
    <w:p w14:paraId="5CCAF319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65AF4515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0CA91FF8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5121CE0E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02DD35C1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438EBCCE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249590C9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6A502B88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23422D0F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4913E297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69636DE6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00B2B31E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17DD4A2C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lastRenderedPageBreak/>
        <w:t>Supplementary Table S2. Patterns of locoregional recurrence according to the use of neoadjuvant therapy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3"/>
        <w:gridCol w:w="1848"/>
        <w:gridCol w:w="1304"/>
        <w:gridCol w:w="1471"/>
      </w:tblGrid>
      <w:tr w:rsidR="00BE612E" w:rsidRPr="003C7F4C" w14:paraId="62E348BB" w14:textId="77777777" w:rsidTr="00797A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7343F1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Recurrence pattern</w:t>
            </w:r>
          </w:p>
        </w:tc>
        <w:tc>
          <w:tcPr>
            <w:tcW w:w="0" w:type="auto"/>
            <w:vAlign w:val="center"/>
            <w:hideMark/>
          </w:tcPr>
          <w:p w14:paraId="240232BE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Non-NAT (n = 1347)</w:t>
            </w:r>
          </w:p>
        </w:tc>
        <w:tc>
          <w:tcPr>
            <w:tcW w:w="0" w:type="auto"/>
            <w:vAlign w:val="center"/>
            <w:hideMark/>
          </w:tcPr>
          <w:p w14:paraId="036173BA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NAT (n = 323)</w:t>
            </w:r>
          </w:p>
        </w:tc>
        <w:tc>
          <w:tcPr>
            <w:tcW w:w="0" w:type="auto"/>
            <w:vAlign w:val="center"/>
            <w:hideMark/>
          </w:tcPr>
          <w:p w14:paraId="4CA14BBC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Total (n = 1670)</w:t>
            </w:r>
          </w:p>
        </w:tc>
      </w:tr>
      <w:tr w:rsidR="00BE612E" w:rsidRPr="003C7F4C" w14:paraId="447F35EB" w14:textId="77777777" w:rsidTr="00797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A1B2E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No recurrence</w:t>
            </w:r>
          </w:p>
        </w:tc>
        <w:tc>
          <w:tcPr>
            <w:tcW w:w="0" w:type="auto"/>
            <w:vAlign w:val="center"/>
            <w:hideMark/>
          </w:tcPr>
          <w:p w14:paraId="35A1871B" w14:textId="54228C03" w:rsidR="00BE612E" w:rsidRPr="003C7F4C" w:rsidRDefault="00E944C6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1218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2196B" w:rsidRPr="003C7F4C">
              <w:rPr>
                <w:rFonts w:ascii="Arial" w:hAnsi="Arial" w:cs="Arial"/>
                <w:sz w:val="20"/>
                <w:szCs w:val="20"/>
              </w:rPr>
              <w:t>90.4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10C8F705" w14:textId="5E7D2A12" w:rsidR="00BE612E" w:rsidRPr="003C7F4C" w:rsidRDefault="00E944C6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278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(</w:t>
            </w:r>
            <w:r w:rsidRPr="003C7F4C">
              <w:rPr>
                <w:rFonts w:ascii="Arial" w:hAnsi="Arial" w:cs="Arial"/>
                <w:sz w:val="20"/>
                <w:szCs w:val="20"/>
              </w:rPr>
              <w:t>86.1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08B936FD" w14:textId="749C32B3" w:rsidR="00BE612E" w:rsidRPr="003C7F4C" w:rsidRDefault="00E944C6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1496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(</w:t>
            </w:r>
            <w:r w:rsidRPr="003C7F4C">
              <w:rPr>
                <w:rFonts w:ascii="Arial" w:hAnsi="Arial" w:cs="Arial"/>
                <w:sz w:val="20"/>
                <w:szCs w:val="20"/>
              </w:rPr>
              <w:t>89.6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BE612E" w:rsidRPr="003C7F4C" w14:paraId="11E38F7D" w14:textId="77777777" w:rsidTr="00797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44013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True LRR only</w:t>
            </w:r>
          </w:p>
        </w:tc>
        <w:tc>
          <w:tcPr>
            <w:tcW w:w="0" w:type="auto"/>
            <w:vAlign w:val="center"/>
            <w:hideMark/>
          </w:tcPr>
          <w:p w14:paraId="585B1296" w14:textId="47198AB9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34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2.5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38E4DDBC" w14:textId="74859B79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17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5.2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3F1B3596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51 (3.1%)</w:t>
            </w:r>
          </w:p>
        </w:tc>
      </w:tr>
      <w:tr w:rsidR="00BE612E" w:rsidRPr="003C7F4C" w14:paraId="14553DFF" w14:textId="77777777" w:rsidTr="00797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479A3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LRR with synchronous distant metastasis</w:t>
            </w:r>
          </w:p>
        </w:tc>
        <w:tc>
          <w:tcPr>
            <w:tcW w:w="0" w:type="auto"/>
            <w:vAlign w:val="center"/>
            <w:hideMark/>
          </w:tcPr>
          <w:p w14:paraId="60BB4A24" w14:textId="27C95FE2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22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1.6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0C181E73" w14:textId="7D0BD474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6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1.9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1454CD50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28 (1.7%)</w:t>
            </w:r>
          </w:p>
        </w:tc>
      </w:tr>
      <w:tr w:rsidR="00BE612E" w:rsidRPr="003C7F4C" w14:paraId="3590FB2B" w14:textId="77777777" w:rsidTr="00797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82180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Any LRR (total)</w:t>
            </w:r>
          </w:p>
        </w:tc>
        <w:tc>
          <w:tcPr>
            <w:tcW w:w="0" w:type="auto"/>
            <w:vAlign w:val="center"/>
            <w:hideMark/>
          </w:tcPr>
          <w:p w14:paraId="7569F860" w14:textId="2559A94B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56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4.2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7D6A62A6" w14:textId="1B2A67E9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23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7.1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75576A2B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79 (4.7%)</w:t>
            </w:r>
          </w:p>
        </w:tc>
      </w:tr>
      <w:tr w:rsidR="00BE612E" w:rsidRPr="003C7F4C" w14:paraId="71CD178B" w14:textId="77777777" w:rsidTr="00797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06ABA" w14:textId="77777777" w:rsidR="00BE612E" w:rsidRPr="003C7F4C" w:rsidRDefault="00BE612E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Distant metastasis without LRR</w:t>
            </w:r>
          </w:p>
        </w:tc>
        <w:tc>
          <w:tcPr>
            <w:tcW w:w="0" w:type="auto"/>
            <w:vAlign w:val="center"/>
            <w:hideMark/>
          </w:tcPr>
          <w:p w14:paraId="290B2DB3" w14:textId="25937600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73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5.4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2CE4F47C" w14:textId="147EF21E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22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6.8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66840552" w14:textId="677E8DFD" w:rsidR="00BE612E" w:rsidRPr="003C7F4C" w:rsidRDefault="00A56E37" w:rsidP="00797A81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95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944C6" w:rsidRPr="003C7F4C">
              <w:rPr>
                <w:rFonts w:ascii="Arial" w:hAnsi="Arial" w:cs="Arial"/>
                <w:sz w:val="20"/>
                <w:szCs w:val="20"/>
              </w:rPr>
              <w:t>5.7</w:t>
            </w:r>
            <w:r w:rsidR="00BE612E" w:rsidRPr="003C7F4C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</w:tbl>
    <w:p w14:paraId="640D19E4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LRR, locoregional recurrence; NAT, neoadjuvant therapy.</w:t>
      </w:r>
    </w:p>
    <w:p w14:paraId="65A73D55" w14:textId="79EE21C3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True locoregional recurrence (True LRR) was defined as local and/or regional recurrence</w:t>
      </w:r>
    </w:p>
    <w:p w14:paraId="5BE8C93C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occurring in the absence of distant metastasis.</w:t>
      </w:r>
    </w:p>
    <w:p w14:paraId="0C7CD718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Any locoregional recurrence (Any LRR) included all local and/or regional recurrences,</w:t>
      </w:r>
    </w:p>
    <w:p w14:paraId="2C547475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regardless of the presence of synchronous distant metastasis.</w:t>
      </w:r>
    </w:p>
    <w:p w14:paraId="3F0483F2" w14:textId="77777777" w:rsidR="00BE612E" w:rsidRPr="003C7F4C" w:rsidRDefault="00BE612E" w:rsidP="00BE612E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Percentages were calculated based on the total number of patients in each treatment group.</w:t>
      </w:r>
    </w:p>
    <w:p w14:paraId="03EE6B89" w14:textId="77777777" w:rsidR="00C83D02" w:rsidRPr="003C7F4C" w:rsidRDefault="00C83D02" w:rsidP="00BE612E">
      <w:pPr>
        <w:rPr>
          <w:rFonts w:ascii="Arial" w:hAnsi="Arial" w:cs="Arial"/>
          <w:sz w:val="20"/>
          <w:szCs w:val="20"/>
        </w:rPr>
      </w:pPr>
    </w:p>
    <w:p w14:paraId="05F9A104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054BD413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0F62C1BB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027813E5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39CA692A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70646233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76CA501D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55CDC810" w14:textId="77777777" w:rsidR="00540002" w:rsidRPr="003C7F4C" w:rsidRDefault="00540002" w:rsidP="00BE612E">
      <w:pPr>
        <w:rPr>
          <w:rFonts w:ascii="Arial" w:hAnsi="Arial" w:cs="Arial"/>
          <w:sz w:val="20"/>
          <w:szCs w:val="20"/>
        </w:rPr>
      </w:pPr>
    </w:p>
    <w:p w14:paraId="5AA7878C" w14:textId="77777777" w:rsidR="000C5597" w:rsidRPr="003C7F4C" w:rsidRDefault="000C5597" w:rsidP="000C5597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lastRenderedPageBreak/>
        <w:t>Supplementary Table S3. Breakdown of Any locoregional recurrence cases with concomitant distant metastasis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0"/>
        <w:gridCol w:w="1765"/>
      </w:tblGrid>
      <w:tr w:rsidR="000C5597" w:rsidRPr="003C7F4C" w14:paraId="2BAC6C5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07EA09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Pattern of recurrence</w:t>
            </w:r>
          </w:p>
        </w:tc>
        <w:tc>
          <w:tcPr>
            <w:tcW w:w="0" w:type="auto"/>
            <w:vAlign w:val="center"/>
            <w:hideMark/>
          </w:tcPr>
          <w:p w14:paraId="12AA55DB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Number of patients</w:t>
            </w:r>
          </w:p>
        </w:tc>
      </w:tr>
      <w:tr w:rsidR="000C5597" w:rsidRPr="003C7F4C" w14:paraId="7AB792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C4AE15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Local recurrence + distant metastasis</w:t>
            </w:r>
          </w:p>
        </w:tc>
        <w:tc>
          <w:tcPr>
            <w:tcW w:w="0" w:type="auto"/>
            <w:vAlign w:val="center"/>
            <w:hideMark/>
          </w:tcPr>
          <w:p w14:paraId="64570DC1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0C5597" w:rsidRPr="003C7F4C" w14:paraId="140F3C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7E60A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Regional recurrence + distant metastasis</w:t>
            </w:r>
          </w:p>
        </w:tc>
        <w:tc>
          <w:tcPr>
            <w:tcW w:w="0" w:type="auto"/>
            <w:vAlign w:val="center"/>
            <w:hideMark/>
          </w:tcPr>
          <w:p w14:paraId="4B90FB8D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0C5597" w:rsidRPr="003C7F4C" w14:paraId="1610BE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F5A73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Local and regional recurrence + distant metastasis</w:t>
            </w:r>
          </w:p>
        </w:tc>
        <w:tc>
          <w:tcPr>
            <w:tcW w:w="0" w:type="auto"/>
            <w:vAlign w:val="center"/>
            <w:hideMark/>
          </w:tcPr>
          <w:p w14:paraId="5BBDA932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C5597" w:rsidRPr="003C7F4C" w14:paraId="713F48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BFE52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19085F5E" w14:textId="77777777" w:rsidR="000C5597" w:rsidRPr="003C7F4C" w:rsidRDefault="000C5597" w:rsidP="000C5597">
            <w:pPr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</w:tbl>
    <w:p w14:paraId="033F1097" w14:textId="77777777" w:rsidR="000C5597" w:rsidRPr="003C7F4C" w:rsidRDefault="000C5597" w:rsidP="000C5597">
      <w:pPr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Any locoregional recurrence (Any LRR) was defined as local and/or regional recurrence regardless of the presence of synchronous distant metastasis.</w:t>
      </w:r>
      <w:r w:rsidRPr="003C7F4C">
        <w:rPr>
          <w:rFonts w:ascii="Arial" w:hAnsi="Arial" w:cs="Arial"/>
          <w:sz w:val="20"/>
          <w:szCs w:val="20"/>
        </w:rPr>
        <w:br/>
        <w:t>This table summarizes the distribution of locoregional recurrence patterns among patients classified as Any LRR with concomitant distant metastasis.</w:t>
      </w:r>
      <w:r w:rsidRPr="003C7F4C">
        <w:rPr>
          <w:rFonts w:ascii="Arial" w:hAnsi="Arial" w:cs="Arial"/>
          <w:sz w:val="20"/>
          <w:szCs w:val="20"/>
        </w:rPr>
        <w:br/>
        <w:t>No patients were classified as Any LRR in the absence of local or regional recurrence.</w:t>
      </w:r>
    </w:p>
    <w:p w14:paraId="0830DEBE" w14:textId="77777777" w:rsidR="00CA1CC5" w:rsidRPr="003C7F4C" w:rsidRDefault="00CA1CC5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6FC57E4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600625F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660CA7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CEDE923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36BFE60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FAC4575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F3090A9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80DCFBF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8A9E918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169F4B0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7C9E4D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508297F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D200CF0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1168FD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FC0B0A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6A28832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FF65586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A35E79D" w14:textId="5B092081" w:rsidR="00653922" w:rsidRPr="003C7F4C" w:rsidRDefault="00653922" w:rsidP="00653922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Supplementary Table S4. Fine–Gray competing risk regression for true locoregional recurrence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7"/>
        <w:gridCol w:w="2306"/>
        <w:gridCol w:w="950"/>
        <w:gridCol w:w="731"/>
      </w:tblGrid>
      <w:tr w:rsidR="00653922" w:rsidRPr="003C7F4C" w14:paraId="42630FA2" w14:textId="77777777" w:rsidTr="00072AE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0350BE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573D79A4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C7F4C">
              <w:rPr>
                <w:rFonts w:ascii="Arial" w:hAnsi="Arial" w:cs="Arial"/>
                <w:sz w:val="20"/>
                <w:szCs w:val="20"/>
              </w:rPr>
              <w:t>Subdistribution</w:t>
            </w:r>
            <w:proofErr w:type="spellEnd"/>
            <w:r w:rsidRPr="003C7F4C">
              <w:rPr>
                <w:rFonts w:ascii="Arial" w:hAnsi="Arial" w:cs="Arial"/>
                <w:sz w:val="20"/>
                <w:szCs w:val="20"/>
              </w:rPr>
              <w:t xml:space="preserve"> HR (</w:t>
            </w:r>
            <w:proofErr w:type="spellStart"/>
            <w:r w:rsidRPr="003C7F4C">
              <w:rPr>
                <w:rFonts w:ascii="Arial" w:hAnsi="Arial" w:cs="Arial"/>
                <w:sz w:val="20"/>
                <w:szCs w:val="20"/>
              </w:rPr>
              <w:t>sHR</w:t>
            </w:r>
            <w:proofErr w:type="spellEnd"/>
            <w:r w:rsidRPr="003C7F4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C7062A4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E851428" w14:textId="200ECA1C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p</w:t>
            </w:r>
            <w:r w:rsidR="006D191B" w:rsidRPr="003C7F4C">
              <w:rPr>
                <w:rFonts w:ascii="Arial" w:hAnsi="Arial" w:cs="Arial"/>
                <w:sz w:val="20"/>
                <w:szCs w:val="20"/>
              </w:rPr>
              <w:t>-</w:t>
            </w:r>
            <w:r w:rsidRPr="003C7F4C">
              <w:rPr>
                <w:rFonts w:ascii="Arial" w:hAnsi="Arial" w:cs="Arial"/>
                <w:sz w:val="20"/>
                <w:szCs w:val="20"/>
              </w:rPr>
              <w:t>value</w:t>
            </w:r>
          </w:p>
        </w:tc>
      </w:tr>
      <w:tr w:rsidR="00653922" w:rsidRPr="003C7F4C" w14:paraId="5DE5D89E" w14:textId="77777777" w:rsidTr="00072A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B902B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Neoadjuvant therapy (yes vs no)</w:t>
            </w:r>
          </w:p>
        </w:tc>
        <w:tc>
          <w:tcPr>
            <w:tcW w:w="0" w:type="auto"/>
            <w:vAlign w:val="center"/>
            <w:hideMark/>
          </w:tcPr>
          <w:p w14:paraId="6CB6A50C" w14:textId="1A52625F" w:rsidR="00653922" w:rsidRPr="003C7F4C" w:rsidRDefault="00CE2755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2.28</w:t>
            </w:r>
          </w:p>
        </w:tc>
        <w:tc>
          <w:tcPr>
            <w:tcW w:w="0" w:type="auto"/>
            <w:vAlign w:val="center"/>
            <w:hideMark/>
          </w:tcPr>
          <w:p w14:paraId="35E6BF10" w14:textId="2FEA418F" w:rsidR="00653922" w:rsidRPr="003C7F4C" w:rsidRDefault="00CE2755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1.08-4.81</w:t>
            </w:r>
          </w:p>
        </w:tc>
        <w:tc>
          <w:tcPr>
            <w:tcW w:w="0" w:type="auto"/>
            <w:vAlign w:val="center"/>
            <w:hideMark/>
          </w:tcPr>
          <w:p w14:paraId="703C8C78" w14:textId="01E8562A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53922" w:rsidRPr="003C7F4C" w14:paraId="37EFFB72" w14:textId="77777777" w:rsidTr="00072A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41D82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Tumor size (per cm)</w:t>
            </w:r>
          </w:p>
        </w:tc>
        <w:tc>
          <w:tcPr>
            <w:tcW w:w="0" w:type="auto"/>
            <w:vAlign w:val="center"/>
            <w:hideMark/>
          </w:tcPr>
          <w:p w14:paraId="79DCE495" w14:textId="712BC6CF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0.9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A3A1899" w14:textId="429FB66A" w:rsidR="00653922" w:rsidRPr="003C7F4C" w:rsidRDefault="00CE2755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0.79-1.14</w:t>
            </w:r>
          </w:p>
        </w:tc>
        <w:tc>
          <w:tcPr>
            <w:tcW w:w="0" w:type="auto"/>
            <w:vAlign w:val="center"/>
            <w:hideMark/>
          </w:tcPr>
          <w:p w14:paraId="11CE71CA" w14:textId="748F4C38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56</w:t>
            </w:r>
          </w:p>
        </w:tc>
      </w:tr>
      <w:tr w:rsidR="00653922" w:rsidRPr="003C7F4C" w14:paraId="72E09DAE" w14:textId="77777777" w:rsidTr="00072A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E0C93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Node-positive disease (yes vs no)</w:t>
            </w:r>
          </w:p>
        </w:tc>
        <w:tc>
          <w:tcPr>
            <w:tcW w:w="0" w:type="auto"/>
            <w:vAlign w:val="center"/>
            <w:hideMark/>
          </w:tcPr>
          <w:p w14:paraId="408513CE" w14:textId="7DFE43FA" w:rsidR="00653922" w:rsidRPr="003C7F4C" w:rsidRDefault="00CE2755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0" w:type="auto"/>
            <w:vAlign w:val="center"/>
            <w:hideMark/>
          </w:tcPr>
          <w:p w14:paraId="4C55ACB6" w14:textId="12E72ECB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26-1.26</w:t>
            </w:r>
          </w:p>
        </w:tc>
        <w:tc>
          <w:tcPr>
            <w:tcW w:w="0" w:type="auto"/>
            <w:vAlign w:val="center"/>
            <w:hideMark/>
          </w:tcPr>
          <w:p w14:paraId="0DCFAB05" w14:textId="727241FD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653922" w:rsidRPr="003C7F4C" w14:paraId="2002925E" w14:textId="77777777" w:rsidTr="00072A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E0543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HR+/HER2− (reference)</w:t>
            </w:r>
          </w:p>
        </w:tc>
        <w:tc>
          <w:tcPr>
            <w:tcW w:w="0" w:type="auto"/>
            <w:vAlign w:val="center"/>
            <w:hideMark/>
          </w:tcPr>
          <w:p w14:paraId="6AECA84A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14:paraId="14010DA1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07749EF3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653922" w:rsidRPr="003C7F4C" w14:paraId="0C84A171" w14:textId="77777777" w:rsidTr="00072A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5DB92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HER2-positive</w:t>
            </w:r>
          </w:p>
        </w:tc>
        <w:tc>
          <w:tcPr>
            <w:tcW w:w="0" w:type="auto"/>
            <w:vAlign w:val="center"/>
            <w:hideMark/>
          </w:tcPr>
          <w:p w14:paraId="64B52516" w14:textId="3CD9597E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0.5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45CADEA" w14:textId="55246290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16</w:t>
            </w:r>
            <w:r w:rsidRPr="003C7F4C">
              <w:rPr>
                <w:rFonts w:ascii="Arial" w:hAnsi="Arial" w:cs="Arial"/>
                <w:sz w:val="20"/>
                <w:szCs w:val="20"/>
              </w:rPr>
              <w:t>–1.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42889338" w14:textId="67046FA4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0.3</w:t>
            </w:r>
            <w:r w:rsidR="00CE2755" w:rsidRPr="003C7F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53922" w:rsidRPr="003C7F4C" w14:paraId="6E705431" w14:textId="77777777" w:rsidTr="00072A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21436" w14:textId="77777777" w:rsidR="00653922" w:rsidRPr="003C7F4C" w:rsidRDefault="00653922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Triple-negative</w:t>
            </w:r>
          </w:p>
        </w:tc>
        <w:tc>
          <w:tcPr>
            <w:tcW w:w="0" w:type="auto"/>
            <w:vAlign w:val="center"/>
            <w:hideMark/>
          </w:tcPr>
          <w:p w14:paraId="373E433E" w14:textId="6CA61353" w:rsidR="00653922" w:rsidRPr="003C7F4C" w:rsidRDefault="00CE2755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2.11</w:t>
            </w:r>
          </w:p>
        </w:tc>
        <w:tc>
          <w:tcPr>
            <w:tcW w:w="0" w:type="auto"/>
            <w:vAlign w:val="center"/>
            <w:hideMark/>
          </w:tcPr>
          <w:p w14:paraId="6AA68361" w14:textId="4F08AD71" w:rsidR="00653922" w:rsidRPr="003C7F4C" w:rsidRDefault="00CE2755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0.94-4.76</w:t>
            </w:r>
          </w:p>
        </w:tc>
        <w:tc>
          <w:tcPr>
            <w:tcW w:w="0" w:type="auto"/>
            <w:vAlign w:val="center"/>
            <w:hideMark/>
          </w:tcPr>
          <w:p w14:paraId="110B029F" w14:textId="7B91829D" w:rsidR="00653922" w:rsidRPr="003C7F4C" w:rsidRDefault="00CE2755" w:rsidP="00072AE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</w:tbl>
    <w:p w14:paraId="2ED3D9BC" w14:textId="77777777" w:rsidR="00CE2755" w:rsidRPr="003C7F4C" w:rsidRDefault="00CE2755" w:rsidP="00CE2755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Fine–Gray </w:t>
      </w:r>
      <w:proofErr w:type="spellStart"/>
      <w:r w:rsidRPr="003C7F4C">
        <w:rPr>
          <w:rFonts w:ascii="Arial" w:hAnsi="Arial" w:cs="Arial"/>
          <w:sz w:val="20"/>
          <w:szCs w:val="20"/>
        </w:rPr>
        <w:t>subdistribution</w:t>
      </w:r>
      <w:proofErr w:type="spellEnd"/>
      <w:r w:rsidRPr="003C7F4C">
        <w:rPr>
          <w:rFonts w:ascii="Arial" w:hAnsi="Arial" w:cs="Arial"/>
          <w:sz w:val="20"/>
          <w:szCs w:val="20"/>
        </w:rPr>
        <w:t xml:space="preserve"> hazard models were used to assess factors associated with True LRR while accounting for distant metastasis as a competing event.</w:t>
      </w:r>
    </w:p>
    <w:p w14:paraId="1054D811" w14:textId="77777777" w:rsidR="00CE2755" w:rsidRPr="003C7F4C" w:rsidRDefault="00CE2755" w:rsidP="00CE2755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Fine–Gray competing risk regression was performed in the complete-case subtype cohort. Patients with unknown subtype or missing covariates were excluded.</w:t>
      </w:r>
    </w:p>
    <w:p w14:paraId="21F1C4B1" w14:textId="77777777" w:rsidR="00CE2755" w:rsidRPr="003C7F4C" w:rsidRDefault="00CE2755" w:rsidP="00CE2755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The reference category for intrinsic subtype was HR+/HER2−.</w:t>
      </w:r>
    </w:p>
    <w:p w14:paraId="78B2A2D6" w14:textId="53137CD6" w:rsidR="00035D5A" w:rsidRPr="003C7F4C" w:rsidRDefault="00CE2755" w:rsidP="00CE2755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Confidence intervals may remain imprecise because of the limited number of True LRR events.</w:t>
      </w:r>
    </w:p>
    <w:p w14:paraId="4E920960" w14:textId="77777777" w:rsidR="00C50D39" w:rsidRPr="003C7F4C" w:rsidRDefault="00C50D39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6985563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CBDB42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0453A18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B5EFAA9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3F0188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8E42257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96E8C4D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2B81E42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FF11720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9826FF4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91647BB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85C7BB8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9B0A78C" w14:textId="77777777" w:rsidR="00540002" w:rsidRPr="003C7F4C" w:rsidRDefault="00540002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861B1B7" w14:textId="77777777" w:rsidR="00CE2755" w:rsidRPr="003C7F4C" w:rsidRDefault="00CE2755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05E0913" w14:textId="77777777" w:rsidR="00CE2755" w:rsidRPr="003C7F4C" w:rsidRDefault="00CE2755" w:rsidP="00C50D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AE2589C" w14:textId="5250A425" w:rsidR="00653922" w:rsidRPr="003C7F4C" w:rsidRDefault="00653922" w:rsidP="00653922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Supplementary Table S5. Sensitivity analyses using Fine–Gray competing risk models for true locoregional recurrence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1"/>
        <w:gridCol w:w="1925"/>
        <w:gridCol w:w="1987"/>
        <w:gridCol w:w="1751"/>
      </w:tblGrid>
      <w:tr w:rsidR="008E4AEA" w:rsidRPr="003C7F4C" w14:paraId="3D7906B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1E2171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10F5A779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Model 1 (Unadjusted)</w:t>
            </w:r>
          </w:p>
        </w:tc>
        <w:tc>
          <w:tcPr>
            <w:tcW w:w="0" w:type="auto"/>
            <w:vAlign w:val="center"/>
            <w:hideMark/>
          </w:tcPr>
          <w:p w14:paraId="3B268202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Model 2 (+ Tumor size, Node)</w:t>
            </w:r>
          </w:p>
        </w:tc>
        <w:tc>
          <w:tcPr>
            <w:tcW w:w="0" w:type="auto"/>
            <w:vAlign w:val="center"/>
            <w:hideMark/>
          </w:tcPr>
          <w:p w14:paraId="4F565148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Model 3 (+ Subtype)</w:t>
            </w:r>
          </w:p>
        </w:tc>
      </w:tr>
      <w:tr w:rsidR="008E4AEA" w:rsidRPr="003C7F4C" w14:paraId="3C8426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40A06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Neoadjuvant therapy (yes vs no)</w:t>
            </w:r>
          </w:p>
        </w:tc>
        <w:tc>
          <w:tcPr>
            <w:tcW w:w="0" w:type="auto"/>
            <w:vAlign w:val="center"/>
            <w:hideMark/>
          </w:tcPr>
          <w:p w14:paraId="21017D12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2.11 (1.07–4.17), p=0.032</w:t>
            </w:r>
          </w:p>
        </w:tc>
        <w:tc>
          <w:tcPr>
            <w:tcW w:w="0" w:type="auto"/>
            <w:vAlign w:val="center"/>
            <w:hideMark/>
          </w:tcPr>
          <w:p w14:paraId="5127DCCD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2.41 (1.12–5.18), p=0.024</w:t>
            </w:r>
          </w:p>
        </w:tc>
        <w:tc>
          <w:tcPr>
            <w:tcW w:w="0" w:type="auto"/>
            <w:vAlign w:val="center"/>
            <w:hideMark/>
          </w:tcPr>
          <w:p w14:paraId="014E8655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2.28 (1.08–4.81), p=0.03</w:t>
            </w:r>
          </w:p>
        </w:tc>
      </w:tr>
      <w:tr w:rsidR="008E4AEA" w:rsidRPr="003C7F4C" w14:paraId="5CF97D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50BFD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Tumor size (per cm)</w:t>
            </w:r>
          </w:p>
        </w:tc>
        <w:tc>
          <w:tcPr>
            <w:tcW w:w="0" w:type="auto"/>
            <w:vAlign w:val="center"/>
            <w:hideMark/>
          </w:tcPr>
          <w:p w14:paraId="6C39C452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F2D6EB4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0.96 (0.81–1.13), p=0.58</w:t>
            </w:r>
          </w:p>
        </w:tc>
        <w:tc>
          <w:tcPr>
            <w:tcW w:w="0" w:type="auto"/>
            <w:vAlign w:val="center"/>
            <w:hideMark/>
          </w:tcPr>
          <w:p w14:paraId="0CFCE568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0.95 (0.79–1.14), p=0.56</w:t>
            </w:r>
          </w:p>
        </w:tc>
      </w:tr>
      <w:tr w:rsidR="008E4AEA" w:rsidRPr="003C7F4C" w14:paraId="728A1C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281F5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Node-positive disease (yes vs no)</w:t>
            </w:r>
          </w:p>
        </w:tc>
        <w:tc>
          <w:tcPr>
            <w:tcW w:w="0" w:type="auto"/>
            <w:vAlign w:val="center"/>
            <w:hideMark/>
          </w:tcPr>
          <w:p w14:paraId="7A5077E1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C13F7CF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0.59 (0.27–1.29), p=0.19</w:t>
            </w:r>
          </w:p>
        </w:tc>
        <w:tc>
          <w:tcPr>
            <w:tcW w:w="0" w:type="auto"/>
            <w:vAlign w:val="center"/>
            <w:hideMark/>
          </w:tcPr>
          <w:p w14:paraId="2516B0D2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0.58 (0.26–1.26), p=0.17</w:t>
            </w:r>
          </w:p>
        </w:tc>
      </w:tr>
      <w:tr w:rsidR="008E4AEA" w:rsidRPr="003C7F4C" w14:paraId="1F0B05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37F5C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Subtype: HER2-positive (vs HR+/HER2−)</w:t>
            </w:r>
          </w:p>
        </w:tc>
        <w:tc>
          <w:tcPr>
            <w:tcW w:w="0" w:type="auto"/>
            <w:vAlign w:val="center"/>
            <w:hideMark/>
          </w:tcPr>
          <w:p w14:paraId="7F19B579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853E6FC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5D1071E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0.55 (0.16–1.90), p=0.35</w:t>
            </w:r>
          </w:p>
        </w:tc>
      </w:tr>
      <w:tr w:rsidR="008E4AEA" w:rsidRPr="003C7F4C" w14:paraId="4BB46A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48187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Subtype: Triple-negative (vs HR+/HER2−)</w:t>
            </w:r>
          </w:p>
        </w:tc>
        <w:tc>
          <w:tcPr>
            <w:tcW w:w="0" w:type="auto"/>
            <w:vAlign w:val="center"/>
            <w:hideMark/>
          </w:tcPr>
          <w:p w14:paraId="6779CA65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65660EE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AD154F0" w14:textId="77777777" w:rsidR="008E4AEA" w:rsidRPr="003C7F4C" w:rsidRDefault="008E4AEA" w:rsidP="008E4AE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2.11 (0.94–4.76), p=0.07</w:t>
            </w:r>
          </w:p>
        </w:tc>
      </w:tr>
    </w:tbl>
    <w:p w14:paraId="487BF248" w14:textId="77777777" w:rsidR="008E4AEA" w:rsidRPr="003C7F4C" w:rsidRDefault="008E4AEA" w:rsidP="008E4AEA">
      <w:pPr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Competing event: distant metastasis </w:t>
      </w:r>
    </w:p>
    <w:p w14:paraId="560A82C1" w14:textId="77777777" w:rsidR="008E4AEA" w:rsidRPr="003C7F4C" w:rsidRDefault="008E4AEA" w:rsidP="008E4AEA">
      <w:pPr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Reference category for subtype: HR+/HER2− </w:t>
      </w:r>
    </w:p>
    <w:p w14:paraId="6C4714B4" w14:textId="77777777" w:rsidR="008E4AEA" w:rsidRPr="003C7F4C" w:rsidRDefault="008E4AEA" w:rsidP="008E4AEA">
      <w:pPr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Model 1: unadjusted </w:t>
      </w:r>
    </w:p>
    <w:p w14:paraId="7DF2417C" w14:textId="77777777" w:rsidR="008E4AEA" w:rsidRPr="003C7F4C" w:rsidRDefault="008E4AEA" w:rsidP="008E4AEA">
      <w:pPr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Model 2: adjusted for tumor size and nodal status </w:t>
      </w:r>
    </w:p>
    <w:p w14:paraId="51C73B3D" w14:textId="77777777" w:rsidR="008E4AEA" w:rsidRPr="003C7F4C" w:rsidRDefault="008E4AEA" w:rsidP="008E4AEA">
      <w:pPr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Model 3: additionally adjusted for intrinsic subtype </w:t>
      </w:r>
    </w:p>
    <w:p w14:paraId="6338837A" w14:textId="77777777" w:rsidR="008E4AEA" w:rsidRPr="003C7F4C" w:rsidRDefault="008E4AEA" w:rsidP="008E4AEA">
      <w:pPr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Fine–Gray competing risk regression was performed in the complete-case subtype cohort. Patients with unknown subtype or missing covariates were excluded. </w:t>
      </w:r>
    </w:p>
    <w:p w14:paraId="00FB0D40" w14:textId="3AA1E4EE" w:rsidR="00540002" w:rsidRPr="003C7F4C" w:rsidRDefault="008E4AEA" w:rsidP="00653922">
      <w:pPr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 xml:space="preserve">Confidence intervals should be interpreted cautiously because of the limited number of True LRR </w:t>
      </w:r>
      <w:r w:rsidR="003C775E" w:rsidRPr="003C7F4C">
        <w:rPr>
          <w:rFonts w:ascii="Arial" w:hAnsi="Arial" w:cs="Arial"/>
          <w:sz w:val="20"/>
          <w:szCs w:val="20"/>
        </w:rPr>
        <w:t>events.</w:t>
      </w:r>
    </w:p>
    <w:p w14:paraId="0EB22DC0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BC18FA5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24245C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E0AFAA6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98D4DDC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05121F8" w14:textId="77777777" w:rsidR="00540002" w:rsidRPr="003C7F4C" w:rsidRDefault="00540002" w:rsidP="0065392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934A2A4" w14:textId="77777777" w:rsidR="008E4AEA" w:rsidRPr="003C7F4C" w:rsidRDefault="008E4AEA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AC77CB" w14:textId="77777777" w:rsidR="008E4AEA" w:rsidRPr="003C7F4C" w:rsidRDefault="008E4AEA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23F7CF" w14:textId="77777777" w:rsidR="008E4AEA" w:rsidRPr="003C7F4C" w:rsidRDefault="008E4AEA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5B6122" w14:textId="77777777" w:rsidR="003C775E" w:rsidRPr="003C7F4C" w:rsidRDefault="003C775E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C00A85" w14:textId="6912D875" w:rsidR="005D0208" w:rsidRPr="003C7F4C" w:rsidRDefault="005D0208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Supplementary Table S</w:t>
      </w:r>
      <w:r w:rsidR="008E4AEA" w:rsidRPr="003C7F4C">
        <w:rPr>
          <w:rFonts w:ascii="Arial" w:hAnsi="Arial" w:cs="Arial"/>
          <w:sz w:val="20"/>
          <w:szCs w:val="20"/>
        </w:rPr>
        <w:t>6</w:t>
      </w:r>
      <w:r w:rsidRPr="003C7F4C">
        <w:rPr>
          <w:rFonts w:ascii="Arial" w:hAnsi="Arial" w:cs="Arial"/>
          <w:sz w:val="20"/>
          <w:szCs w:val="20"/>
        </w:rPr>
        <w:t>.</w:t>
      </w:r>
      <w:r w:rsidRPr="003C7F4C">
        <w:rPr>
          <w:rFonts w:ascii="Arial" w:eastAsia="ＭＳ Ｐゴシック" w:hAnsi="Arial" w:cs="Arial"/>
          <w:kern w:val="0"/>
          <w:sz w:val="20"/>
          <w:szCs w:val="20"/>
          <w14:ligatures w14:val="none"/>
        </w:rPr>
        <w:t xml:space="preserve"> </w:t>
      </w:r>
      <w:r w:rsidRPr="003C7F4C">
        <w:rPr>
          <w:rFonts w:ascii="Arial" w:hAnsi="Arial" w:cs="Arial"/>
          <w:sz w:val="20"/>
          <w:szCs w:val="20"/>
        </w:rPr>
        <w:t>Standardized mean differences before and after IPTW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9"/>
        <w:gridCol w:w="2517"/>
        <w:gridCol w:w="2365"/>
      </w:tblGrid>
      <w:tr w:rsidR="005D0208" w:rsidRPr="003C7F4C" w14:paraId="799403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6038A2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Covariate</w:t>
            </w:r>
          </w:p>
        </w:tc>
        <w:tc>
          <w:tcPr>
            <w:tcW w:w="0" w:type="auto"/>
            <w:vAlign w:val="center"/>
            <w:hideMark/>
          </w:tcPr>
          <w:p w14:paraId="31695EAF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Absolute SMD before IPTW</w:t>
            </w:r>
          </w:p>
        </w:tc>
        <w:tc>
          <w:tcPr>
            <w:tcW w:w="0" w:type="auto"/>
            <w:vAlign w:val="center"/>
            <w:hideMark/>
          </w:tcPr>
          <w:p w14:paraId="326220E0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Absolute SMD after IPTW</w:t>
            </w:r>
          </w:p>
        </w:tc>
      </w:tr>
      <w:tr w:rsidR="005D0208" w:rsidRPr="003C7F4C" w14:paraId="2CD191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86BE9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6130904D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0.229</w:t>
            </w:r>
          </w:p>
        </w:tc>
        <w:tc>
          <w:tcPr>
            <w:tcW w:w="0" w:type="auto"/>
            <w:vAlign w:val="center"/>
            <w:hideMark/>
          </w:tcPr>
          <w:p w14:paraId="1F1CBED4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0.077</w:t>
            </w:r>
          </w:p>
        </w:tc>
      </w:tr>
      <w:tr w:rsidR="005D0208" w:rsidRPr="003C7F4C" w14:paraId="591677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D191C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Tumor size</w:t>
            </w:r>
          </w:p>
        </w:tc>
        <w:tc>
          <w:tcPr>
            <w:tcW w:w="0" w:type="auto"/>
            <w:vAlign w:val="center"/>
            <w:hideMark/>
          </w:tcPr>
          <w:p w14:paraId="37794C78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0.721</w:t>
            </w:r>
          </w:p>
        </w:tc>
        <w:tc>
          <w:tcPr>
            <w:tcW w:w="0" w:type="auto"/>
            <w:vAlign w:val="center"/>
            <w:hideMark/>
          </w:tcPr>
          <w:p w14:paraId="437776D4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0.056</w:t>
            </w:r>
          </w:p>
        </w:tc>
      </w:tr>
      <w:tr w:rsidR="005D0208" w:rsidRPr="003C7F4C" w14:paraId="2F724E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A5827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Tumor size (missing)</w:t>
            </w:r>
          </w:p>
        </w:tc>
        <w:tc>
          <w:tcPr>
            <w:tcW w:w="0" w:type="auto"/>
            <w:vAlign w:val="center"/>
            <w:hideMark/>
          </w:tcPr>
          <w:p w14:paraId="1814B95F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0.024</w:t>
            </w:r>
          </w:p>
        </w:tc>
        <w:tc>
          <w:tcPr>
            <w:tcW w:w="0" w:type="auto"/>
            <w:vAlign w:val="center"/>
            <w:hideMark/>
          </w:tcPr>
          <w:p w14:paraId="6E1825E2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0.015</w:t>
            </w:r>
          </w:p>
        </w:tc>
      </w:tr>
      <w:tr w:rsidR="005D0208" w:rsidRPr="003C7F4C" w14:paraId="5139C2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8575B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Node-positive disease</w:t>
            </w:r>
          </w:p>
        </w:tc>
        <w:tc>
          <w:tcPr>
            <w:tcW w:w="0" w:type="auto"/>
            <w:vAlign w:val="center"/>
            <w:hideMark/>
          </w:tcPr>
          <w:p w14:paraId="59AC1EB7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0.073</w:t>
            </w:r>
          </w:p>
        </w:tc>
        <w:tc>
          <w:tcPr>
            <w:tcW w:w="0" w:type="auto"/>
            <w:vAlign w:val="center"/>
            <w:hideMark/>
          </w:tcPr>
          <w:p w14:paraId="3B233875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0.084</w:t>
            </w:r>
          </w:p>
        </w:tc>
      </w:tr>
      <w:tr w:rsidR="005D0208" w:rsidRPr="003C7F4C" w14:paraId="33EA8B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7E58C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Node-positive (missing)</w:t>
            </w:r>
          </w:p>
        </w:tc>
        <w:tc>
          <w:tcPr>
            <w:tcW w:w="0" w:type="auto"/>
            <w:vAlign w:val="center"/>
            <w:hideMark/>
          </w:tcPr>
          <w:p w14:paraId="6E5DEA0C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0" w:type="auto"/>
            <w:vAlign w:val="center"/>
            <w:hideMark/>
          </w:tcPr>
          <w:p w14:paraId="23E8C56C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</w:tr>
      <w:tr w:rsidR="005D0208" w:rsidRPr="003C7F4C" w14:paraId="4F3E24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6E460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HER2-positive subtype</w:t>
            </w:r>
          </w:p>
        </w:tc>
        <w:tc>
          <w:tcPr>
            <w:tcW w:w="0" w:type="auto"/>
            <w:vAlign w:val="center"/>
            <w:hideMark/>
          </w:tcPr>
          <w:p w14:paraId="3163E6C1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0.166</w:t>
            </w:r>
          </w:p>
        </w:tc>
        <w:tc>
          <w:tcPr>
            <w:tcW w:w="0" w:type="auto"/>
            <w:vAlign w:val="center"/>
            <w:hideMark/>
          </w:tcPr>
          <w:p w14:paraId="60985693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  <w:tr w:rsidR="005D0208" w:rsidRPr="003C7F4C" w14:paraId="11DC03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615A1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HR+/HER2-negative subtype</w:t>
            </w:r>
          </w:p>
        </w:tc>
        <w:tc>
          <w:tcPr>
            <w:tcW w:w="0" w:type="auto"/>
            <w:vAlign w:val="center"/>
            <w:hideMark/>
          </w:tcPr>
          <w:p w14:paraId="50487676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0.297</w:t>
            </w:r>
          </w:p>
        </w:tc>
        <w:tc>
          <w:tcPr>
            <w:tcW w:w="0" w:type="auto"/>
            <w:vAlign w:val="center"/>
            <w:hideMark/>
          </w:tcPr>
          <w:p w14:paraId="06F576D2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  <w:tr w:rsidR="005D0208" w:rsidRPr="003C7F4C" w14:paraId="17E127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3C07B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Triple-negative subtype</w:t>
            </w:r>
          </w:p>
        </w:tc>
        <w:tc>
          <w:tcPr>
            <w:tcW w:w="0" w:type="auto"/>
            <w:vAlign w:val="center"/>
            <w:hideMark/>
          </w:tcPr>
          <w:p w14:paraId="197C00BC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0.131</w:t>
            </w:r>
          </w:p>
        </w:tc>
        <w:tc>
          <w:tcPr>
            <w:tcW w:w="0" w:type="auto"/>
            <w:vAlign w:val="center"/>
            <w:hideMark/>
          </w:tcPr>
          <w:p w14:paraId="4534DBCD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5D0208" w:rsidRPr="003C7F4C" w14:paraId="250CAD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38121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Subtype (missing)</w:t>
            </w:r>
          </w:p>
        </w:tc>
        <w:tc>
          <w:tcPr>
            <w:tcW w:w="0" w:type="auto"/>
            <w:vAlign w:val="center"/>
            <w:hideMark/>
          </w:tcPr>
          <w:p w14:paraId="086DAFB9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0.077</w:t>
            </w:r>
          </w:p>
        </w:tc>
        <w:tc>
          <w:tcPr>
            <w:tcW w:w="0" w:type="auto"/>
            <w:vAlign w:val="center"/>
            <w:hideMark/>
          </w:tcPr>
          <w:p w14:paraId="72FB12C9" w14:textId="77777777" w:rsidR="005D0208" w:rsidRPr="003C7F4C" w:rsidRDefault="005D0208" w:rsidP="005D0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</w:tbl>
    <w:p w14:paraId="789DA804" w14:textId="4E6299A4" w:rsidR="005D0208" w:rsidRPr="003C7F4C" w:rsidRDefault="005D0208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Covariate balance was assessed using standardized mean differences (SMD). An absolute SMD &lt;0.1 was considered indicative of adequate balance. IPTW was based on propensity scores estimated from age, tumor size (modeled with a quadratic term), nodal status, and intrinsic subtype, with stabilized weights applied.</w:t>
      </w:r>
    </w:p>
    <w:p w14:paraId="6C8AF439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2FC43C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EA5C0F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0144FF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F77649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5B40A3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BB593F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2A3959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43F095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AF70E7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BF72E7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9DB4DD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0BF7A7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6141B9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31BC03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89A1B8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0D7B50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5365E7" w14:textId="77777777" w:rsidR="003F341F" w:rsidRPr="003C7F4C" w:rsidRDefault="003F341F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FC3080" w14:textId="77777777" w:rsidR="00E60652" w:rsidRPr="003C7F4C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C9A80B" w14:textId="348D4F73" w:rsidR="00E60652" w:rsidRPr="003C7F4C" w:rsidRDefault="00255B84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Supplementary Table S7. Recurrence events according to neoadjuvant treatment modality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"/>
        <w:gridCol w:w="1005"/>
        <w:gridCol w:w="883"/>
      </w:tblGrid>
      <w:tr w:rsidR="003F341F" w:rsidRPr="003C7F4C" w14:paraId="511DD30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1882FE" w14:textId="77777777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661787" w14:textId="7ED52164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NAC</w:t>
            </w:r>
            <w:r w:rsidR="00930398" w:rsidRPr="003C7F4C">
              <w:rPr>
                <w:rFonts w:ascii="Arial" w:hAnsi="Arial" w:cs="Arial"/>
                <w:sz w:val="20"/>
                <w:szCs w:val="20"/>
              </w:rPr>
              <w:t xml:space="preserve"> (273)</w:t>
            </w:r>
          </w:p>
        </w:tc>
        <w:tc>
          <w:tcPr>
            <w:tcW w:w="0" w:type="auto"/>
            <w:vAlign w:val="center"/>
            <w:hideMark/>
          </w:tcPr>
          <w:p w14:paraId="1DA153F0" w14:textId="516F067E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NET</w:t>
            </w:r>
            <w:r w:rsidR="00930398" w:rsidRPr="003C7F4C">
              <w:rPr>
                <w:rFonts w:ascii="Arial" w:hAnsi="Arial" w:cs="Arial"/>
                <w:sz w:val="20"/>
                <w:szCs w:val="20"/>
              </w:rPr>
              <w:t xml:space="preserve"> (50)</w:t>
            </w:r>
          </w:p>
        </w:tc>
      </w:tr>
      <w:tr w:rsidR="003F341F" w:rsidRPr="003C7F4C" w14:paraId="4A9713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4F61B" w14:textId="77777777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Any LRR</w:t>
            </w:r>
          </w:p>
        </w:tc>
        <w:tc>
          <w:tcPr>
            <w:tcW w:w="0" w:type="auto"/>
            <w:vAlign w:val="center"/>
            <w:hideMark/>
          </w:tcPr>
          <w:p w14:paraId="0AD21F63" w14:textId="4B866C19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A0AC793" w14:textId="482B9881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3F341F" w:rsidRPr="003C7F4C" w14:paraId="71E606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426DD" w14:textId="77777777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True LRR</w:t>
            </w:r>
          </w:p>
        </w:tc>
        <w:tc>
          <w:tcPr>
            <w:tcW w:w="0" w:type="auto"/>
            <w:vAlign w:val="center"/>
            <w:hideMark/>
          </w:tcPr>
          <w:p w14:paraId="05E3AE73" w14:textId="499674CD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AA8342B" w14:textId="2C0BAB26" w:rsidR="003F341F" w:rsidRPr="003C7F4C" w:rsidRDefault="003F341F" w:rsidP="003F34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11D1C765" w14:textId="64D6A94C" w:rsidR="003F341F" w:rsidRPr="003C7F4C" w:rsidRDefault="00255B84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Owing to the limited number of events in the NET group, separate multivariable analyses were not performed.</w:t>
      </w:r>
    </w:p>
    <w:p w14:paraId="6ED3266D" w14:textId="77777777" w:rsidR="003F341F" w:rsidRPr="003C7F4C" w:rsidRDefault="003F341F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C0E251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9368F2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476C25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F96258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1410EB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371F90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68DBF1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875389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4AF6A5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D03EB0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27897F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76CC59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6DBC15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B64777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CC20D0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51FD66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932B62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2E0658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698F5F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6C8831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798238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27A55F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548048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EE77B3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E8E758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E71753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76CF09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EA1D3A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82884E" w14:textId="77777777" w:rsidR="00B856D8" w:rsidRDefault="00B856D8" w:rsidP="00E606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F8883C" w14:textId="23B3E716" w:rsidR="00E60652" w:rsidRPr="003C7F4C" w:rsidRDefault="00E60652" w:rsidP="005D0208">
      <w:pPr>
        <w:spacing w:after="0" w:line="240" w:lineRule="auto"/>
        <w:jc w:val="both"/>
        <w:rPr>
          <w:rFonts w:ascii="Arial" w:hAnsi="Arial" w:cs="Arial" w:hint="eastAsia"/>
          <w:sz w:val="20"/>
          <w:szCs w:val="20"/>
        </w:rPr>
      </w:pPr>
      <w:r w:rsidRPr="003C7F4C">
        <w:rPr>
          <w:rFonts w:ascii="Arial" w:hAnsi="Arial" w:cs="Arial"/>
          <w:sz w:val="20"/>
          <w:szCs w:val="20"/>
        </w:rPr>
        <w:t>Supplementary Table S</w:t>
      </w:r>
      <w:r w:rsidR="003F341F" w:rsidRPr="003C7F4C">
        <w:rPr>
          <w:rFonts w:ascii="Arial" w:hAnsi="Arial" w:cs="Arial"/>
          <w:sz w:val="20"/>
          <w:szCs w:val="20"/>
        </w:rPr>
        <w:t>8</w:t>
      </w:r>
      <w:r w:rsidRPr="003C7F4C">
        <w:rPr>
          <w:rFonts w:ascii="Arial" w:hAnsi="Arial" w:cs="Arial"/>
          <w:sz w:val="20"/>
          <w:szCs w:val="20"/>
        </w:rPr>
        <w:t>.</w:t>
      </w:r>
      <w:r w:rsidRPr="003C7F4C">
        <w:rPr>
          <w:rFonts w:ascii="Arial" w:eastAsia="ＭＳ Ｐゴシック" w:hAnsi="Arial" w:cs="Arial"/>
          <w:kern w:val="0"/>
          <w:sz w:val="20"/>
          <w:szCs w:val="20"/>
          <w14:ligatures w14:val="none"/>
        </w:rPr>
        <w:t xml:space="preserve"> </w:t>
      </w:r>
      <w:r w:rsidRPr="003C7F4C">
        <w:rPr>
          <w:rFonts w:ascii="Arial" w:hAnsi="Arial" w:cs="Arial"/>
          <w:sz w:val="20"/>
          <w:szCs w:val="20"/>
        </w:rPr>
        <w:t>Exploratory analysis according to treatment era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"/>
        <w:gridCol w:w="491"/>
        <w:gridCol w:w="1287"/>
        <w:gridCol w:w="1242"/>
      </w:tblGrid>
      <w:tr w:rsidR="00E60652" w:rsidRPr="003C7F4C" w14:paraId="2F98DEA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BE09F8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Era</w:t>
            </w:r>
          </w:p>
        </w:tc>
        <w:tc>
          <w:tcPr>
            <w:tcW w:w="0" w:type="auto"/>
            <w:vAlign w:val="center"/>
            <w:hideMark/>
          </w:tcPr>
          <w:p w14:paraId="53914855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790CB89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True LRR (%)</w:t>
            </w:r>
          </w:p>
        </w:tc>
        <w:tc>
          <w:tcPr>
            <w:tcW w:w="0" w:type="auto"/>
            <w:vAlign w:val="center"/>
            <w:hideMark/>
          </w:tcPr>
          <w:p w14:paraId="58DCF466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Any LRR (%)</w:t>
            </w:r>
          </w:p>
        </w:tc>
      </w:tr>
      <w:tr w:rsidR="00E60652" w:rsidRPr="003C7F4C" w14:paraId="1B231C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247DF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2000–2010</w:t>
            </w:r>
          </w:p>
        </w:tc>
        <w:tc>
          <w:tcPr>
            <w:tcW w:w="0" w:type="auto"/>
            <w:vAlign w:val="center"/>
            <w:hideMark/>
          </w:tcPr>
          <w:p w14:paraId="6AABE703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505</w:t>
            </w:r>
          </w:p>
        </w:tc>
        <w:tc>
          <w:tcPr>
            <w:tcW w:w="0" w:type="auto"/>
            <w:vAlign w:val="center"/>
            <w:hideMark/>
          </w:tcPr>
          <w:p w14:paraId="5FCA5659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24 (4.8)</w:t>
            </w:r>
          </w:p>
        </w:tc>
        <w:tc>
          <w:tcPr>
            <w:tcW w:w="0" w:type="auto"/>
            <w:vAlign w:val="center"/>
            <w:hideMark/>
          </w:tcPr>
          <w:p w14:paraId="705F82A0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34 (6.7)</w:t>
            </w:r>
          </w:p>
        </w:tc>
      </w:tr>
      <w:tr w:rsidR="00E60652" w:rsidRPr="003C7F4C" w14:paraId="43492B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375A6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2011–2025</w:t>
            </w:r>
          </w:p>
        </w:tc>
        <w:tc>
          <w:tcPr>
            <w:tcW w:w="0" w:type="auto"/>
            <w:vAlign w:val="center"/>
            <w:hideMark/>
          </w:tcPr>
          <w:p w14:paraId="78C529AF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1139</w:t>
            </w:r>
          </w:p>
        </w:tc>
        <w:tc>
          <w:tcPr>
            <w:tcW w:w="0" w:type="auto"/>
            <w:vAlign w:val="center"/>
            <w:hideMark/>
          </w:tcPr>
          <w:p w14:paraId="3EDD0A3F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27 (2.4)</w:t>
            </w:r>
          </w:p>
        </w:tc>
        <w:tc>
          <w:tcPr>
            <w:tcW w:w="0" w:type="auto"/>
            <w:vAlign w:val="center"/>
            <w:hideMark/>
          </w:tcPr>
          <w:p w14:paraId="40DEED7A" w14:textId="77777777" w:rsidR="00E60652" w:rsidRPr="003C7F4C" w:rsidRDefault="00E60652" w:rsidP="00E606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7F4C">
              <w:rPr>
                <w:rFonts w:ascii="Arial" w:hAnsi="Arial" w:cs="Arial"/>
                <w:sz w:val="20"/>
                <w:szCs w:val="20"/>
              </w:rPr>
              <w:t>41 (3.6)</w:t>
            </w:r>
          </w:p>
        </w:tc>
      </w:tr>
    </w:tbl>
    <w:p w14:paraId="20EB9FB9" w14:textId="77777777" w:rsidR="00E60652" w:rsidRPr="00E60652" w:rsidRDefault="00E60652" w:rsidP="005D02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60652" w:rsidRPr="00E606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19CC6" w14:textId="77777777" w:rsidR="002A0BAE" w:rsidRDefault="002A0BAE" w:rsidP="00A56E37">
      <w:pPr>
        <w:spacing w:after="0" w:line="240" w:lineRule="auto"/>
      </w:pPr>
      <w:r>
        <w:separator/>
      </w:r>
    </w:p>
  </w:endnote>
  <w:endnote w:type="continuationSeparator" w:id="0">
    <w:p w14:paraId="4CD784C2" w14:textId="77777777" w:rsidR="002A0BAE" w:rsidRDefault="002A0BAE" w:rsidP="00A56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AEB4" w14:textId="77777777" w:rsidR="002A0BAE" w:rsidRDefault="002A0BAE" w:rsidP="00A56E37">
      <w:pPr>
        <w:spacing w:after="0" w:line="240" w:lineRule="auto"/>
      </w:pPr>
      <w:r>
        <w:separator/>
      </w:r>
    </w:p>
  </w:footnote>
  <w:footnote w:type="continuationSeparator" w:id="0">
    <w:p w14:paraId="3ECA06FE" w14:textId="77777777" w:rsidR="002A0BAE" w:rsidRDefault="002A0BAE" w:rsidP="00A56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AFC"/>
    <w:multiLevelType w:val="multilevel"/>
    <w:tmpl w:val="4D4CA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96962"/>
    <w:multiLevelType w:val="multilevel"/>
    <w:tmpl w:val="4D1A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A311A"/>
    <w:multiLevelType w:val="multilevel"/>
    <w:tmpl w:val="D5B4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E41B9"/>
    <w:multiLevelType w:val="multilevel"/>
    <w:tmpl w:val="3F1E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45F15"/>
    <w:multiLevelType w:val="multilevel"/>
    <w:tmpl w:val="F3DA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D4605C"/>
    <w:multiLevelType w:val="multilevel"/>
    <w:tmpl w:val="D8A2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71149"/>
    <w:multiLevelType w:val="multilevel"/>
    <w:tmpl w:val="C118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A41FD"/>
    <w:multiLevelType w:val="multilevel"/>
    <w:tmpl w:val="B114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3333C7"/>
    <w:multiLevelType w:val="multilevel"/>
    <w:tmpl w:val="0BF8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0B7301"/>
    <w:multiLevelType w:val="multilevel"/>
    <w:tmpl w:val="64B6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E00230"/>
    <w:multiLevelType w:val="multilevel"/>
    <w:tmpl w:val="3566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5A586A"/>
    <w:multiLevelType w:val="multilevel"/>
    <w:tmpl w:val="25B8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A76DA8"/>
    <w:multiLevelType w:val="multilevel"/>
    <w:tmpl w:val="2FB6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C728F3"/>
    <w:multiLevelType w:val="multilevel"/>
    <w:tmpl w:val="42D6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A4AEB"/>
    <w:multiLevelType w:val="multilevel"/>
    <w:tmpl w:val="9B048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004DB2"/>
    <w:multiLevelType w:val="multilevel"/>
    <w:tmpl w:val="DE924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99310">
    <w:abstractNumId w:val="0"/>
  </w:num>
  <w:num w:numId="2" w16cid:durableId="321935375">
    <w:abstractNumId w:val="7"/>
  </w:num>
  <w:num w:numId="3" w16cid:durableId="1311786326">
    <w:abstractNumId w:val="8"/>
  </w:num>
  <w:num w:numId="4" w16cid:durableId="1969700079">
    <w:abstractNumId w:val="6"/>
  </w:num>
  <w:num w:numId="5" w16cid:durableId="211157936">
    <w:abstractNumId w:val="10"/>
  </w:num>
  <w:num w:numId="6" w16cid:durableId="301422640">
    <w:abstractNumId w:val="3"/>
  </w:num>
  <w:num w:numId="7" w16cid:durableId="1857575132">
    <w:abstractNumId w:val="11"/>
  </w:num>
  <w:num w:numId="8" w16cid:durableId="1773863232">
    <w:abstractNumId w:val="5"/>
  </w:num>
  <w:num w:numId="9" w16cid:durableId="1266110175">
    <w:abstractNumId w:val="1"/>
  </w:num>
  <w:num w:numId="10" w16cid:durableId="789084503">
    <w:abstractNumId w:val="13"/>
  </w:num>
  <w:num w:numId="11" w16cid:durableId="886256366">
    <w:abstractNumId w:val="9"/>
  </w:num>
  <w:num w:numId="12" w16cid:durableId="2037264803">
    <w:abstractNumId w:val="15"/>
  </w:num>
  <w:num w:numId="13" w16cid:durableId="444468058">
    <w:abstractNumId w:val="14"/>
  </w:num>
  <w:num w:numId="14" w16cid:durableId="356542114">
    <w:abstractNumId w:val="4"/>
  </w:num>
  <w:num w:numId="15" w16cid:durableId="1402866808">
    <w:abstractNumId w:val="2"/>
  </w:num>
  <w:num w:numId="16" w16cid:durableId="10954415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2E"/>
    <w:rsid w:val="00024119"/>
    <w:rsid w:val="00035D5A"/>
    <w:rsid w:val="00053B80"/>
    <w:rsid w:val="000C5597"/>
    <w:rsid w:val="000D0E40"/>
    <w:rsid w:val="00100C7A"/>
    <w:rsid w:val="001443DB"/>
    <w:rsid w:val="001602C2"/>
    <w:rsid w:val="00193CF6"/>
    <w:rsid w:val="001B1182"/>
    <w:rsid w:val="001E78BE"/>
    <w:rsid w:val="00255B84"/>
    <w:rsid w:val="00275A55"/>
    <w:rsid w:val="002A0BAE"/>
    <w:rsid w:val="002C6317"/>
    <w:rsid w:val="002F44F9"/>
    <w:rsid w:val="0037522C"/>
    <w:rsid w:val="003C775E"/>
    <w:rsid w:val="003C7F4C"/>
    <w:rsid w:val="003D5D8C"/>
    <w:rsid w:val="003F0378"/>
    <w:rsid w:val="003F341F"/>
    <w:rsid w:val="004227D6"/>
    <w:rsid w:val="004669B7"/>
    <w:rsid w:val="00471989"/>
    <w:rsid w:val="00494171"/>
    <w:rsid w:val="004D5A65"/>
    <w:rsid w:val="004E006C"/>
    <w:rsid w:val="00507A48"/>
    <w:rsid w:val="00532778"/>
    <w:rsid w:val="00540002"/>
    <w:rsid w:val="00542417"/>
    <w:rsid w:val="00551D69"/>
    <w:rsid w:val="0056597F"/>
    <w:rsid w:val="005B58AD"/>
    <w:rsid w:val="005D0208"/>
    <w:rsid w:val="005D7564"/>
    <w:rsid w:val="006221D2"/>
    <w:rsid w:val="00646DC1"/>
    <w:rsid w:val="00653922"/>
    <w:rsid w:val="006B6CF7"/>
    <w:rsid w:val="006D191B"/>
    <w:rsid w:val="007811E6"/>
    <w:rsid w:val="007C241C"/>
    <w:rsid w:val="007D3E47"/>
    <w:rsid w:val="007F6167"/>
    <w:rsid w:val="00827F55"/>
    <w:rsid w:val="00847658"/>
    <w:rsid w:val="0086772C"/>
    <w:rsid w:val="0087066F"/>
    <w:rsid w:val="008B5844"/>
    <w:rsid w:val="008E4AEA"/>
    <w:rsid w:val="00914B4E"/>
    <w:rsid w:val="00930398"/>
    <w:rsid w:val="009509B6"/>
    <w:rsid w:val="009B3265"/>
    <w:rsid w:val="009E372A"/>
    <w:rsid w:val="00A2196B"/>
    <w:rsid w:val="00A56E37"/>
    <w:rsid w:val="00B15DFB"/>
    <w:rsid w:val="00B670FB"/>
    <w:rsid w:val="00B81129"/>
    <w:rsid w:val="00B856D8"/>
    <w:rsid w:val="00B92980"/>
    <w:rsid w:val="00B966F2"/>
    <w:rsid w:val="00BE612E"/>
    <w:rsid w:val="00C41CAB"/>
    <w:rsid w:val="00C50D39"/>
    <w:rsid w:val="00C83D02"/>
    <w:rsid w:val="00CA1CC5"/>
    <w:rsid w:val="00CE2755"/>
    <w:rsid w:val="00D027DB"/>
    <w:rsid w:val="00D57171"/>
    <w:rsid w:val="00DE41B1"/>
    <w:rsid w:val="00E04218"/>
    <w:rsid w:val="00E20D36"/>
    <w:rsid w:val="00E46A4C"/>
    <w:rsid w:val="00E60652"/>
    <w:rsid w:val="00E74006"/>
    <w:rsid w:val="00E749F5"/>
    <w:rsid w:val="00E944C6"/>
    <w:rsid w:val="00F111A8"/>
    <w:rsid w:val="00F16E3B"/>
    <w:rsid w:val="00F24E38"/>
    <w:rsid w:val="00FA5CFA"/>
    <w:rsid w:val="00FB1E7B"/>
    <w:rsid w:val="00FD560E"/>
    <w:rsid w:val="00FE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A560F"/>
  <w15:chartTrackingRefBased/>
  <w15:docId w15:val="{14F41D56-ADB2-4ED3-A803-272B2137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612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E6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1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12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12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12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12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12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12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61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E61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612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6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6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6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6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61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61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61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6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12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61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61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12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612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6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612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612E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BE612E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A56E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56E37"/>
  </w:style>
  <w:style w:type="paragraph" w:styleId="ac">
    <w:name w:val="footer"/>
    <w:basedOn w:val="a"/>
    <w:link w:val="ad"/>
    <w:uiPriority w:val="99"/>
    <w:unhideWhenUsed/>
    <w:rsid w:val="00A56E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56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琢哉 森崎</dc:creator>
  <cp:keywords/>
  <dc:description/>
  <cp:lastModifiedBy>琢哉 森崎</cp:lastModifiedBy>
  <cp:revision>12</cp:revision>
  <dcterms:created xsi:type="dcterms:W3CDTF">2026-04-13T00:14:00Z</dcterms:created>
  <dcterms:modified xsi:type="dcterms:W3CDTF">2026-06-17T05:09:00Z</dcterms:modified>
</cp:coreProperties>
</file>