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E76F4" w14:textId="77777777" w:rsidR="00CC3C5A" w:rsidRPr="00DC5BE3" w:rsidRDefault="00CC3C5A" w:rsidP="00CC3C5A">
      <w:pPr>
        <w:tabs>
          <w:tab w:val="left" w:pos="1760"/>
        </w:tabs>
        <w:rPr>
          <w:rFonts w:ascii="Arial" w:hAnsi="Arial" w:cs="Arial"/>
          <w:color w:val="0F1115"/>
          <w:sz w:val="21"/>
          <w:szCs w:val="21"/>
          <w:shd w:val="clear" w:color="auto" w:fill="FFFFFF"/>
        </w:rPr>
      </w:pPr>
      <w:r w:rsidRPr="00DC5BE3">
        <w:rPr>
          <w:rFonts w:ascii="Arial" w:hAnsi="Arial" w:cs="Arial"/>
          <w:b/>
          <w:bCs/>
          <w:color w:val="0F1115"/>
          <w:sz w:val="21"/>
          <w:szCs w:val="21"/>
          <w:shd w:val="clear" w:color="auto" w:fill="FFFFFF"/>
        </w:rPr>
        <w:t>Development and Validation of a Multifeature-Integrated Nomogram for Predicting Postoperative Survival in Macrotrabecular-Massive Hepatocellular Carcinoma</w:t>
      </w:r>
    </w:p>
    <w:p w14:paraId="56062E67" w14:textId="77777777" w:rsidR="00CC3C5A" w:rsidRDefault="00054018">
      <w:pPr>
        <w:rPr>
          <w:rFonts w:hint="eastAsia"/>
        </w:rPr>
      </w:pPr>
      <w:r>
        <w:rPr>
          <w:rFonts w:hint="eastAsia"/>
        </w:rPr>
        <w:t xml:space="preserve">                          </w:t>
      </w:r>
    </w:p>
    <w:p w14:paraId="462F155C" w14:textId="77777777" w:rsidR="00CC3C5A" w:rsidRDefault="00CC3C5A">
      <w:pPr>
        <w:rPr>
          <w:rFonts w:hint="eastAsia"/>
        </w:rPr>
      </w:pPr>
    </w:p>
    <w:p w14:paraId="17535280" w14:textId="77777777" w:rsidR="00CC3C5A" w:rsidRPr="002B71FE" w:rsidRDefault="00CC3C5A" w:rsidP="00CC3C5A">
      <w:pPr>
        <w:ind w:firstLineChars="1200" w:firstLine="2520"/>
        <w:rPr>
          <w:rFonts w:ascii="Arial" w:hAnsi="Arial" w:cs="Arial"/>
          <w:sz w:val="21"/>
          <w:szCs w:val="21"/>
        </w:rPr>
      </w:pPr>
      <w:r w:rsidRPr="002B71FE">
        <w:rPr>
          <w:rFonts w:ascii="Arial" w:hAnsi="Arial" w:cs="Arial"/>
          <w:b/>
          <w:bCs/>
          <w:sz w:val="21"/>
          <w:szCs w:val="21"/>
        </w:rPr>
        <w:t>Supplementary Materials</w:t>
      </w:r>
    </w:p>
    <w:p w14:paraId="7290B770" w14:textId="77777777" w:rsidR="00CC3C5A" w:rsidRPr="002B71FE" w:rsidRDefault="00CC3C5A">
      <w:pPr>
        <w:rPr>
          <w:rFonts w:ascii="Arial" w:hAnsi="Arial" w:cs="Arial"/>
          <w:sz w:val="21"/>
          <w:szCs w:val="21"/>
        </w:rPr>
      </w:pPr>
    </w:p>
    <w:p w14:paraId="34DA33B5" w14:textId="77777777" w:rsidR="00CC3C5A" w:rsidRPr="002B71FE" w:rsidRDefault="00CC3C5A">
      <w:pPr>
        <w:rPr>
          <w:rFonts w:ascii="Arial" w:hAnsi="Arial" w:cs="Arial"/>
          <w:sz w:val="21"/>
          <w:szCs w:val="21"/>
        </w:rPr>
      </w:pPr>
    </w:p>
    <w:p w14:paraId="31FE6F83" w14:textId="77777777" w:rsidR="00CC3C5A" w:rsidRPr="002B71FE" w:rsidRDefault="00CC3C5A">
      <w:pPr>
        <w:rPr>
          <w:rFonts w:ascii="Arial" w:hAnsi="Arial" w:cs="Arial"/>
          <w:sz w:val="21"/>
          <w:szCs w:val="21"/>
        </w:rPr>
      </w:pPr>
    </w:p>
    <w:p w14:paraId="40728536" w14:textId="12CE8219" w:rsidR="007978AA" w:rsidRPr="00C745C3" w:rsidRDefault="006B2BE9" w:rsidP="006B2BE9">
      <w:pPr>
        <w:rPr>
          <w:rFonts w:ascii="Arial" w:hAnsi="Arial" w:cs="Arial" w:hint="eastAsia"/>
          <w:sz w:val="21"/>
          <w:szCs w:val="21"/>
        </w:rPr>
      </w:pPr>
      <w:r w:rsidRPr="002B71FE">
        <w:rPr>
          <w:rFonts w:ascii="Arial" w:hAnsi="Arial" w:cs="Arial"/>
          <w:b/>
          <w:bCs/>
          <w:sz w:val="21"/>
          <w:szCs w:val="21"/>
        </w:rPr>
        <w:t xml:space="preserve">1. Supplementary methods </w:t>
      </w:r>
    </w:p>
    <w:p w14:paraId="046D5139" w14:textId="402320E1" w:rsidR="006B2BE9" w:rsidRPr="002B71FE" w:rsidRDefault="00095B5E" w:rsidP="006B2BE9">
      <w:pPr>
        <w:rPr>
          <w:rFonts w:ascii="Arial" w:hAnsi="Arial" w:cs="Arial"/>
          <w:sz w:val="21"/>
          <w:szCs w:val="21"/>
        </w:rPr>
      </w:pPr>
      <w:r w:rsidRPr="00095B5E">
        <w:rPr>
          <w:rFonts w:ascii="Arial" w:hAnsi="Arial" w:cs="Arial"/>
          <w:b/>
          <w:bCs/>
          <w:sz w:val="21"/>
          <w:szCs w:val="21"/>
        </w:rPr>
        <w:t>Table 1</w:t>
      </w:r>
      <w:r>
        <w:rPr>
          <w:rFonts w:ascii="Arial" w:hAnsi="Arial" w:cs="Arial" w:hint="eastAsia"/>
          <w:sz w:val="21"/>
          <w:szCs w:val="21"/>
        </w:rPr>
        <w:t xml:space="preserve"> </w:t>
      </w:r>
      <w:r w:rsidR="006B2BE9" w:rsidRPr="002B71FE">
        <w:rPr>
          <w:rFonts w:ascii="Arial" w:hAnsi="Arial" w:cs="Arial"/>
          <w:sz w:val="21"/>
          <w:szCs w:val="21"/>
        </w:rPr>
        <w:t>Detailed imaging feature definitions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6B2BE9" w14:paraId="52D4A457" w14:textId="77777777" w:rsidTr="006B2BE9">
        <w:tc>
          <w:tcPr>
            <w:tcW w:w="4148" w:type="dxa"/>
          </w:tcPr>
          <w:p w14:paraId="70D1B1B3" w14:textId="77777777" w:rsidR="006B2BE9" w:rsidRPr="0017532D" w:rsidRDefault="006B2BE9" w:rsidP="006B2BE9">
            <w:pPr>
              <w:rPr>
                <w:rFonts w:ascii="Arial" w:hAnsi="Arial" w:cs="Arial"/>
                <w:sz w:val="21"/>
                <w:szCs w:val="21"/>
              </w:rPr>
            </w:pPr>
            <w:r w:rsidRPr="0017532D">
              <w:rPr>
                <w:rFonts w:ascii="Arial" w:hAnsi="Arial" w:cs="Arial"/>
                <w:b/>
                <w:bCs/>
                <w:sz w:val="21"/>
                <w:szCs w:val="21"/>
              </w:rPr>
              <w:t>CT features</w:t>
            </w:r>
          </w:p>
        </w:tc>
        <w:tc>
          <w:tcPr>
            <w:tcW w:w="4148" w:type="dxa"/>
          </w:tcPr>
          <w:p w14:paraId="379B107F" w14:textId="77777777" w:rsidR="006B2BE9" w:rsidRDefault="006B2BE9" w:rsidP="006B2BE9">
            <w:pPr>
              <w:rPr>
                <w:rFonts w:hint="eastAsia"/>
              </w:rPr>
            </w:pPr>
            <w:r w:rsidRPr="006B2BE9">
              <w:rPr>
                <w:b/>
                <w:bCs/>
              </w:rPr>
              <w:t>Definitions</w:t>
            </w:r>
          </w:p>
        </w:tc>
      </w:tr>
      <w:tr w:rsidR="006B2BE9" w14:paraId="302D0095" w14:textId="77777777" w:rsidTr="006B2BE9">
        <w:tc>
          <w:tcPr>
            <w:tcW w:w="4148" w:type="dxa"/>
          </w:tcPr>
          <w:p w14:paraId="42B16D08" w14:textId="77777777" w:rsidR="006B2BE9" w:rsidRPr="0017532D" w:rsidRDefault="0017532D" w:rsidP="00EA3E3A">
            <w:pPr>
              <w:rPr>
                <w:rFonts w:ascii="Arial" w:hAnsi="Arial" w:cs="Arial"/>
                <w:sz w:val="21"/>
                <w:szCs w:val="21"/>
              </w:rPr>
            </w:pPr>
            <w:r w:rsidRPr="0017532D">
              <w:rPr>
                <w:rFonts w:ascii="Arial" w:hAnsi="Arial" w:cs="Arial"/>
                <w:sz w:val="21"/>
                <w:szCs w:val="21"/>
              </w:rPr>
              <w:t>Tumor margin (regular VS irregular)</w:t>
            </w:r>
          </w:p>
        </w:tc>
        <w:tc>
          <w:tcPr>
            <w:tcW w:w="4148" w:type="dxa"/>
          </w:tcPr>
          <w:p w14:paraId="2BB09410" w14:textId="77777777" w:rsidR="006B2BE9" w:rsidRPr="00380FA4" w:rsidRDefault="00380FA4" w:rsidP="00EA3E3A">
            <w:pPr>
              <w:rPr>
                <w:rFonts w:ascii="Arial" w:hAnsi="Arial" w:cs="Arial"/>
                <w:sz w:val="21"/>
                <w:szCs w:val="21"/>
              </w:rPr>
            </w:pPr>
            <w:r w:rsidRPr="00380FA4">
              <w:rPr>
                <w:rFonts w:ascii="Arial" w:hAnsi="Arial" w:cs="Arial"/>
                <w:color w:val="0F1115"/>
                <w:sz w:val="21"/>
                <w:szCs w:val="21"/>
                <w:shd w:val="clear" w:color="auto" w:fill="FFFFFF"/>
              </w:rPr>
              <w:t>Shape of the tumor–liver parenchyma interface: </w:t>
            </w:r>
            <w:r w:rsidRPr="00380FA4">
              <w:rPr>
                <w:rFonts w:ascii="Arial" w:hAnsi="Arial" w:cs="Arial"/>
                <w:i/>
                <w:iCs/>
                <w:color w:val="0F1115"/>
                <w:sz w:val="21"/>
                <w:szCs w:val="21"/>
                <w:shd w:val="clear" w:color="auto" w:fill="FFFFFF"/>
              </w:rPr>
              <w:t>Regular</w:t>
            </w:r>
            <w:r w:rsidRPr="00380FA4">
              <w:rPr>
                <w:rFonts w:ascii="Arial" w:hAnsi="Arial" w:cs="Arial"/>
                <w:color w:val="0F1115"/>
                <w:sz w:val="21"/>
                <w:szCs w:val="21"/>
                <w:shd w:val="clear" w:color="auto" w:fill="FFFFFF"/>
              </w:rPr>
              <w:t> refers to a smooth, round, or oval contour; </w:t>
            </w:r>
            <w:r w:rsidRPr="00380FA4">
              <w:rPr>
                <w:rFonts w:ascii="Arial" w:hAnsi="Arial" w:cs="Arial"/>
                <w:i/>
                <w:iCs/>
                <w:color w:val="0F1115"/>
                <w:sz w:val="21"/>
                <w:szCs w:val="21"/>
                <w:shd w:val="clear" w:color="auto" w:fill="FFFFFF"/>
              </w:rPr>
              <w:t>Irregular</w:t>
            </w:r>
            <w:r w:rsidRPr="00380FA4">
              <w:rPr>
                <w:rFonts w:ascii="Arial" w:hAnsi="Arial" w:cs="Arial"/>
                <w:color w:val="0F1115"/>
                <w:sz w:val="21"/>
                <w:szCs w:val="21"/>
                <w:shd w:val="clear" w:color="auto" w:fill="FFFFFF"/>
              </w:rPr>
              <w:t> refers to lobulated, spiculated, serrated, or discontinuous borders.</w:t>
            </w:r>
          </w:p>
        </w:tc>
      </w:tr>
      <w:tr w:rsidR="006B2BE9" w14:paraId="4154ED8C" w14:textId="77777777" w:rsidTr="006B2BE9">
        <w:tc>
          <w:tcPr>
            <w:tcW w:w="4148" w:type="dxa"/>
          </w:tcPr>
          <w:p w14:paraId="497C14A4" w14:textId="53B75E09" w:rsidR="006B2BE9" w:rsidRPr="0017532D" w:rsidRDefault="0017532D" w:rsidP="00A83CA8">
            <w:pPr>
              <w:rPr>
                <w:rFonts w:ascii="Arial" w:hAnsi="Arial" w:cs="Arial"/>
                <w:sz w:val="21"/>
                <w:szCs w:val="21"/>
              </w:rPr>
            </w:pPr>
            <w:r w:rsidRPr="0017532D">
              <w:rPr>
                <w:rFonts w:ascii="Arial" w:hAnsi="Arial" w:cs="Arial"/>
                <w:sz w:val="21"/>
                <w:szCs w:val="21"/>
              </w:rPr>
              <w:t>intratumoral substantial</w:t>
            </w:r>
            <w:r w:rsidR="00A83CA8" w:rsidRPr="00A83CA8">
              <w:rPr>
                <w:rFonts w:ascii="Segoe UI" w:hAnsi="Segoe UI" w:cs="Segoe UI"/>
                <w:b/>
                <w:bCs/>
                <w:color w:val="0F1115"/>
                <w:shd w:val="clear" w:color="auto" w:fill="FFFFFF"/>
              </w:rPr>
              <w:t xml:space="preserve"> </w:t>
            </w:r>
            <w:r w:rsidR="00A83CA8" w:rsidRPr="00A83CA8">
              <w:rPr>
                <w:rFonts w:ascii="Arial" w:hAnsi="Arial" w:cs="Arial"/>
                <w:sz w:val="21"/>
                <w:szCs w:val="21"/>
              </w:rPr>
              <w:t>(i.e.,</w:t>
            </w:r>
            <w:r w:rsidR="00A83CA8">
              <w:rPr>
                <w:rFonts w:ascii="Arial" w:hAnsi="Arial" w:cs="Arial" w:hint="eastAsia"/>
                <w:sz w:val="21"/>
                <w:szCs w:val="21"/>
              </w:rPr>
              <w:t xml:space="preserve"> </w:t>
            </w:r>
            <w:r w:rsidR="00A83CA8" w:rsidRPr="00A83CA8">
              <w:rPr>
                <w:rFonts w:ascii="Arial" w:hAnsi="Arial" w:cs="Arial"/>
                <w:sz w:val="21"/>
                <w:szCs w:val="21"/>
              </w:rPr>
              <w:t>solid</w:t>
            </w:r>
            <w:r w:rsidR="00A83CA8" w:rsidRPr="00A83CA8">
              <w:rPr>
                <w:rFonts w:ascii="Arial" w:hAnsi="Arial" w:cs="Arial"/>
                <w:sz w:val="21"/>
                <w:szCs w:val="21"/>
              </w:rPr>
              <w:noBreakHyphen/>
              <w:t>component)</w:t>
            </w:r>
            <w:r w:rsidRPr="00A83CA8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17532D">
              <w:rPr>
                <w:rFonts w:ascii="Arial" w:hAnsi="Arial" w:cs="Arial"/>
                <w:sz w:val="21"/>
                <w:szCs w:val="21"/>
              </w:rPr>
              <w:t>necrosis (presence VS absence)</w:t>
            </w:r>
          </w:p>
        </w:tc>
        <w:tc>
          <w:tcPr>
            <w:tcW w:w="4148" w:type="dxa"/>
          </w:tcPr>
          <w:p w14:paraId="3830C07B" w14:textId="3FB9FCC2" w:rsidR="006B2BE9" w:rsidRPr="00A90C2A" w:rsidRDefault="00A90C2A" w:rsidP="00EA3E3A">
            <w:pPr>
              <w:rPr>
                <w:rFonts w:ascii="Arial" w:hAnsi="Arial" w:cs="Arial"/>
                <w:sz w:val="21"/>
                <w:szCs w:val="21"/>
              </w:rPr>
            </w:pPr>
            <w:r w:rsidRPr="00A90C2A">
              <w:rPr>
                <w:rFonts w:ascii="Arial" w:hAnsi="Arial" w:cs="Arial"/>
                <w:color w:val="0F1115"/>
                <w:sz w:val="21"/>
                <w:szCs w:val="21"/>
                <w:shd w:val="clear" w:color="auto" w:fill="FFFFFF"/>
              </w:rPr>
              <w:t xml:space="preserve">Presence of </w:t>
            </w:r>
            <w:r w:rsidR="00C7660F" w:rsidRPr="00C7660F">
              <w:rPr>
                <w:rFonts w:ascii="Arial" w:hAnsi="Arial" w:cs="Arial"/>
                <w:color w:val="0F1115"/>
                <w:sz w:val="21"/>
                <w:szCs w:val="21"/>
                <w:shd w:val="clear" w:color="auto" w:fill="FFFFFF"/>
              </w:rPr>
              <w:t>any visible</w:t>
            </w:r>
            <w:r w:rsidR="00C7660F">
              <w:rPr>
                <w:rFonts w:ascii="Arial" w:hAnsi="Arial" w:cs="Arial" w:hint="eastAsia"/>
                <w:b/>
                <w:bCs/>
                <w:color w:val="0F1115"/>
                <w:sz w:val="21"/>
                <w:szCs w:val="21"/>
                <w:shd w:val="clear" w:color="auto" w:fill="FFFFFF"/>
              </w:rPr>
              <w:t xml:space="preserve"> </w:t>
            </w:r>
            <w:r w:rsidRPr="00A90C2A">
              <w:rPr>
                <w:rFonts w:ascii="Arial" w:hAnsi="Arial" w:cs="Arial"/>
                <w:color w:val="0F1115"/>
                <w:sz w:val="21"/>
                <w:szCs w:val="21"/>
                <w:shd w:val="clear" w:color="auto" w:fill="FFFFFF"/>
              </w:rPr>
              <w:t>nonenhancing area in a solid mass, not attributable to a cystic component, prior treatment, or intratumoral hemorrhage.</w:t>
            </w:r>
          </w:p>
        </w:tc>
      </w:tr>
      <w:tr w:rsidR="006B2BE9" w14:paraId="36A04D4C" w14:textId="77777777" w:rsidTr="006B2BE9">
        <w:tc>
          <w:tcPr>
            <w:tcW w:w="4148" w:type="dxa"/>
          </w:tcPr>
          <w:p w14:paraId="7229FCE8" w14:textId="77777777" w:rsidR="006B2BE9" w:rsidRPr="0017532D" w:rsidRDefault="0017532D" w:rsidP="00EA3E3A">
            <w:pPr>
              <w:rPr>
                <w:rFonts w:ascii="Arial" w:hAnsi="Arial" w:cs="Arial"/>
                <w:sz w:val="21"/>
                <w:szCs w:val="21"/>
              </w:rPr>
            </w:pPr>
            <w:r w:rsidRPr="0017532D">
              <w:rPr>
                <w:rFonts w:ascii="Arial" w:hAnsi="Arial" w:cs="Arial"/>
                <w:sz w:val="21"/>
                <w:szCs w:val="21"/>
              </w:rPr>
              <w:t>tumor diameter (</w:t>
            </w:r>
            <w:r w:rsidR="006F575D" w:rsidRPr="0017532D">
              <w:rPr>
                <w:rFonts w:ascii="Arial" w:hAnsi="Arial" w:cs="Arial"/>
                <w:sz w:val="21"/>
                <w:szCs w:val="21"/>
              </w:rPr>
              <w:t>cm</w:t>
            </w:r>
            <w:r w:rsidRPr="0017532D">
              <w:rPr>
                <w:rFonts w:ascii="Arial" w:hAnsi="Arial" w:cs="Arial"/>
                <w:sz w:val="21"/>
                <w:szCs w:val="21"/>
              </w:rPr>
              <w:t>)</w:t>
            </w:r>
          </w:p>
        </w:tc>
        <w:tc>
          <w:tcPr>
            <w:tcW w:w="4148" w:type="dxa"/>
          </w:tcPr>
          <w:p w14:paraId="4FD84372" w14:textId="77777777" w:rsidR="006B2BE9" w:rsidRPr="00380FA4" w:rsidRDefault="00380FA4" w:rsidP="00EA3E3A">
            <w:pPr>
              <w:rPr>
                <w:rFonts w:ascii="Arial" w:hAnsi="Arial" w:cs="Arial"/>
                <w:sz w:val="21"/>
                <w:szCs w:val="21"/>
              </w:rPr>
            </w:pPr>
            <w:r w:rsidRPr="00380FA4">
              <w:rPr>
                <w:rFonts w:ascii="Arial" w:hAnsi="Arial" w:cs="Arial"/>
                <w:color w:val="0F1115"/>
                <w:sz w:val="21"/>
                <w:szCs w:val="21"/>
                <w:shd w:val="clear" w:color="auto" w:fill="FFFFFF"/>
              </w:rPr>
              <w:t>Maximum diameter measured on the largest cross-sectional image of the major (dominant) tumor.</w:t>
            </w:r>
          </w:p>
        </w:tc>
      </w:tr>
      <w:tr w:rsidR="006B2BE9" w14:paraId="47C9D5EE" w14:textId="77777777" w:rsidTr="006B2BE9">
        <w:tc>
          <w:tcPr>
            <w:tcW w:w="4148" w:type="dxa"/>
          </w:tcPr>
          <w:p w14:paraId="3EC23121" w14:textId="77777777" w:rsidR="006B2BE9" w:rsidRPr="0017532D" w:rsidRDefault="0017532D" w:rsidP="00EA3E3A">
            <w:pPr>
              <w:rPr>
                <w:rFonts w:ascii="Arial" w:hAnsi="Arial" w:cs="Arial"/>
                <w:sz w:val="21"/>
                <w:szCs w:val="21"/>
              </w:rPr>
            </w:pPr>
            <w:r w:rsidRPr="0017532D">
              <w:rPr>
                <w:rFonts w:ascii="Arial" w:hAnsi="Arial" w:cs="Arial"/>
                <w:sz w:val="21"/>
                <w:szCs w:val="21"/>
              </w:rPr>
              <w:t>number of lesions (Solitary vs multiple)</w:t>
            </w:r>
          </w:p>
        </w:tc>
        <w:tc>
          <w:tcPr>
            <w:tcW w:w="4148" w:type="dxa"/>
          </w:tcPr>
          <w:p w14:paraId="3AE394A2" w14:textId="77777777" w:rsidR="006B2BE9" w:rsidRPr="00A90C2A" w:rsidRDefault="00A90C2A" w:rsidP="00EA3E3A">
            <w:pPr>
              <w:rPr>
                <w:rFonts w:ascii="Arial" w:hAnsi="Arial" w:cs="Arial"/>
                <w:sz w:val="21"/>
                <w:szCs w:val="21"/>
              </w:rPr>
            </w:pPr>
            <w:r w:rsidRPr="00A90C2A">
              <w:rPr>
                <w:rFonts w:ascii="Arial" w:hAnsi="Arial" w:cs="Arial"/>
                <w:color w:val="0F1115"/>
                <w:sz w:val="21"/>
                <w:szCs w:val="21"/>
                <w:shd w:val="clear" w:color="auto" w:fill="FFFFFF"/>
              </w:rPr>
              <w:t>Number of unequivocal HCC according to the clinical criteria used by the American Association for the Study of Liver Diseases.</w:t>
            </w:r>
          </w:p>
        </w:tc>
      </w:tr>
      <w:tr w:rsidR="006B2BE9" w14:paraId="37F2431D" w14:textId="77777777" w:rsidTr="006B2BE9">
        <w:tc>
          <w:tcPr>
            <w:tcW w:w="4148" w:type="dxa"/>
          </w:tcPr>
          <w:p w14:paraId="2520E574" w14:textId="77777777" w:rsidR="006B2BE9" w:rsidRPr="0017532D" w:rsidRDefault="0017532D" w:rsidP="00EA3E3A">
            <w:pPr>
              <w:rPr>
                <w:rFonts w:ascii="Arial" w:hAnsi="Arial" w:cs="Arial"/>
                <w:sz w:val="21"/>
                <w:szCs w:val="21"/>
              </w:rPr>
            </w:pPr>
            <w:r w:rsidRPr="0017532D">
              <w:rPr>
                <w:rFonts w:ascii="Arial" w:hAnsi="Arial" w:cs="Arial"/>
                <w:sz w:val="21"/>
                <w:szCs w:val="21"/>
              </w:rPr>
              <w:t>Cirrhosis (presence VS absence)</w:t>
            </w:r>
          </w:p>
        </w:tc>
        <w:tc>
          <w:tcPr>
            <w:tcW w:w="4148" w:type="dxa"/>
          </w:tcPr>
          <w:p w14:paraId="7A0F4C62" w14:textId="788CCD87" w:rsidR="006B2BE9" w:rsidRPr="00380FA4" w:rsidRDefault="00380FA4" w:rsidP="00EA3E3A">
            <w:pPr>
              <w:rPr>
                <w:rFonts w:ascii="Arial" w:hAnsi="Arial" w:cs="Arial" w:hint="eastAsia"/>
                <w:sz w:val="21"/>
                <w:szCs w:val="21"/>
              </w:rPr>
            </w:pPr>
            <w:r w:rsidRPr="00380FA4">
              <w:rPr>
                <w:rFonts w:ascii="Arial" w:hAnsi="Arial" w:cs="Arial"/>
                <w:color w:val="0F1115"/>
                <w:sz w:val="21"/>
                <w:szCs w:val="21"/>
                <w:shd w:val="clear" w:color="auto" w:fill="FFFFFF"/>
              </w:rPr>
              <w:t>liver dysmorphology with a nodular surface, lobular disproportion, and widened fissures</w:t>
            </w:r>
            <w:r w:rsidR="00C7660F">
              <w:rPr>
                <w:rFonts w:ascii="Arial" w:hAnsi="Arial" w:cs="Arial" w:hint="eastAsia"/>
                <w:color w:val="0F1115"/>
                <w:sz w:val="21"/>
                <w:szCs w:val="21"/>
                <w:shd w:val="clear" w:color="auto" w:fill="FFFFFF"/>
              </w:rPr>
              <w:t>,</w:t>
            </w:r>
            <w:r w:rsidR="00C7660F" w:rsidRPr="00C7660F">
              <w:rPr>
                <w:rFonts w:ascii="Segoe UI" w:hAnsi="Segoe UI" w:cs="Segoe UI"/>
                <w:b/>
                <w:bCs/>
                <w:color w:val="0F1115"/>
                <w:shd w:val="clear" w:color="auto" w:fill="FFFFFF"/>
              </w:rPr>
              <w:t xml:space="preserve"> </w:t>
            </w:r>
            <w:r w:rsidR="00C7660F" w:rsidRPr="00C7660F">
              <w:rPr>
                <w:rFonts w:ascii="Arial" w:hAnsi="Arial" w:cs="Arial"/>
                <w:color w:val="0F1115"/>
                <w:sz w:val="21"/>
                <w:szCs w:val="21"/>
                <w:shd w:val="clear" w:color="auto" w:fill="FFFFFF"/>
              </w:rPr>
              <w:t>and/or signs of portal hypertension (e.g., splenomegaly, varices).</w:t>
            </w:r>
          </w:p>
        </w:tc>
      </w:tr>
    </w:tbl>
    <w:p w14:paraId="64057E95" w14:textId="77777777" w:rsidR="005B3A70" w:rsidRDefault="005B3A70" w:rsidP="00225190">
      <w:pPr>
        <w:rPr>
          <w:rFonts w:hint="eastAsia"/>
        </w:rPr>
      </w:pPr>
    </w:p>
    <w:p w14:paraId="41D60C2C" w14:textId="77777777" w:rsidR="005B3A70" w:rsidRDefault="005B3A70" w:rsidP="00225190">
      <w:pPr>
        <w:rPr>
          <w:rFonts w:hint="eastAsia"/>
        </w:rPr>
      </w:pPr>
    </w:p>
    <w:p w14:paraId="4B9DB8FE" w14:textId="77777777" w:rsidR="0017532D" w:rsidRDefault="0017532D" w:rsidP="002B71FE">
      <w:pPr>
        <w:rPr>
          <w:rFonts w:ascii="Arial" w:hAnsi="Arial" w:cs="Arial"/>
          <w:sz w:val="21"/>
          <w:szCs w:val="21"/>
        </w:rPr>
      </w:pPr>
    </w:p>
    <w:p w14:paraId="7CCECD46" w14:textId="77777777" w:rsidR="0017532D" w:rsidRDefault="0017532D" w:rsidP="002B71FE">
      <w:pPr>
        <w:rPr>
          <w:rFonts w:ascii="Arial" w:hAnsi="Arial" w:cs="Arial"/>
          <w:sz w:val="21"/>
          <w:szCs w:val="21"/>
        </w:rPr>
      </w:pPr>
    </w:p>
    <w:p w14:paraId="24A5F0F0" w14:textId="77777777" w:rsidR="00EA3E3A" w:rsidRDefault="00EA3E3A" w:rsidP="002B71FE">
      <w:pPr>
        <w:rPr>
          <w:rFonts w:ascii="Arial" w:hAnsi="Arial" w:cs="Arial"/>
          <w:sz w:val="21"/>
          <w:szCs w:val="21"/>
        </w:rPr>
      </w:pPr>
    </w:p>
    <w:p w14:paraId="78813B75" w14:textId="77777777" w:rsidR="00705F42" w:rsidRDefault="00705F42" w:rsidP="002B71FE">
      <w:pPr>
        <w:ind w:firstLineChars="200" w:firstLine="420"/>
        <w:rPr>
          <w:rFonts w:ascii="Arial" w:eastAsia="黑体" w:hAnsi="Arial" w:cs="Arial"/>
          <w:sz w:val="21"/>
          <w:szCs w:val="21"/>
        </w:rPr>
      </w:pPr>
    </w:p>
    <w:p w14:paraId="10D2F53D" w14:textId="77777777" w:rsidR="00705F42" w:rsidRDefault="00705F42" w:rsidP="002B71FE">
      <w:pPr>
        <w:ind w:firstLineChars="200" w:firstLine="420"/>
        <w:rPr>
          <w:rFonts w:ascii="Arial" w:eastAsia="黑体" w:hAnsi="Arial" w:cs="Arial"/>
          <w:sz w:val="21"/>
          <w:szCs w:val="21"/>
        </w:rPr>
      </w:pPr>
    </w:p>
    <w:p w14:paraId="0816D0D9" w14:textId="77777777" w:rsidR="00B50E03" w:rsidRDefault="00B50E03" w:rsidP="00705F42">
      <w:pPr>
        <w:rPr>
          <w:rFonts w:ascii="Arial" w:hAnsi="Arial" w:cs="Arial"/>
          <w:sz w:val="21"/>
          <w:szCs w:val="21"/>
        </w:rPr>
      </w:pPr>
    </w:p>
    <w:p w14:paraId="6E56C456" w14:textId="77777777" w:rsidR="00B50E03" w:rsidRDefault="00B50E03" w:rsidP="00705F42">
      <w:pPr>
        <w:rPr>
          <w:rFonts w:ascii="Arial" w:hAnsi="Arial" w:cs="Arial"/>
          <w:sz w:val="21"/>
          <w:szCs w:val="21"/>
        </w:rPr>
      </w:pPr>
    </w:p>
    <w:p w14:paraId="11B6F73A" w14:textId="77777777" w:rsidR="00B50E03" w:rsidRDefault="00B50E03" w:rsidP="00705F42">
      <w:pPr>
        <w:rPr>
          <w:rFonts w:ascii="Arial" w:hAnsi="Arial" w:cs="Arial"/>
          <w:sz w:val="21"/>
          <w:szCs w:val="21"/>
        </w:rPr>
      </w:pPr>
    </w:p>
    <w:p w14:paraId="481F7387" w14:textId="77777777" w:rsidR="005B3A70" w:rsidRDefault="005B3A70" w:rsidP="00225190">
      <w:pPr>
        <w:rPr>
          <w:rFonts w:hint="eastAsia"/>
        </w:rPr>
      </w:pPr>
    </w:p>
    <w:p w14:paraId="799FE04D" w14:textId="77777777" w:rsidR="00461B97" w:rsidRDefault="00461B97" w:rsidP="00225190">
      <w:pPr>
        <w:rPr>
          <w:rFonts w:hint="eastAsia"/>
        </w:rPr>
      </w:pPr>
    </w:p>
    <w:p w14:paraId="056CD726" w14:textId="77777777" w:rsidR="0023499D" w:rsidRPr="0023499D" w:rsidRDefault="0023499D" w:rsidP="00044469">
      <w:pPr>
        <w:wordWrap w:val="0"/>
        <w:rPr>
          <w:rFonts w:hint="eastAsia"/>
          <w:b/>
          <w:bCs/>
          <w:sz w:val="21"/>
          <w:szCs w:val="21"/>
        </w:rPr>
      </w:pPr>
    </w:p>
    <w:sectPr w:rsidR="0023499D" w:rsidRPr="002349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929D0" w14:textId="77777777" w:rsidR="007E6885" w:rsidRDefault="007E6885" w:rsidP="005B3A7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E132507" w14:textId="77777777" w:rsidR="007E6885" w:rsidRDefault="007E6885" w:rsidP="005B3A7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116A0" w14:textId="77777777" w:rsidR="007E6885" w:rsidRDefault="007E6885" w:rsidP="005B3A7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E22D929" w14:textId="77777777" w:rsidR="007E6885" w:rsidRDefault="007E6885" w:rsidP="005B3A7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018"/>
    <w:rsid w:val="000113CB"/>
    <w:rsid w:val="0004351A"/>
    <w:rsid w:val="00044469"/>
    <w:rsid w:val="00054018"/>
    <w:rsid w:val="00061F0E"/>
    <w:rsid w:val="00095B5E"/>
    <w:rsid w:val="000A74F9"/>
    <w:rsid w:val="00142513"/>
    <w:rsid w:val="00160E44"/>
    <w:rsid w:val="0017532D"/>
    <w:rsid w:val="00187E59"/>
    <w:rsid w:val="001F746D"/>
    <w:rsid w:val="00211616"/>
    <w:rsid w:val="00225190"/>
    <w:rsid w:val="002329D9"/>
    <w:rsid w:val="0023499D"/>
    <w:rsid w:val="002417E9"/>
    <w:rsid w:val="00263A44"/>
    <w:rsid w:val="002A09C8"/>
    <w:rsid w:val="002B71FE"/>
    <w:rsid w:val="00380FA4"/>
    <w:rsid w:val="003940C2"/>
    <w:rsid w:val="003F3D25"/>
    <w:rsid w:val="00443A82"/>
    <w:rsid w:val="00461B97"/>
    <w:rsid w:val="005254B1"/>
    <w:rsid w:val="005B3A70"/>
    <w:rsid w:val="00651B76"/>
    <w:rsid w:val="00682BC7"/>
    <w:rsid w:val="006B2BE9"/>
    <w:rsid w:val="006F575D"/>
    <w:rsid w:val="006F6C34"/>
    <w:rsid w:val="00705F42"/>
    <w:rsid w:val="0073290B"/>
    <w:rsid w:val="00755C3C"/>
    <w:rsid w:val="007978AA"/>
    <w:rsid w:val="007E4293"/>
    <w:rsid w:val="007E6885"/>
    <w:rsid w:val="00871EFC"/>
    <w:rsid w:val="008777C2"/>
    <w:rsid w:val="0088480F"/>
    <w:rsid w:val="00955777"/>
    <w:rsid w:val="00A662A8"/>
    <w:rsid w:val="00A83CA8"/>
    <w:rsid w:val="00A90C2A"/>
    <w:rsid w:val="00AE0637"/>
    <w:rsid w:val="00AF5344"/>
    <w:rsid w:val="00B50E03"/>
    <w:rsid w:val="00C014FB"/>
    <w:rsid w:val="00C13114"/>
    <w:rsid w:val="00C745C3"/>
    <w:rsid w:val="00C7660F"/>
    <w:rsid w:val="00C97917"/>
    <w:rsid w:val="00CA5AD8"/>
    <w:rsid w:val="00CC3C5A"/>
    <w:rsid w:val="00CF004C"/>
    <w:rsid w:val="00D5772F"/>
    <w:rsid w:val="00DD3B9E"/>
    <w:rsid w:val="00DE5CB8"/>
    <w:rsid w:val="00E176F4"/>
    <w:rsid w:val="00E77186"/>
    <w:rsid w:val="00EA3E3A"/>
    <w:rsid w:val="00EA6CBC"/>
    <w:rsid w:val="00EC2456"/>
    <w:rsid w:val="00EE5BC6"/>
    <w:rsid w:val="00EF7169"/>
    <w:rsid w:val="00F1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87E2B3"/>
  <w15:chartTrackingRefBased/>
  <w15:docId w15:val="{AFBA8ABC-1F10-4BB0-9811-8E818F8F3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5401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40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401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401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401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4018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401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401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401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5401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540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540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5401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5401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5401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5401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5401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5401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5401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540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401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5401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40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540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401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5401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540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5401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5401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B3A7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B3A7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B3A7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B3A70"/>
    <w:rPr>
      <w:sz w:val="18"/>
      <w:szCs w:val="18"/>
    </w:rPr>
  </w:style>
  <w:style w:type="table" w:styleId="af2">
    <w:name w:val="Table Grid"/>
    <w:basedOn w:val="a1"/>
    <w:uiPriority w:val="39"/>
    <w:rsid w:val="006B2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basedOn w:val="a0"/>
    <w:uiPriority w:val="22"/>
    <w:qFormat/>
    <w:rsid w:val="00CA5A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2</Pages>
  <Words>194</Words>
  <Characters>1038</Characters>
  <Application>Microsoft Office Word</Application>
  <DocSecurity>0</DocSecurity>
  <Lines>30</Lines>
  <Paragraphs>8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天力 刘</dc:creator>
  <cp:keywords/>
  <dc:description/>
  <cp:lastModifiedBy>天力 刘</cp:lastModifiedBy>
  <cp:revision>24</cp:revision>
  <dcterms:created xsi:type="dcterms:W3CDTF">2025-12-15T02:40:00Z</dcterms:created>
  <dcterms:modified xsi:type="dcterms:W3CDTF">2026-05-23T01:51:00Z</dcterms:modified>
</cp:coreProperties>
</file>