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Times New Roman" w:hAnsi="Times New Roman"/>
          <w:b/>
          <w:sz w:val="22"/>
        </w:rPr>
        <w:t>Supplementary Table 2. Neoadjuvant treatment regimens in the training cohort (n=156).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Variable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n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%</w:t>
            </w:r>
          </w:p>
        </w:tc>
      </w:tr>
      <w:tr>
        <w:tc>
          <w:tcPr>
            <w:tcW w:type="dxa" w:w="8640"/>
            <w:gridSpan w:val="3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A. Treatment modality and cycles (entire cohort, n=156)</w:t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8"/>
              </w:rPr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8"/>
              </w:rPr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Neoadjuvant chemoimmunotherapy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119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119 (76.3%)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Neoadjuvant chemotherapy alone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37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37 (23.7%)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Treatment cycles: 1 cycle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14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14 (9.0%)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Treatment cycles: 2 cycles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64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64 (41.0%)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Treatment cycles: 3 cycles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64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64 (41.0%)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Treatment cycles: ≥4 cycles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13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13 (8.3%)</w:t>
            </w:r>
          </w:p>
        </w:tc>
      </w:tr>
      <w:tr>
        <w:tc>
          <w:tcPr>
            <w:tcW w:type="dxa" w:w="8640"/>
            <w:gridSpan w:val="3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B. Immune checkpoint inhibitors (documented regimens, n=118)</w:t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8"/>
              </w:rPr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8"/>
              </w:rPr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Pembrolizumab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39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39 (33.1%)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Tislelizumab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30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30 (25.4%)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None (chemotherapy alone)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26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26 (22.0%)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Durvalumab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 (5.1%)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Sintilimab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 (5.1%)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Camrelizumab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4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4 (3.4%)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Sugemalimab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 (1.7%)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Toripalimab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 (1.7%)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Atezolizumab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 (0.8%)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Nivolumab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 (0.8%)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Serplulimab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 (0.8%)</w:t>
            </w:r>
          </w:p>
        </w:tc>
      </w:tr>
      <w:tr>
        <w:tc>
          <w:tcPr>
            <w:tcW w:type="dxa" w:w="8640"/>
            <w:gridSpan w:val="3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C. Platinum-based chemotherapy backbones (documented regimens, n=118)</w:t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8"/>
              </w:rPr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8"/>
              </w:rPr>
            </w:r>
          </w:p>
        </w:tc>
      </w:tr>
      <w:tr>
        <w:tc>
          <w:tcPr>
            <w:tcW w:type="dxa" w:w="8640"/>
            <w:gridSpan w:val="3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  <w:t>Note: patients may receive doublet combinations; counts are not mutually exclusive.</w:t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6"/>
              </w:rPr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Paclitaxel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89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89 (75.4%)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Carboplatin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84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84 (71.2%)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Pemetrexed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24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24 (20.3%)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Cisplatin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16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16 (13.6%)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Nedaplatin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7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7 (5.9%)</w:t>
            </w:r>
          </w:p>
        </w:tc>
      </w:tr>
      <w:tr>
        <w:tc>
          <w:tcPr>
            <w:tcW w:type="dxa" w:w="8640"/>
            <w:gridSpan w:val="3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D. Representative combination regimens (documented regimens, n=118)</w:t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8"/>
              </w:rPr>
            </w:r>
          </w:p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8"/>
              </w:rPr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Carboplatin + Paclitaxel + Pembrolizumab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30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30 (25.4%)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Carboplatin + Paclitaxel + Tislelizumab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19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19 (16.1%)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Carboplatin + Paclitaxel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9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9 (7.6%)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Carboplatin + Pemetrexed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 (5.1%)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Carboplatin + Pemetrexed + Tislelizumab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6 (5.1%)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Cisplatin + Paclitaxel + Pembrolizumab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4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4 (3.4%)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Carboplatin + Paclitaxel + Camrelizumab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 (2.5%)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Carboplatin + Paclitaxel + Durvalumab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 (2.5%)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Carboplatin + Paclitaxel + Sintilimab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 (2.5%)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Cisplatin + Pemetrexed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 (2.5%)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Nedaplatin + Paclitaxel + Pembrolizumab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3 (2.5%)</w:t>
            </w:r>
          </w:p>
        </w:tc>
      </w:tr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Other regimens (&lt;3 patients each)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29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8"/>
              </w:rPr>
              <w:t>29 (24.6%)</w:t>
            </w:r>
          </w:p>
        </w:tc>
      </w:tr>
    </w:tbl>
    <w:p>
      <w:pPr>
        <w:jc w:val="left"/>
      </w:pPr>
      <w:r>
        <w:rPr>
          <w:rFonts w:ascii="Times New Roman" w:hAnsi="Times New Roman"/>
          <w:i/>
          <w:sz w:val="18"/>
        </w:rPr>
        <w:t>Detailed neoadjuvant chemotherapy and PD-1/PD-L1 inhibitor protocols were retrieved from institutional treatment records and matched to the training cohort by hospital admission number. Regimen details were available for 118 of 156 patients (75.6%). For the remaining 38 patients, treatment modality (chemotherapy alone vs chemoimmunotherapy) and cycle number were obtained from the study database (Table 1). ICI, immune checkpoint inhibitor.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