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1"/>
        <w:gridCol w:w="578"/>
        <w:gridCol w:w="250"/>
        <w:gridCol w:w="742"/>
        <w:gridCol w:w="4195"/>
      </w:tblGrid>
      <w:tr w:rsidR="00B222C9" w:rsidRPr="007B708F" w:rsidTr="003808C1">
        <w:trPr>
          <w:trHeight w:val="284"/>
        </w:trPr>
        <w:tc>
          <w:tcPr>
            <w:tcW w:w="2541" w:type="dxa"/>
            <w:tcBorders>
              <w:bottom w:val="single" w:sz="4" w:space="0" w:color="auto"/>
            </w:tcBorders>
            <w:noWrap/>
            <w:hideMark/>
          </w:tcPr>
          <w:p w:rsidR="00B222C9" w:rsidRPr="005A2C26" w:rsidRDefault="00B222C9" w:rsidP="005A2C2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A2C26">
              <w:rPr>
                <w:rFonts w:ascii="Times New Roman" w:hAnsi="Times New Roman" w:cs="Times New Roman"/>
                <w:sz w:val="20"/>
                <w:szCs w:val="24"/>
              </w:rPr>
              <w:t xml:space="preserve">MIQE checklist </w:t>
            </w:r>
          </w:p>
        </w:tc>
        <w:tc>
          <w:tcPr>
            <w:tcW w:w="828" w:type="dxa"/>
            <w:gridSpan w:val="2"/>
            <w:tcBorders>
              <w:bottom w:val="single" w:sz="4" w:space="0" w:color="auto"/>
            </w:tcBorders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  <w:tc>
          <w:tcPr>
            <w:tcW w:w="4937" w:type="dxa"/>
            <w:gridSpan w:val="2"/>
            <w:tcBorders>
              <w:bottom w:val="single" w:sz="4" w:space="0" w:color="auto"/>
            </w:tcBorders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ITEM TO CHECK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IMPORTANCE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222C9" w:rsidRPr="007B708F" w:rsidRDefault="00B222C9" w:rsidP="00B222C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CHECKLIST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tcBorders>
              <w:top w:val="single" w:sz="4" w:space="0" w:color="auto"/>
            </w:tcBorders>
            <w:shd w:val="clear" w:color="auto" w:fill="000000" w:themeFill="text1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EXPERIMENTAL DESIGN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000000" w:themeFill="text1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cs="Times New Roman"/>
                <w:b/>
                <w:sz w:val="15"/>
                <w:szCs w:val="24"/>
              </w:rPr>
              <w:t xml:space="preserve">　</w:t>
            </w:r>
          </w:p>
        </w:tc>
        <w:tc>
          <w:tcPr>
            <w:tcW w:w="4195" w:type="dxa"/>
            <w:tcBorders>
              <w:top w:val="single" w:sz="4" w:space="0" w:color="auto"/>
            </w:tcBorders>
            <w:shd w:val="clear" w:color="auto" w:fill="000000" w:themeFill="text1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615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Definition of experimental and </w:t>
            </w:r>
            <w:proofErr w:type="gram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control  groups</w:t>
            </w:r>
            <w:proofErr w:type="gramEnd"/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experimental group</w:t>
            </w:r>
            <w:r w:rsidRPr="007B708F">
              <w:rPr>
                <w:rFonts w:ascii="Times New Roman" w:cs="Times New Roman"/>
                <w:b/>
                <w:bCs/>
                <w:sz w:val="15"/>
                <w:szCs w:val="24"/>
              </w:rPr>
              <w:t>：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HFD group</w:t>
            </w:r>
            <w:r w:rsidRPr="007B708F">
              <w:rPr>
                <w:rFonts w:ascii="Times New Roman" w:cs="Times New Roman"/>
                <w:sz w:val="15"/>
                <w:szCs w:val="24"/>
              </w:rPr>
              <w:t>，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control  groups</w:t>
            </w:r>
            <w:r w:rsidRPr="007B708F">
              <w:rPr>
                <w:rFonts w:ascii="Times New Roman" w:cs="Times New Roman"/>
                <w:sz w:val="15"/>
                <w:szCs w:val="24"/>
              </w:rPr>
              <w:t>：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NCD group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Number within each group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n=5-7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Assay carried out by core lab or investigator's lab?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investigator's lab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Acknowledgement of authors' contributions 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SAMPLE</w:t>
            </w:r>
          </w:p>
        </w:tc>
        <w:tc>
          <w:tcPr>
            <w:tcW w:w="992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cs="Times New Roman"/>
                <w:b/>
                <w:bCs/>
                <w:sz w:val="15"/>
                <w:szCs w:val="24"/>
              </w:rPr>
              <w:t xml:space="preserve">　</w:t>
            </w:r>
          </w:p>
        </w:tc>
        <w:tc>
          <w:tcPr>
            <w:tcW w:w="4195" w:type="dxa"/>
            <w:shd w:val="clear" w:color="auto" w:fill="000000" w:themeFill="text1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cs="Times New Roman"/>
                <w:b/>
                <w:bCs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Description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ovary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Volume/mass of sample processed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</w:t>
            </w:r>
            <w:r w:rsidR="00C76C79">
              <w:rPr>
                <w:rFonts w:ascii="Times New Roman" w:hAnsi="Times New Roman" w:cs="Times New Roman" w:hint="eastAsia"/>
                <w:sz w:val="15"/>
                <w:szCs w:val="24"/>
              </w:rPr>
              <w:t xml:space="preserve"> 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Microdissection or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macrodissection</w:t>
            </w:r>
            <w:proofErr w:type="spellEnd"/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macrodissection</w:t>
            </w:r>
            <w:proofErr w:type="spellEnd"/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Processing procedure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frozen</w:t>
            </w:r>
          </w:p>
        </w:tc>
      </w:tr>
      <w:tr w:rsidR="00B222C9" w:rsidRPr="007B708F" w:rsidTr="00B222C9">
        <w:trPr>
          <w:trHeight w:val="6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If frozen - how and how quickly?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Remove it from animals and put it in liquid nitrogen immediately, then transfer to -80 refrigerator.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If fixed - with what, how quickly?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No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Sample storage conditions and duration (especially for FFPE samples)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in -80 refrigerator for around 2 weeks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NUCLEIC ACID EXTRACTION</w:t>
            </w:r>
          </w:p>
        </w:tc>
        <w:tc>
          <w:tcPr>
            <w:tcW w:w="992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cs="Times New Roman"/>
                <w:b/>
                <w:sz w:val="15"/>
                <w:szCs w:val="24"/>
              </w:rPr>
              <w:t xml:space="preserve">　</w:t>
            </w:r>
          </w:p>
        </w:tc>
        <w:tc>
          <w:tcPr>
            <w:tcW w:w="4195" w:type="dxa"/>
            <w:shd w:val="clear" w:color="auto" w:fill="000000" w:themeFill="text1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Procedure and/or instrumentation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TRIzol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one-step method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Name of kit and details of any modifications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TRIzol</w:t>
            </w:r>
            <w:proofErr w:type="spellEnd"/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Source of additional reagents used 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6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Details of DNase or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RNAse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treatment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Use RNase-free EP tubes and DEPC </w:t>
            </w:r>
            <w:proofErr w:type="spellStart"/>
            <w:proofErr w:type="gram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water,Use</w:t>
            </w:r>
            <w:proofErr w:type="spellEnd"/>
            <w:proofErr w:type="gram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disposable masks and gloves,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Contamination assessment (DNA or RNA)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OD260/230=2.0-2.</w:t>
            </w:r>
            <w:proofErr w:type="gram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5;OD</w:t>
            </w:r>
            <w:proofErr w:type="gram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260/OD280=1.8-2.0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Nucleic acid quantification 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1000-3000ng/ul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Instrument and method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Denovix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DS-11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Purity (A260/A280) 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Yield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RNA integrity method/instrument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Agilent 2100 Bioanalyzer</w:t>
            </w:r>
          </w:p>
        </w:tc>
      </w:tr>
      <w:tr w:rsidR="00B222C9" w:rsidRPr="007B708F" w:rsidTr="00B222C9">
        <w:trPr>
          <w:trHeight w:val="315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</w:t>
            </w:r>
            <w:r w:rsidR="007B708F"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RIN/RQI or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Cq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of 3' and 5' transcripts 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28S/18S≥1.5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</w:t>
            </w:r>
            <w:r w:rsidR="007B708F"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Electrophoresis traces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Inhibition testing (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Cq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dilutions, spike or other) 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not performed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REVERSE TRANSCRIPTION</w:t>
            </w:r>
          </w:p>
        </w:tc>
        <w:tc>
          <w:tcPr>
            <w:tcW w:w="992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cs="Times New Roman"/>
                <w:b/>
                <w:sz w:val="15"/>
                <w:szCs w:val="24"/>
              </w:rPr>
              <w:t xml:space="preserve">　</w:t>
            </w:r>
          </w:p>
        </w:tc>
        <w:tc>
          <w:tcPr>
            <w:tcW w:w="4195" w:type="dxa"/>
            <w:shd w:val="clear" w:color="auto" w:fill="000000" w:themeFill="text1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9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Complete reaction conditions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gDNA Eraser 1ul,5x gDNA Eraser Buffer 2ul, RNA 1ul, DEPC water 10ul,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PrimeScript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RT Enzyme Mix I 1</w:t>
            </w:r>
            <w:proofErr w:type="gram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ul,RT</w:t>
            </w:r>
            <w:proofErr w:type="gram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Primer Mix 1ul,5x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PrimeScriptBuffer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2 4ul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Amount of RNA and reaction volume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1000ng and 20ul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</w:t>
            </w:r>
            <w:r w:rsidR="007B708F"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Priming oligonucleotide (if using GSP) and concentration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Oligo dT Primer and Random 6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mers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4ul/20ul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Reverse transcriptase and concentration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PrimeScript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RT Enzyme Mix I 1ul/20ul</w:t>
            </w:r>
          </w:p>
        </w:tc>
      </w:tr>
      <w:tr w:rsidR="00B222C9" w:rsidRPr="007B708F" w:rsidTr="00B222C9">
        <w:trPr>
          <w:trHeight w:val="315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lastRenderedPageBreak/>
              <w:t xml:space="preserve">     Temperature and time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37</w:t>
            </w:r>
            <w:r w:rsidRPr="007B708F">
              <w:rPr>
                <w:rFonts w:ascii="Times New Roman" w:cs="Times New Roman"/>
                <w:sz w:val="15"/>
                <w:szCs w:val="24"/>
              </w:rPr>
              <w:t>℃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15min and 85</w:t>
            </w:r>
            <w:r w:rsidRPr="007B708F">
              <w:rPr>
                <w:rFonts w:ascii="Times New Roman" w:cs="Times New Roman"/>
                <w:sz w:val="15"/>
                <w:szCs w:val="24"/>
              </w:rPr>
              <w:t>℃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15s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Manufacturer of reagents and catalogue numbers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Cqs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with and without RT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D*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Storage conditions of cDNA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qPCR TARGET INFORMATION</w:t>
            </w:r>
          </w:p>
        </w:tc>
        <w:tc>
          <w:tcPr>
            <w:tcW w:w="992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cs="Times New Roman"/>
                <w:b/>
                <w:sz w:val="15"/>
                <w:szCs w:val="24"/>
              </w:rPr>
              <w:t xml:space="preserve">　</w:t>
            </w:r>
          </w:p>
        </w:tc>
        <w:tc>
          <w:tcPr>
            <w:tcW w:w="4195" w:type="dxa"/>
            <w:shd w:val="clear" w:color="auto" w:fill="000000" w:themeFill="text1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If multiplex, efficiency and LOD of each assay.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No</w:t>
            </w:r>
          </w:p>
        </w:tc>
      </w:tr>
      <w:tr w:rsidR="00B222C9" w:rsidRPr="007B708F" w:rsidTr="00B222C9">
        <w:trPr>
          <w:trHeight w:val="18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Sequence accession number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NM_181692.1(kiss1</w:t>
            </w:r>
            <w:proofErr w:type="gram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),NM</w:t>
            </w:r>
            <w:proofErr w:type="gram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_023992.1(kiss1r),NM_021672.1(GDF9),NM_021670.1(BMP15),NM_199237.1(FSHR),NM_017232.3(PTGS2),NM_012583.2(HPRT1),NM_012902.1 (AMH),NM_031558.3 (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StAR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),NM_017085.2(cyp19a1),NM_012753.2 (cyp17a1)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Location of amplicon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Amplicon length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88-180bp</w:t>
            </w:r>
          </w:p>
        </w:tc>
      </w:tr>
      <w:tr w:rsidR="00B222C9" w:rsidRPr="007B708F" w:rsidTr="00B222C9">
        <w:trPr>
          <w:trHeight w:val="308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</w:t>
            </w:r>
            <w:r w:rsidRPr="007B708F">
              <w:rPr>
                <w:rFonts w:ascii="Times New Roman" w:hAnsi="Times New Roman" w:cs="Times New Roman"/>
                <w:i/>
                <w:iCs/>
                <w:sz w:val="15"/>
                <w:szCs w:val="24"/>
              </w:rPr>
              <w:t xml:space="preserve">  In silico 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specificity screen (BLAST, etc)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NCBI Blast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Pseudogenes,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retropseudogenes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or other homologs?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 w:rsidP="007B708F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Sequence alignment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Secondary structure analysis of amplicon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6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Location of each primer by exon or intron (if applicable)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Primer were designed in exons or UTR regions close to the 3' end of the gene.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What splice variants are targeted?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No splice variants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qPCR OLIGONUCLEOTIDES</w:t>
            </w:r>
          </w:p>
        </w:tc>
        <w:tc>
          <w:tcPr>
            <w:tcW w:w="992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cs="Times New Roman"/>
                <w:b/>
                <w:sz w:val="15"/>
                <w:szCs w:val="24"/>
              </w:rPr>
              <w:t xml:space="preserve">　</w:t>
            </w:r>
          </w:p>
        </w:tc>
        <w:tc>
          <w:tcPr>
            <w:tcW w:w="4195" w:type="dxa"/>
            <w:shd w:val="clear" w:color="auto" w:fill="000000" w:themeFill="text1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Primer sequences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Primer sequences were present in table 1.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RT</w:t>
            </w:r>
            <w:r w:rsidR="00C76C79">
              <w:rPr>
                <w:rFonts w:ascii="Times New Roman" w:hAnsi="Times New Roman" w:cs="Times New Roman" w:hint="eastAsia"/>
                <w:sz w:val="15"/>
                <w:szCs w:val="24"/>
              </w:rPr>
              <w:t xml:space="preserve">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PrimerDB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Identification Number 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Probe sequences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D**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Location and identity of any modifications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No modifications were used.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Manufacturer of oligonucleotides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Purification method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qPCR PROTOCOL</w:t>
            </w:r>
          </w:p>
        </w:tc>
        <w:tc>
          <w:tcPr>
            <w:tcW w:w="992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cs="Times New Roman"/>
                <w:b/>
                <w:sz w:val="15"/>
                <w:szCs w:val="24"/>
              </w:rPr>
              <w:t xml:space="preserve">　</w:t>
            </w:r>
          </w:p>
        </w:tc>
        <w:tc>
          <w:tcPr>
            <w:tcW w:w="4195" w:type="dxa"/>
            <w:shd w:val="clear" w:color="auto" w:fill="000000" w:themeFill="text1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6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Complete reaction conditions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SYBR Premix Ex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Taq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II 5ul, forward primer 0.4ul, reverse primer 0.4ul, cDNA 0.4</w:t>
            </w:r>
            <w:proofErr w:type="gram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ul,DEPC</w:t>
            </w:r>
            <w:proofErr w:type="gram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water 3.4ul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Reaction volume and amount of cDNA/DNA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10ul and 20ng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Primer, (probe), Mg++ and dNTP concentrations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0.4uM,1.5mM,200uM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Polymerase identity and concentration 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TaKaRa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Ex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Taq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HS,2.5U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Buffer/kit identity and manufacturer 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TaKaRa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RR820A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Exact chemical constitution of the buffer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Additives (SYBR Green I, DMSO, etc.)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No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Manufacturer of plates/tubes and catalog number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63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lastRenderedPageBreak/>
              <w:t>Complete thermocycling parameters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95</w:t>
            </w:r>
            <w:r w:rsidRPr="007B708F">
              <w:rPr>
                <w:rFonts w:ascii="Times New Roman" w:cs="Times New Roman"/>
                <w:sz w:val="15"/>
                <w:szCs w:val="24"/>
              </w:rPr>
              <w:t>℃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30s; 95</w:t>
            </w:r>
            <w:r w:rsidRPr="007B708F">
              <w:rPr>
                <w:rFonts w:ascii="Times New Roman" w:cs="Times New Roman"/>
                <w:sz w:val="15"/>
                <w:szCs w:val="24"/>
              </w:rPr>
              <w:t>℃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5s 60</w:t>
            </w:r>
            <w:r w:rsidRPr="007B708F">
              <w:rPr>
                <w:rFonts w:ascii="Times New Roman" w:cs="Times New Roman"/>
                <w:sz w:val="15"/>
                <w:szCs w:val="24"/>
              </w:rPr>
              <w:t>℃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30s for 40 cycle; 95</w:t>
            </w:r>
            <w:r w:rsidRPr="007B708F">
              <w:rPr>
                <w:rFonts w:ascii="Times New Roman" w:cs="Times New Roman"/>
                <w:sz w:val="15"/>
                <w:szCs w:val="24"/>
              </w:rPr>
              <w:t>℃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10s 65</w:t>
            </w:r>
            <w:r w:rsidRPr="007B708F">
              <w:rPr>
                <w:rFonts w:ascii="Times New Roman" w:cs="Times New Roman"/>
                <w:sz w:val="15"/>
                <w:szCs w:val="24"/>
              </w:rPr>
              <w:t>℃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5s 95</w:t>
            </w:r>
            <w:r w:rsidRPr="007B708F">
              <w:rPr>
                <w:rFonts w:ascii="Times New Roman" w:cs="Times New Roman"/>
                <w:sz w:val="15"/>
                <w:szCs w:val="24"/>
              </w:rPr>
              <w:t>℃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5s END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Reaction setup (manual/robotic)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Manufacturer of qPCR instrument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bio-rad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CFX 96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qPCR VALIDATION</w:t>
            </w:r>
          </w:p>
        </w:tc>
        <w:tc>
          <w:tcPr>
            <w:tcW w:w="992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cs="Times New Roman"/>
                <w:b/>
                <w:sz w:val="15"/>
                <w:szCs w:val="24"/>
              </w:rPr>
              <w:t xml:space="preserve">　</w:t>
            </w:r>
          </w:p>
        </w:tc>
        <w:tc>
          <w:tcPr>
            <w:tcW w:w="4195" w:type="dxa"/>
            <w:shd w:val="clear" w:color="auto" w:fill="000000" w:themeFill="text1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Evidence of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optimisation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(from gradients) 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Specificity (gel, </w:t>
            </w:r>
            <w:proofErr w:type="gram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sequence,  melt</w:t>
            </w:r>
            <w:proofErr w:type="gram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, or digest)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melt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For SYBR Green I,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Cq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of the NTC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&gt;38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Standard curves with slope and y-intercept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proofErr w:type="gram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slope:around</w:t>
            </w:r>
            <w:proofErr w:type="spellEnd"/>
            <w:proofErr w:type="gram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-3; y-intercept:30-40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PCR efficiency calculated from slope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90%-110%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Confidence interval for PCR efficiency or standard error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r2 of standard curve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&gt;0.98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Linear dynamic range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6 log10,5log10,4log10</w:t>
            </w:r>
          </w:p>
        </w:tc>
      </w:tr>
      <w:tr w:rsidR="00B222C9" w:rsidRPr="007B708F" w:rsidTr="00B222C9">
        <w:trPr>
          <w:trHeight w:val="6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Cq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variation at lower limit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without a template, no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Cq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could be determined since it never passed the threshold line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Confidence intervals throughout range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Evidence for limit of detection 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According to the machine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If multiplex, efficiency and LOD of each assay.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No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DATA ANALYSIS</w:t>
            </w:r>
          </w:p>
        </w:tc>
        <w:tc>
          <w:tcPr>
            <w:tcW w:w="992" w:type="dxa"/>
            <w:gridSpan w:val="2"/>
            <w:shd w:val="clear" w:color="auto" w:fill="000000" w:themeFill="text1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cs="Times New Roman"/>
                <w:b/>
                <w:sz w:val="15"/>
                <w:szCs w:val="24"/>
              </w:rPr>
              <w:t xml:space="preserve">　</w:t>
            </w:r>
          </w:p>
        </w:tc>
        <w:tc>
          <w:tcPr>
            <w:tcW w:w="4195" w:type="dxa"/>
            <w:shd w:val="clear" w:color="auto" w:fill="000000" w:themeFill="text1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qPCR analysis program (source, version)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bio-rad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CFX manager 3.1</w:t>
            </w:r>
          </w:p>
        </w:tc>
      </w:tr>
      <w:tr w:rsidR="00B222C9" w:rsidRPr="007B708F" w:rsidTr="00B222C9">
        <w:trPr>
          <w:trHeight w:val="6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Cq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method determination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Number of cycles when the PCR amplification product reaches the fluorescence threshold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    Outlier identification and disposition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Outlier will be repeated again 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Results of NTCs 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no amplification products present thus no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Cqs</w:t>
            </w:r>
            <w:proofErr w:type="spellEnd"/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Justification of number and choice of reference genes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we have previously good experience with GAPDH</w:t>
            </w:r>
          </w:p>
        </w:tc>
      </w:tr>
      <w:tr w:rsidR="00B222C9" w:rsidRPr="007B708F" w:rsidTr="00B222C9">
        <w:trPr>
          <w:trHeight w:val="6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Description of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normalisation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method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8B5F11" w:rsidRDefault="00B222C9" w:rsidP="00B222C9">
            <w:pPr>
              <w:rPr>
                <w:rFonts w:ascii="Times New Roman" w:hAnsi="Times New Roman" w:cs="Times New Roman"/>
                <w:sz w:val="15"/>
                <w:szCs w:val="24"/>
                <w:highlight w:val="yellow"/>
              </w:rPr>
            </w:pPr>
            <w:r w:rsidRPr="008B5F11">
              <w:rPr>
                <w:rFonts w:ascii="Times New Roman" w:hAnsi="Times New Roman" w:cs="Times New Roman"/>
                <w:sz w:val="15"/>
                <w:szCs w:val="24"/>
                <w:highlight w:val="yellow"/>
              </w:rPr>
              <w:t xml:space="preserve">the ratios of the mRNA concentrations of the genes of interest to those of the </w:t>
            </w:r>
            <w:r w:rsidR="008B5F11" w:rsidRPr="008B5F11">
              <w:rPr>
                <w:rFonts w:ascii="Times New Roman" w:hAnsi="Times New Roman" w:cs="Times New Roman"/>
                <w:sz w:val="15"/>
                <w:szCs w:val="24"/>
                <w:highlight w:val="yellow"/>
              </w:rPr>
              <w:t>endogenous reference gene</w:t>
            </w:r>
            <w:r w:rsidR="00FF6B9E" w:rsidRPr="008B5F11">
              <w:rPr>
                <w:rFonts w:ascii="Times New Roman" w:hAnsi="Times New Roman" w:cs="Times New Roman"/>
                <w:sz w:val="15"/>
                <w:szCs w:val="24"/>
                <w:highlight w:val="yellow"/>
              </w:rPr>
              <w:t xml:space="preserve"> </w:t>
            </w:r>
            <w:r w:rsidR="00FF6B9E" w:rsidRPr="008B5F11">
              <w:rPr>
                <w:rFonts w:ascii="Times New Roman" w:hAnsi="Times New Roman" w:cs="Times New Roman" w:hint="eastAsia"/>
                <w:sz w:val="15"/>
                <w:szCs w:val="24"/>
                <w:highlight w:val="yellow"/>
              </w:rPr>
              <w:t>(</w:t>
            </w:r>
            <w:r w:rsidR="00FF6B9E" w:rsidRPr="008B5F11">
              <w:rPr>
                <w:rFonts w:ascii="Times New Roman" w:hAnsi="Times New Roman" w:cs="Times New Roman"/>
                <w:sz w:val="15"/>
                <w:szCs w:val="24"/>
                <w:highlight w:val="yellow"/>
              </w:rPr>
              <w:t>GAPDH)</w:t>
            </w:r>
            <w:r w:rsidRPr="008B5F11">
              <w:rPr>
                <w:rFonts w:ascii="Times New Roman" w:hAnsi="Times New Roman" w:cs="Times New Roman"/>
                <w:sz w:val="15"/>
                <w:szCs w:val="24"/>
                <w:highlight w:val="yellow"/>
              </w:rPr>
              <w:t>.</w:t>
            </w:r>
            <w:bookmarkStart w:id="0" w:name="_GoBack"/>
            <w:bookmarkEnd w:id="0"/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Number and concordance of biological replicates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Number and stage (RT or qPCR) of technical replicates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3 at qPCR level </w:t>
            </w:r>
          </w:p>
        </w:tc>
      </w:tr>
      <w:tr w:rsidR="00B222C9" w:rsidRPr="007B708F" w:rsidTr="00B222C9">
        <w:trPr>
          <w:trHeight w:val="6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Repeatability (intra-assay variation)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on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avearge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within 0.25cycle with a maximum of 0.5-1 cycles </w:t>
            </w:r>
            <w:proofErr w:type="gram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for  all</w:t>
            </w:r>
            <w:proofErr w:type="gram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samples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Reproducibility (inter-assay variation, %CV)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Power analysis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D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B222C9" w:rsidRPr="007B708F" w:rsidTr="00B222C9">
        <w:trPr>
          <w:trHeight w:val="315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Statistical methods for result significance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2^-</w:t>
            </w:r>
            <w:r w:rsidRPr="007B708F">
              <w:rPr>
                <w:rFonts w:ascii="Times New Roman" w:cs="Times New Roman"/>
                <w:sz w:val="15"/>
                <w:szCs w:val="24"/>
              </w:rPr>
              <w:t>△△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CT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Software (source, version)</w:t>
            </w:r>
          </w:p>
        </w:tc>
        <w:tc>
          <w:tcPr>
            <w:tcW w:w="992" w:type="dxa"/>
            <w:gridSpan w:val="2"/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sz w:val="15"/>
                <w:szCs w:val="24"/>
              </w:rPr>
              <w:t>E</w:t>
            </w:r>
          </w:p>
        </w:tc>
        <w:tc>
          <w:tcPr>
            <w:tcW w:w="4195" w:type="dxa"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prism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graphpad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7.0</w:t>
            </w:r>
          </w:p>
        </w:tc>
      </w:tr>
      <w:tr w:rsidR="00B222C9" w:rsidRPr="007B708F" w:rsidTr="00B222C9">
        <w:trPr>
          <w:trHeight w:val="300"/>
        </w:trPr>
        <w:tc>
          <w:tcPr>
            <w:tcW w:w="3119" w:type="dxa"/>
            <w:gridSpan w:val="2"/>
            <w:tcBorders>
              <w:bottom w:val="single" w:sz="4" w:space="0" w:color="auto"/>
            </w:tcBorders>
            <w:noWrap/>
            <w:hideMark/>
          </w:tcPr>
          <w:p w:rsidR="00B222C9" w:rsidRPr="007B708F" w:rsidRDefault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Cq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 or raw data submission using RDML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noWrap/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b/>
                <w:bCs/>
                <w:sz w:val="15"/>
                <w:szCs w:val="24"/>
              </w:rPr>
              <w:t>D</w:t>
            </w:r>
          </w:p>
        </w:tc>
        <w:tc>
          <w:tcPr>
            <w:tcW w:w="4195" w:type="dxa"/>
            <w:tcBorders>
              <w:bottom w:val="single" w:sz="4" w:space="0" w:color="auto"/>
            </w:tcBorders>
            <w:hideMark/>
          </w:tcPr>
          <w:p w:rsidR="00B222C9" w:rsidRPr="007B708F" w:rsidRDefault="00B222C9" w:rsidP="00B222C9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cs="Times New Roman"/>
                <w:sz w:val="15"/>
                <w:szCs w:val="24"/>
              </w:rPr>
              <w:t xml:space="preserve">　</w:t>
            </w:r>
          </w:p>
        </w:tc>
      </w:tr>
      <w:tr w:rsidR="003808C1" w:rsidRPr="007B708F" w:rsidTr="00AF77AF">
        <w:trPr>
          <w:trHeight w:val="300"/>
        </w:trPr>
        <w:tc>
          <w:tcPr>
            <w:tcW w:w="8306" w:type="dxa"/>
            <w:gridSpan w:val="5"/>
            <w:tcBorders>
              <w:top w:val="single" w:sz="4" w:space="0" w:color="auto"/>
            </w:tcBorders>
            <w:noWrap/>
          </w:tcPr>
          <w:p w:rsidR="003808C1" w:rsidRPr="007B708F" w:rsidRDefault="003808C1" w:rsidP="003808C1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 xml:space="preserve">Table 1. MIQE checklist for authors, reviewers and editors. All essential information (E) must be </w:t>
            </w:r>
            <w:r w:rsidR="00E72271">
              <w:rPr>
                <w:rFonts w:ascii="Times New Roman" w:hAnsi="Times New Roman" w:cs="Times New Roman"/>
                <w:sz w:val="15"/>
                <w:szCs w:val="24"/>
              </w:rPr>
              <w:t>submitted with the manuscript.</w:t>
            </w:r>
            <w:r w:rsidR="00E72271">
              <w:rPr>
                <w:rFonts w:ascii="Times New Roman" w:hAnsi="Times New Roman" w:cs="Times New Roman" w:hint="eastAsia"/>
                <w:sz w:val="15"/>
                <w:szCs w:val="24"/>
              </w:rPr>
              <w:t xml:space="preserve"> 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Desirable information (D) should be submitted if available. If using primers obtained from RT</w:t>
            </w:r>
            <w:r w:rsidR="00C76C79">
              <w:rPr>
                <w:rFonts w:ascii="Times New Roman" w:hAnsi="Times New Roman" w:cs="Times New Roman" w:hint="eastAsia"/>
                <w:sz w:val="15"/>
                <w:szCs w:val="24"/>
              </w:rPr>
              <w:t xml:space="preserve"> </w:t>
            </w:r>
            <w:proofErr w:type="spellStart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PrimerDB</w:t>
            </w:r>
            <w:proofErr w:type="spellEnd"/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, information on qPCR target, oligonucleotides, protocols and validation is available from that source.</w:t>
            </w:r>
          </w:p>
          <w:p w:rsidR="003808C1" w:rsidRPr="007B708F" w:rsidRDefault="003808C1" w:rsidP="003808C1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  <w:p w:rsidR="003808C1" w:rsidRPr="007B708F" w:rsidRDefault="003808C1" w:rsidP="003808C1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lastRenderedPageBreak/>
              <w:t>*: Assessing the absence of DNA using a no RT assay is essential when first extracting RNA. Once the sample has been validated as</w:t>
            </w:r>
            <w:r w:rsidR="00E72271">
              <w:rPr>
                <w:rFonts w:ascii="Times New Roman" w:hAnsi="Times New Roman" w:cs="Times New Roman" w:hint="eastAsia"/>
                <w:sz w:val="15"/>
                <w:szCs w:val="24"/>
              </w:rPr>
              <w:t xml:space="preserve"> 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RDNA-free, inclusion of a no-RT control is desirable, but no longer essential.</w:t>
            </w:r>
          </w:p>
          <w:p w:rsidR="003808C1" w:rsidRPr="007B708F" w:rsidRDefault="003808C1" w:rsidP="003808C1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  <w:p w:rsidR="003808C1" w:rsidRPr="007B708F" w:rsidRDefault="003808C1" w:rsidP="003808C1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**: Disclosure of the probe sequence is highly desirable and strongly encouraged. However, since not all commercial pre-designed assay</w:t>
            </w:r>
            <w:r w:rsidR="00E72271">
              <w:rPr>
                <w:rFonts w:ascii="Times New Roman" w:hAnsi="Times New Roman" w:cs="Times New Roman" w:hint="eastAsia"/>
                <w:sz w:val="15"/>
                <w:szCs w:val="24"/>
              </w:rPr>
              <w:t xml:space="preserve"> </w:t>
            </w:r>
            <w:r w:rsidRPr="007B708F">
              <w:rPr>
                <w:rFonts w:ascii="Times New Roman" w:hAnsi="Times New Roman" w:cs="Times New Roman"/>
                <w:sz w:val="15"/>
                <w:szCs w:val="24"/>
              </w:rPr>
              <w:t>vendors provide this information, it cannot be an essential requirement. Use of such assays is advised against.</w:t>
            </w:r>
          </w:p>
        </w:tc>
      </w:tr>
    </w:tbl>
    <w:p w:rsidR="009550E3" w:rsidRPr="007B708F" w:rsidRDefault="009550E3">
      <w:pPr>
        <w:rPr>
          <w:rFonts w:ascii="Times New Roman" w:hAnsi="Times New Roman" w:cs="Times New Roman"/>
          <w:sz w:val="15"/>
          <w:szCs w:val="24"/>
        </w:rPr>
      </w:pPr>
    </w:p>
    <w:sectPr w:rsidR="009550E3" w:rsidRPr="007B708F" w:rsidSect="00742A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62A3" w:rsidRDefault="00B762A3" w:rsidP="007B708F">
      <w:r>
        <w:separator/>
      </w:r>
    </w:p>
  </w:endnote>
  <w:endnote w:type="continuationSeparator" w:id="0">
    <w:p w:rsidR="00B762A3" w:rsidRDefault="00B762A3" w:rsidP="007B7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62A3" w:rsidRDefault="00B762A3" w:rsidP="007B708F">
      <w:r>
        <w:separator/>
      </w:r>
    </w:p>
  </w:footnote>
  <w:footnote w:type="continuationSeparator" w:id="0">
    <w:p w:rsidR="00B762A3" w:rsidRDefault="00B762A3" w:rsidP="007B7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1F6D60"/>
    <w:multiLevelType w:val="hybridMultilevel"/>
    <w:tmpl w:val="75BE64E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50E3"/>
    <w:rsid w:val="002C31F5"/>
    <w:rsid w:val="003808C1"/>
    <w:rsid w:val="00443E61"/>
    <w:rsid w:val="005A2C26"/>
    <w:rsid w:val="00630725"/>
    <w:rsid w:val="00742A85"/>
    <w:rsid w:val="007B708F"/>
    <w:rsid w:val="0086609C"/>
    <w:rsid w:val="008B5F11"/>
    <w:rsid w:val="009550E3"/>
    <w:rsid w:val="00B222C9"/>
    <w:rsid w:val="00B762A3"/>
    <w:rsid w:val="00C76C79"/>
    <w:rsid w:val="00E72271"/>
    <w:rsid w:val="00EA6F4D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D42090"/>
  <w15:docId w15:val="{16DCD114-D7FC-4E06-96AA-E1DF8A5F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2A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2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22C9"/>
    <w:pPr>
      <w:ind w:firstLineChars="200" w:firstLine="420"/>
    </w:pPr>
  </w:style>
  <w:style w:type="paragraph" w:styleId="a5">
    <w:name w:val="header"/>
    <w:basedOn w:val="a"/>
    <w:link w:val="a6"/>
    <w:uiPriority w:val="99"/>
    <w:semiHidden/>
    <w:unhideWhenUsed/>
    <w:rsid w:val="007B70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7B708F"/>
    <w:rPr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7B70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7B70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1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984</Words>
  <Characters>5611</Characters>
  <Application>Microsoft Office Word</Application>
  <DocSecurity>0</DocSecurity>
  <Lines>46</Lines>
  <Paragraphs>13</Paragraphs>
  <ScaleCrop>false</ScaleCrop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tiancheng</dc:creator>
  <cp:keywords/>
  <dc:description/>
  <cp:lastModifiedBy>志阳 周</cp:lastModifiedBy>
  <cp:revision>8</cp:revision>
  <dcterms:created xsi:type="dcterms:W3CDTF">2018-11-05T03:01:00Z</dcterms:created>
  <dcterms:modified xsi:type="dcterms:W3CDTF">2018-11-27T01:55:00Z</dcterms:modified>
</cp:coreProperties>
</file>