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2C88F" w14:textId="77777777" w:rsidR="00F7662B" w:rsidRDefault="00F7662B" w:rsidP="00F7662B">
      <w:pPr>
        <w:rPr>
          <w:rFonts w:ascii="Times New Roman" w:hAnsi="Times New Roman" w:cs="Times New Roman"/>
          <w:szCs w:val="21"/>
        </w:rPr>
      </w:pPr>
      <w:bookmarkStart w:id="0" w:name="_Hlk21807293"/>
      <w:r w:rsidRPr="002B765D">
        <w:rPr>
          <w:rFonts w:ascii="Times New Roman" w:hAnsi="Times New Roman" w:cs="Times New Roman" w:hint="eastAsia"/>
          <w:b/>
          <w:bCs/>
          <w:szCs w:val="21"/>
        </w:rPr>
        <w:t>S</w:t>
      </w:r>
      <w:r w:rsidRPr="002B765D">
        <w:rPr>
          <w:rFonts w:ascii="Times New Roman" w:hAnsi="Times New Roman" w:cs="Times New Roman"/>
          <w:b/>
          <w:bCs/>
          <w:szCs w:val="21"/>
        </w:rPr>
        <w:t xml:space="preserve">upplementary Table </w:t>
      </w:r>
      <w:r>
        <w:rPr>
          <w:rFonts w:ascii="Times New Roman" w:hAnsi="Times New Roman" w:cs="Times New Roman"/>
          <w:b/>
          <w:bCs/>
          <w:szCs w:val="21"/>
        </w:rPr>
        <w:t>S</w:t>
      </w:r>
      <w:r w:rsidRPr="002B765D">
        <w:rPr>
          <w:rFonts w:ascii="Times New Roman" w:hAnsi="Times New Roman" w:cs="Times New Roman"/>
          <w:b/>
          <w:bCs/>
          <w:szCs w:val="21"/>
        </w:rPr>
        <w:t xml:space="preserve">1. </w:t>
      </w:r>
      <w:r w:rsidRPr="002B765D">
        <w:rPr>
          <w:rFonts w:ascii="Times New Roman" w:hAnsi="Times New Roman" w:cs="Times New Roman"/>
          <w:szCs w:val="21"/>
        </w:rPr>
        <w:t xml:space="preserve">Multiple regression analysis of risk factors for </w:t>
      </w:r>
      <w:r>
        <w:rPr>
          <w:rFonts w:ascii="Times New Roman" w:hAnsi="Times New Roman" w:cs="Times New Roman"/>
          <w:szCs w:val="21"/>
        </w:rPr>
        <w:t>PTB, LBW and SGA.</w:t>
      </w:r>
    </w:p>
    <w:tbl>
      <w:tblPr>
        <w:tblStyle w:val="a7"/>
        <w:tblW w:w="11577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843"/>
        <w:gridCol w:w="689"/>
        <w:gridCol w:w="222"/>
        <w:gridCol w:w="1768"/>
        <w:gridCol w:w="689"/>
        <w:gridCol w:w="222"/>
        <w:gridCol w:w="1769"/>
        <w:gridCol w:w="689"/>
      </w:tblGrid>
      <w:tr w:rsidR="00F7662B" w:rsidRPr="001B78C5" w14:paraId="56AE967A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1094C2F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532" w:type="dxa"/>
            <w:gridSpan w:val="2"/>
            <w:tcBorders>
              <w:bottom w:val="single" w:sz="12" w:space="0" w:color="auto"/>
            </w:tcBorders>
            <w:noWrap/>
            <w:hideMark/>
          </w:tcPr>
          <w:p w14:paraId="3608F76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P</w:t>
            </w:r>
            <w:r>
              <w:rPr>
                <w:rFonts w:ascii="Times New Roman" w:hAnsi="Times New Roman" w:cs="Times New Roman"/>
                <w:szCs w:val="21"/>
              </w:rPr>
              <w:t>TB</w:t>
            </w:r>
          </w:p>
        </w:tc>
        <w:tc>
          <w:tcPr>
            <w:tcW w:w="222" w:type="dxa"/>
          </w:tcPr>
          <w:p w14:paraId="110799D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57" w:type="dxa"/>
            <w:gridSpan w:val="2"/>
            <w:tcBorders>
              <w:bottom w:val="single" w:sz="12" w:space="0" w:color="auto"/>
            </w:tcBorders>
            <w:noWrap/>
            <w:hideMark/>
          </w:tcPr>
          <w:p w14:paraId="6BA6614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L</w:t>
            </w:r>
            <w:r>
              <w:rPr>
                <w:rFonts w:ascii="Times New Roman" w:hAnsi="Times New Roman" w:cs="Times New Roman"/>
                <w:szCs w:val="21"/>
              </w:rPr>
              <w:t>BW</w:t>
            </w:r>
          </w:p>
        </w:tc>
        <w:tc>
          <w:tcPr>
            <w:tcW w:w="222" w:type="dxa"/>
          </w:tcPr>
          <w:p w14:paraId="68EF41F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58" w:type="dxa"/>
            <w:gridSpan w:val="2"/>
            <w:tcBorders>
              <w:bottom w:val="single" w:sz="12" w:space="0" w:color="auto"/>
            </w:tcBorders>
            <w:noWrap/>
            <w:hideMark/>
          </w:tcPr>
          <w:p w14:paraId="3DC2010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S</w:t>
            </w:r>
            <w:r>
              <w:rPr>
                <w:rFonts w:ascii="Times New Roman" w:hAnsi="Times New Roman" w:cs="Times New Roman"/>
                <w:szCs w:val="21"/>
              </w:rPr>
              <w:t>GA</w:t>
            </w:r>
            <w:r w:rsidRPr="001B78C5">
              <w:rPr>
                <w:rFonts w:ascii="Times New Roman" w:hAnsi="Times New Roman" w:cs="Times New Roman"/>
                <w:szCs w:val="21"/>
              </w:rPr>
              <w:t xml:space="preserve"> </w:t>
            </w:r>
          </w:p>
        </w:tc>
      </w:tr>
      <w:tr w:rsidR="00F7662B" w:rsidRPr="001B78C5" w14:paraId="0255D69A" w14:textId="77777777" w:rsidTr="004F0D9D">
        <w:trPr>
          <w:trHeight w:val="260"/>
          <w:jc w:val="center"/>
        </w:trPr>
        <w:tc>
          <w:tcPr>
            <w:tcW w:w="3686" w:type="dxa"/>
            <w:tcBorders>
              <w:bottom w:val="single" w:sz="12" w:space="0" w:color="auto"/>
            </w:tcBorders>
            <w:noWrap/>
            <w:hideMark/>
          </w:tcPr>
          <w:p w14:paraId="02CFA8D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738D8790" w14:textId="77777777" w:rsidR="00F7662B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Adjusted OR</w:t>
            </w:r>
          </w:p>
          <w:p w14:paraId="17968D6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(95% CI)</w:t>
            </w:r>
          </w:p>
        </w:tc>
        <w:tc>
          <w:tcPr>
            <w:tcW w:w="689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05BAD2E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3563F5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  <w:r w:rsidRPr="001B78C5">
              <w:rPr>
                <w:rFonts w:ascii="Times New Roman" w:hAnsi="Times New Roman" w:cs="Times New Roman"/>
                <w:szCs w:val="21"/>
              </w:rPr>
              <w:t>-value</w:t>
            </w:r>
          </w:p>
        </w:tc>
        <w:tc>
          <w:tcPr>
            <w:tcW w:w="222" w:type="dxa"/>
            <w:tcBorders>
              <w:bottom w:val="single" w:sz="12" w:space="0" w:color="auto"/>
            </w:tcBorders>
          </w:tcPr>
          <w:p w14:paraId="6B3A9E4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42D6A48B" w14:textId="77777777" w:rsidR="00F7662B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Adjusted OR</w:t>
            </w:r>
          </w:p>
          <w:p w14:paraId="3F733C7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(95% CI)</w:t>
            </w:r>
          </w:p>
        </w:tc>
        <w:tc>
          <w:tcPr>
            <w:tcW w:w="689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42E4790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AE73F7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  <w:r w:rsidRPr="001B78C5">
              <w:rPr>
                <w:rFonts w:ascii="Times New Roman" w:hAnsi="Times New Roman" w:cs="Times New Roman"/>
                <w:szCs w:val="21"/>
              </w:rPr>
              <w:t>-value</w:t>
            </w:r>
          </w:p>
        </w:tc>
        <w:tc>
          <w:tcPr>
            <w:tcW w:w="222" w:type="dxa"/>
            <w:tcBorders>
              <w:bottom w:val="single" w:sz="12" w:space="0" w:color="auto"/>
            </w:tcBorders>
          </w:tcPr>
          <w:p w14:paraId="5202DCE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52E24777" w14:textId="77777777" w:rsidR="00F7662B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Adjusted OR</w:t>
            </w:r>
          </w:p>
          <w:p w14:paraId="4DDC722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(95% CI)</w:t>
            </w:r>
          </w:p>
        </w:tc>
        <w:tc>
          <w:tcPr>
            <w:tcW w:w="689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1D1323E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AE73F7">
              <w:rPr>
                <w:rFonts w:ascii="Times New Roman" w:hAnsi="Times New Roman" w:cs="Times New Roman"/>
                <w:i/>
                <w:iCs/>
                <w:szCs w:val="21"/>
              </w:rPr>
              <w:t>P</w:t>
            </w:r>
            <w:r w:rsidRPr="001B78C5">
              <w:rPr>
                <w:rFonts w:ascii="Times New Roman" w:hAnsi="Times New Roman" w:cs="Times New Roman"/>
                <w:szCs w:val="21"/>
              </w:rPr>
              <w:t>-value</w:t>
            </w:r>
          </w:p>
        </w:tc>
      </w:tr>
      <w:tr w:rsidR="00F7662B" w:rsidRPr="001B78C5" w14:paraId="3409515F" w14:textId="77777777" w:rsidTr="004F0D9D">
        <w:trPr>
          <w:trHeight w:val="260"/>
          <w:jc w:val="center"/>
        </w:trPr>
        <w:tc>
          <w:tcPr>
            <w:tcW w:w="3686" w:type="dxa"/>
            <w:tcBorders>
              <w:top w:val="single" w:sz="12" w:space="0" w:color="auto"/>
            </w:tcBorders>
            <w:noWrap/>
            <w:hideMark/>
          </w:tcPr>
          <w:p w14:paraId="3216787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Maternal age (per year increase)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noWrap/>
            <w:hideMark/>
          </w:tcPr>
          <w:p w14:paraId="2318084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1.07 (0.96–1.20)</w:t>
            </w:r>
          </w:p>
        </w:tc>
        <w:tc>
          <w:tcPr>
            <w:tcW w:w="689" w:type="dxa"/>
            <w:tcBorders>
              <w:top w:val="single" w:sz="12" w:space="0" w:color="auto"/>
            </w:tcBorders>
            <w:noWrap/>
            <w:hideMark/>
          </w:tcPr>
          <w:p w14:paraId="6C02929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0.225</w:t>
            </w:r>
          </w:p>
        </w:tc>
        <w:tc>
          <w:tcPr>
            <w:tcW w:w="222" w:type="dxa"/>
            <w:tcBorders>
              <w:top w:val="single" w:sz="12" w:space="0" w:color="auto"/>
            </w:tcBorders>
          </w:tcPr>
          <w:p w14:paraId="39BE7BE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tcBorders>
              <w:top w:val="single" w:sz="12" w:space="0" w:color="auto"/>
            </w:tcBorders>
            <w:noWrap/>
            <w:hideMark/>
          </w:tcPr>
          <w:p w14:paraId="5BA5219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1.02 (0.90–1.16)</w:t>
            </w:r>
          </w:p>
        </w:tc>
        <w:tc>
          <w:tcPr>
            <w:tcW w:w="689" w:type="dxa"/>
            <w:tcBorders>
              <w:top w:val="single" w:sz="12" w:space="0" w:color="auto"/>
            </w:tcBorders>
            <w:noWrap/>
            <w:hideMark/>
          </w:tcPr>
          <w:p w14:paraId="6907812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0.8</w:t>
            </w:r>
            <w:r>
              <w:rPr>
                <w:rFonts w:ascii="Times New Roman" w:hAnsi="Times New Roman" w:cs="Times New Roman"/>
                <w:szCs w:val="21"/>
              </w:rPr>
              <w:t>00</w:t>
            </w:r>
          </w:p>
        </w:tc>
        <w:tc>
          <w:tcPr>
            <w:tcW w:w="222" w:type="dxa"/>
            <w:tcBorders>
              <w:top w:val="single" w:sz="12" w:space="0" w:color="auto"/>
            </w:tcBorders>
          </w:tcPr>
          <w:p w14:paraId="5FF30F2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tcBorders>
              <w:top w:val="single" w:sz="12" w:space="0" w:color="auto"/>
            </w:tcBorders>
            <w:noWrap/>
            <w:hideMark/>
          </w:tcPr>
          <w:p w14:paraId="0A98744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0.99 (0.88–1.11)</w:t>
            </w:r>
          </w:p>
        </w:tc>
        <w:tc>
          <w:tcPr>
            <w:tcW w:w="689" w:type="dxa"/>
            <w:tcBorders>
              <w:top w:val="single" w:sz="12" w:space="0" w:color="auto"/>
            </w:tcBorders>
            <w:noWrap/>
            <w:hideMark/>
          </w:tcPr>
          <w:p w14:paraId="15B0A07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0.799</w:t>
            </w:r>
          </w:p>
        </w:tc>
      </w:tr>
      <w:tr w:rsidR="00F7662B" w:rsidRPr="001B78C5" w14:paraId="199256CB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6483765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Maternal BMI (per kg/m</w:t>
            </w:r>
            <w:r w:rsidRPr="00AE73F7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1B78C5">
              <w:rPr>
                <w:rFonts w:ascii="Times New Roman" w:hAnsi="Times New Roman" w:cs="Times New Roman"/>
                <w:szCs w:val="21"/>
              </w:rPr>
              <w:t xml:space="preserve"> increase)</w:t>
            </w:r>
          </w:p>
        </w:tc>
        <w:tc>
          <w:tcPr>
            <w:tcW w:w="1843" w:type="dxa"/>
            <w:noWrap/>
            <w:hideMark/>
          </w:tcPr>
          <w:p w14:paraId="225EBBD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1.04 (0.95–1.13)</w:t>
            </w:r>
          </w:p>
        </w:tc>
        <w:tc>
          <w:tcPr>
            <w:tcW w:w="689" w:type="dxa"/>
            <w:noWrap/>
            <w:hideMark/>
          </w:tcPr>
          <w:p w14:paraId="275A279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0.388</w:t>
            </w:r>
          </w:p>
        </w:tc>
        <w:tc>
          <w:tcPr>
            <w:tcW w:w="222" w:type="dxa"/>
          </w:tcPr>
          <w:p w14:paraId="48AC991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20795EF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1.07 (0.97–1.18)</w:t>
            </w:r>
          </w:p>
        </w:tc>
        <w:tc>
          <w:tcPr>
            <w:tcW w:w="689" w:type="dxa"/>
            <w:noWrap/>
            <w:hideMark/>
          </w:tcPr>
          <w:p w14:paraId="6B3D2D9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0.197</w:t>
            </w:r>
          </w:p>
        </w:tc>
        <w:tc>
          <w:tcPr>
            <w:tcW w:w="222" w:type="dxa"/>
          </w:tcPr>
          <w:p w14:paraId="250B612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409B313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0.99 (0.90–1.09)</w:t>
            </w:r>
          </w:p>
        </w:tc>
        <w:tc>
          <w:tcPr>
            <w:tcW w:w="689" w:type="dxa"/>
            <w:noWrap/>
            <w:hideMark/>
          </w:tcPr>
          <w:p w14:paraId="1CBCFF1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0.87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</w:tr>
      <w:tr w:rsidR="00F7662B" w:rsidRPr="001B78C5" w14:paraId="6916B07F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1E1869E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Paternal age (per year increase)</w:t>
            </w:r>
          </w:p>
        </w:tc>
        <w:tc>
          <w:tcPr>
            <w:tcW w:w="1843" w:type="dxa"/>
            <w:noWrap/>
            <w:hideMark/>
          </w:tcPr>
          <w:p w14:paraId="29A2EF8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0.97 (0.89–1.06)</w:t>
            </w:r>
          </w:p>
        </w:tc>
        <w:tc>
          <w:tcPr>
            <w:tcW w:w="689" w:type="dxa"/>
            <w:noWrap/>
            <w:hideMark/>
          </w:tcPr>
          <w:p w14:paraId="6ACBBB2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0.49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222" w:type="dxa"/>
          </w:tcPr>
          <w:p w14:paraId="24D787F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7B8886A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1.03 (0.94–1.14)</w:t>
            </w:r>
          </w:p>
        </w:tc>
        <w:tc>
          <w:tcPr>
            <w:tcW w:w="689" w:type="dxa"/>
            <w:noWrap/>
            <w:hideMark/>
          </w:tcPr>
          <w:p w14:paraId="3FA329D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0.546</w:t>
            </w:r>
          </w:p>
        </w:tc>
        <w:tc>
          <w:tcPr>
            <w:tcW w:w="222" w:type="dxa"/>
          </w:tcPr>
          <w:p w14:paraId="7188B6C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24D9E24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0.98 (0.90–1.07)</w:t>
            </w:r>
          </w:p>
        </w:tc>
        <w:tc>
          <w:tcPr>
            <w:tcW w:w="689" w:type="dxa"/>
            <w:noWrap/>
            <w:hideMark/>
          </w:tcPr>
          <w:p w14:paraId="55CB089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0.67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</w:tr>
      <w:tr w:rsidR="00F7662B" w:rsidRPr="001B78C5" w14:paraId="4959A635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267DF83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Paternal BMI (per kg/m</w:t>
            </w:r>
            <w:r w:rsidRPr="00AE73F7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1B78C5">
              <w:rPr>
                <w:rFonts w:ascii="Times New Roman" w:hAnsi="Times New Roman" w:cs="Times New Roman"/>
                <w:szCs w:val="21"/>
              </w:rPr>
              <w:t xml:space="preserve"> increase)</w:t>
            </w:r>
          </w:p>
        </w:tc>
        <w:tc>
          <w:tcPr>
            <w:tcW w:w="1843" w:type="dxa"/>
            <w:noWrap/>
            <w:hideMark/>
          </w:tcPr>
          <w:p w14:paraId="49A7338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0.93 (0.85–1.01)</w:t>
            </w:r>
          </w:p>
        </w:tc>
        <w:tc>
          <w:tcPr>
            <w:tcW w:w="689" w:type="dxa"/>
            <w:noWrap/>
            <w:hideMark/>
          </w:tcPr>
          <w:p w14:paraId="2E70F06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0.089</w:t>
            </w:r>
          </w:p>
        </w:tc>
        <w:tc>
          <w:tcPr>
            <w:tcW w:w="222" w:type="dxa"/>
          </w:tcPr>
          <w:p w14:paraId="3DC36CE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0D355FF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0.95 (0.86–1.06)</w:t>
            </w:r>
          </w:p>
        </w:tc>
        <w:tc>
          <w:tcPr>
            <w:tcW w:w="689" w:type="dxa"/>
            <w:noWrap/>
            <w:hideMark/>
          </w:tcPr>
          <w:p w14:paraId="53B03BB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0.385</w:t>
            </w:r>
          </w:p>
        </w:tc>
        <w:tc>
          <w:tcPr>
            <w:tcW w:w="222" w:type="dxa"/>
          </w:tcPr>
          <w:p w14:paraId="2AF0786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66490BB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0.97 (0.89–1.06)</w:t>
            </w:r>
          </w:p>
        </w:tc>
        <w:tc>
          <w:tcPr>
            <w:tcW w:w="689" w:type="dxa"/>
            <w:noWrap/>
            <w:hideMark/>
          </w:tcPr>
          <w:p w14:paraId="1B528F8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0.52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</w:tr>
      <w:tr w:rsidR="00F7662B" w:rsidRPr="001B78C5" w14:paraId="463D52EA" w14:textId="77777777" w:rsidTr="004F0D9D">
        <w:trPr>
          <w:trHeight w:val="270"/>
          <w:jc w:val="center"/>
        </w:trPr>
        <w:tc>
          <w:tcPr>
            <w:tcW w:w="3686" w:type="dxa"/>
            <w:noWrap/>
            <w:hideMark/>
          </w:tcPr>
          <w:p w14:paraId="0F4A098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Gravidity (≥1 vs. 0)</w:t>
            </w:r>
          </w:p>
        </w:tc>
        <w:tc>
          <w:tcPr>
            <w:tcW w:w="1843" w:type="dxa"/>
            <w:noWrap/>
            <w:hideMark/>
          </w:tcPr>
          <w:p w14:paraId="265B9A4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1.12 (0.63–1.99)</w:t>
            </w:r>
          </w:p>
        </w:tc>
        <w:tc>
          <w:tcPr>
            <w:tcW w:w="689" w:type="dxa"/>
            <w:noWrap/>
            <w:hideMark/>
          </w:tcPr>
          <w:p w14:paraId="233AEF7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0.712</w:t>
            </w:r>
          </w:p>
        </w:tc>
        <w:tc>
          <w:tcPr>
            <w:tcW w:w="222" w:type="dxa"/>
          </w:tcPr>
          <w:p w14:paraId="27014EE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783C768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1.20 (0.60–2.39)</w:t>
            </w:r>
          </w:p>
        </w:tc>
        <w:tc>
          <w:tcPr>
            <w:tcW w:w="689" w:type="dxa"/>
            <w:noWrap/>
            <w:hideMark/>
          </w:tcPr>
          <w:p w14:paraId="429C73A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0.611</w:t>
            </w:r>
          </w:p>
        </w:tc>
        <w:tc>
          <w:tcPr>
            <w:tcW w:w="222" w:type="dxa"/>
          </w:tcPr>
          <w:p w14:paraId="070EDB9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600BE41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1.24 (0.69–2.23)</w:t>
            </w:r>
          </w:p>
        </w:tc>
        <w:tc>
          <w:tcPr>
            <w:tcW w:w="689" w:type="dxa"/>
            <w:noWrap/>
            <w:hideMark/>
          </w:tcPr>
          <w:p w14:paraId="433AEA5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0.467</w:t>
            </w:r>
          </w:p>
        </w:tc>
      </w:tr>
      <w:tr w:rsidR="00F7662B" w:rsidRPr="001B78C5" w14:paraId="5969FC75" w14:textId="77777777" w:rsidTr="004F0D9D">
        <w:trPr>
          <w:trHeight w:val="270"/>
          <w:jc w:val="center"/>
        </w:trPr>
        <w:tc>
          <w:tcPr>
            <w:tcW w:w="3686" w:type="dxa"/>
            <w:noWrap/>
            <w:hideMark/>
          </w:tcPr>
          <w:p w14:paraId="39A2BB2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Parity (≥1 vs. 0)</w:t>
            </w:r>
          </w:p>
        </w:tc>
        <w:tc>
          <w:tcPr>
            <w:tcW w:w="1843" w:type="dxa"/>
            <w:noWrap/>
            <w:hideMark/>
          </w:tcPr>
          <w:p w14:paraId="32F22FA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0.73 (0.20–2.67)</w:t>
            </w:r>
          </w:p>
        </w:tc>
        <w:tc>
          <w:tcPr>
            <w:tcW w:w="689" w:type="dxa"/>
            <w:noWrap/>
            <w:hideMark/>
          </w:tcPr>
          <w:p w14:paraId="101A7F1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0.63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222" w:type="dxa"/>
          </w:tcPr>
          <w:p w14:paraId="63899CD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3153EDD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0.99 (0.26–3.75)</w:t>
            </w:r>
          </w:p>
        </w:tc>
        <w:tc>
          <w:tcPr>
            <w:tcW w:w="689" w:type="dxa"/>
            <w:noWrap/>
            <w:hideMark/>
          </w:tcPr>
          <w:p w14:paraId="7BD8B20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0.985</w:t>
            </w:r>
          </w:p>
        </w:tc>
        <w:tc>
          <w:tcPr>
            <w:tcW w:w="222" w:type="dxa"/>
          </w:tcPr>
          <w:p w14:paraId="43330E6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18BCB7D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0.24 (0.03–1.85)</w:t>
            </w:r>
          </w:p>
        </w:tc>
        <w:tc>
          <w:tcPr>
            <w:tcW w:w="689" w:type="dxa"/>
            <w:noWrap/>
            <w:hideMark/>
          </w:tcPr>
          <w:p w14:paraId="1AE4DFC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0.17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</w:tr>
      <w:tr w:rsidR="00F7662B" w:rsidRPr="001B78C5" w14:paraId="1FEC625F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5206F78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Duration of infertility (per year increase)</w:t>
            </w:r>
          </w:p>
        </w:tc>
        <w:tc>
          <w:tcPr>
            <w:tcW w:w="1843" w:type="dxa"/>
            <w:noWrap/>
            <w:hideMark/>
          </w:tcPr>
          <w:p w14:paraId="705407B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0.97 (0.89–1.06)</w:t>
            </w:r>
          </w:p>
        </w:tc>
        <w:tc>
          <w:tcPr>
            <w:tcW w:w="689" w:type="dxa"/>
            <w:noWrap/>
            <w:hideMark/>
          </w:tcPr>
          <w:p w14:paraId="62B9888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0.466</w:t>
            </w:r>
          </w:p>
        </w:tc>
        <w:tc>
          <w:tcPr>
            <w:tcW w:w="222" w:type="dxa"/>
          </w:tcPr>
          <w:p w14:paraId="02B72C4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4829C6E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1.08 (0.94–1.24)</w:t>
            </w:r>
          </w:p>
        </w:tc>
        <w:tc>
          <w:tcPr>
            <w:tcW w:w="689" w:type="dxa"/>
            <w:noWrap/>
            <w:hideMark/>
          </w:tcPr>
          <w:p w14:paraId="05C161F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0.261</w:t>
            </w:r>
          </w:p>
        </w:tc>
        <w:tc>
          <w:tcPr>
            <w:tcW w:w="222" w:type="dxa"/>
          </w:tcPr>
          <w:p w14:paraId="66D838D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10097077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1.17 (1.03–1.32)</w:t>
            </w:r>
          </w:p>
        </w:tc>
        <w:tc>
          <w:tcPr>
            <w:tcW w:w="689" w:type="dxa"/>
            <w:noWrap/>
            <w:hideMark/>
          </w:tcPr>
          <w:p w14:paraId="552C4F55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0.013</w:t>
            </w:r>
          </w:p>
        </w:tc>
      </w:tr>
      <w:tr w:rsidR="00F7662B" w:rsidRPr="001B78C5" w14:paraId="6CC49253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4A869EF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Infertility diagnosis</w:t>
            </w:r>
          </w:p>
        </w:tc>
        <w:tc>
          <w:tcPr>
            <w:tcW w:w="1843" w:type="dxa"/>
            <w:noWrap/>
            <w:hideMark/>
          </w:tcPr>
          <w:p w14:paraId="298D5C5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2F1D7EE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0.545</w:t>
            </w:r>
          </w:p>
        </w:tc>
        <w:tc>
          <w:tcPr>
            <w:tcW w:w="222" w:type="dxa"/>
          </w:tcPr>
          <w:p w14:paraId="199A4E5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4FBB509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600EAE0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0.175</w:t>
            </w:r>
          </w:p>
        </w:tc>
        <w:tc>
          <w:tcPr>
            <w:tcW w:w="222" w:type="dxa"/>
          </w:tcPr>
          <w:p w14:paraId="2E373D3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1833B4A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12A55BE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0.508</w:t>
            </w:r>
          </w:p>
        </w:tc>
      </w:tr>
      <w:tr w:rsidR="00F7662B" w:rsidRPr="001B78C5" w14:paraId="2FDB7D6A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4C2E645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Anovulation</w:t>
            </w:r>
          </w:p>
        </w:tc>
        <w:tc>
          <w:tcPr>
            <w:tcW w:w="1843" w:type="dxa"/>
            <w:noWrap/>
            <w:hideMark/>
          </w:tcPr>
          <w:p w14:paraId="2ACBACD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62B2115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645005A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6CF5C9B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2C48102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639F80B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7919548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5BCBADE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bookmarkStart w:id="1" w:name="_GoBack"/>
        <w:bookmarkEnd w:id="1"/>
      </w:tr>
      <w:tr w:rsidR="00F7662B" w:rsidRPr="001B78C5" w14:paraId="5EF9AB61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1267271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Male factor</w:t>
            </w:r>
          </w:p>
        </w:tc>
        <w:tc>
          <w:tcPr>
            <w:tcW w:w="1843" w:type="dxa"/>
            <w:noWrap/>
            <w:hideMark/>
          </w:tcPr>
          <w:p w14:paraId="1A52B60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1.24 (0.51–3.00)</w:t>
            </w:r>
          </w:p>
        </w:tc>
        <w:tc>
          <w:tcPr>
            <w:tcW w:w="689" w:type="dxa"/>
            <w:noWrap/>
            <w:hideMark/>
          </w:tcPr>
          <w:p w14:paraId="721E183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0794B30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6EA3F4E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1.30 (0.37–4.52)</w:t>
            </w:r>
          </w:p>
        </w:tc>
        <w:tc>
          <w:tcPr>
            <w:tcW w:w="689" w:type="dxa"/>
            <w:noWrap/>
            <w:hideMark/>
          </w:tcPr>
          <w:p w14:paraId="22F7C71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169EAB8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60274DE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0.90 (0.34–2.41)</w:t>
            </w:r>
          </w:p>
        </w:tc>
        <w:tc>
          <w:tcPr>
            <w:tcW w:w="689" w:type="dxa"/>
            <w:noWrap/>
            <w:hideMark/>
          </w:tcPr>
          <w:p w14:paraId="5EE3A9E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192DA02A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2B30856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Endometriosis</w:t>
            </w:r>
          </w:p>
        </w:tc>
        <w:tc>
          <w:tcPr>
            <w:tcW w:w="1843" w:type="dxa"/>
            <w:noWrap/>
            <w:hideMark/>
          </w:tcPr>
          <w:p w14:paraId="7F79853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3.27 (0.84–12.71)</w:t>
            </w:r>
          </w:p>
        </w:tc>
        <w:tc>
          <w:tcPr>
            <w:tcW w:w="689" w:type="dxa"/>
            <w:noWrap/>
            <w:hideMark/>
          </w:tcPr>
          <w:p w14:paraId="73F9A5C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4B592EF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376C713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4.98 (0.81–30.82)</w:t>
            </w:r>
          </w:p>
        </w:tc>
        <w:tc>
          <w:tcPr>
            <w:tcW w:w="689" w:type="dxa"/>
            <w:noWrap/>
            <w:hideMark/>
          </w:tcPr>
          <w:p w14:paraId="563FDB2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6AC7BD1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0BADE53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2.14 (0.40–11.42)</w:t>
            </w:r>
          </w:p>
        </w:tc>
        <w:tc>
          <w:tcPr>
            <w:tcW w:w="689" w:type="dxa"/>
            <w:noWrap/>
            <w:hideMark/>
          </w:tcPr>
          <w:p w14:paraId="29400C8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062D8069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06662E2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Mixed</w:t>
            </w:r>
          </w:p>
        </w:tc>
        <w:tc>
          <w:tcPr>
            <w:tcW w:w="1843" w:type="dxa"/>
            <w:noWrap/>
            <w:hideMark/>
          </w:tcPr>
          <w:p w14:paraId="1906095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1.09 (0.22–5.40)</w:t>
            </w:r>
          </w:p>
        </w:tc>
        <w:tc>
          <w:tcPr>
            <w:tcW w:w="689" w:type="dxa"/>
            <w:noWrap/>
            <w:hideMark/>
          </w:tcPr>
          <w:p w14:paraId="17A0AFF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0A8B3F0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1AFE583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1.13 (0.12–10.42)</w:t>
            </w:r>
          </w:p>
        </w:tc>
        <w:tc>
          <w:tcPr>
            <w:tcW w:w="689" w:type="dxa"/>
            <w:noWrap/>
            <w:hideMark/>
          </w:tcPr>
          <w:p w14:paraId="2A8A4FC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1723686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4469DCF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1.37 (0.27–6.89)</w:t>
            </w:r>
          </w:p>
        </w:tc>
        <w:tc>
          <w:tcPr>
            <w:tcW w:w="689" w:type="dxa"/>
            <w:noWrap/>
            <w:hideMark/>
          </w:tcPr>
          <w:p w14:paraId="2C4FA30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5E6BFA3D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1AA3F93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Unexplained</w:t>
            </w:r>
          </w:p>
        </w:tc>
        <w:tc>
          <w:tcPr>
            <w:tcW w:w="1843" w:type="dxa"/>
            <w:noWrap/>
            <w:hideMark/>
          </w:tcPr>
          <w:p w14:paraId="1F9C67E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1.19 (0.56–2.50)</w:t>
            </w:r>
          </w:p>
        </w:tc>
        <w:tc>
          <w:tcPr>
            <w:tcW w:w="689" w:type="dxa"/>
            <w:noWrap/>
            <w:hideMark/>
          </w:tcPr>
          <w:p w14:paraId="4E4A05B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08CA3BA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515F97B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2.62 (0.94–7.27)</w:t>
            </w:r>
          </w:p>
        </w:tc>
        <w:tc>
          <w:tcPr>
            <w:tcW w:w="689" w:type="dxa"/>
            <w:noWrap/>
            <w:hideMark/>
          </w:tcPr>
          <w:p w14:paraId="5B4D033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3481B28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6EAB5C9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1.60 (0.73–3.51)</w:t>
            </w:r>
          </w:p>
        </w:tc>
        <w:tc>
          <w:tcPr>
            <w:tcW w:w="689" w:type="dxa"/>
            <w:noWrap/>
            <w:hideMark/>
          </w:tcPr>
          <w:p w14:paraId="3F0C858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10C9AFB2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6F6BE0B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Rank of IUI attempts</w:t>
            </w:r>
          </w:p>
        </w:tc>
        <w:tc>
          <w:tcPr>
            <w:tcW w:w="1843" w:type="dxa"/>
            <w:noWrap/>
            <w:hideMark/>
          </w:tcPr>
          <w:p w14:paraId="189864D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29611A9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0.397</w:t>
            </w:r>
          </w:p>
        </w:tc>
        <w:tc>
          <w:tcPr>
            <w:tcW w:w="222" w:type="dxa"/>
          </w:tcPr>
          <w:p w14:paraId="0D4508B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2C6B23E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254C1D5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0.982</w:t>
            </w:r>
          </w:p>
        </w:tc>
        <w:tc>
          <w:tcPr>
            <w:tcW w:w="222" w:type="dxa"/>
          </w:tcPr>
          <w:p w14:paraId="740E920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6E06222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7C59817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0.377</w:t>
            </w:r>
          </w:p>
        </w:tc>
      </w:tr>
      <w:tr w:rsidR="00F7662B" w:rsidRPr="001B78C5" w14:paraId="3C1F8CC1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2465E8F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1st cycle</w:t>
            </w:r>
          </w:p>
        </w:tc>
        <w:tc>
          <w:tcPr>
            <w:tcW w:w="1843" w:type="dxa"/>
            <w:noWrap/>
            <w:hideMark/>
          </w:tcPr>
          <w:p w14:paraId="74A68F5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34D5C70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08407FC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2D73C0C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4CB75BF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314F41F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48A2353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11DF3C7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43CB2B93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216794B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2nd cycle</w:t>
            </w:r>
          </w:p>
        </w:tc>
        <w:tc>
          <w:tcPr>
            <w:tcW w:w="1843" w:type="dxa"/>
            <w:noWrap/>
            <w:hideMark/>
          </w:tcPr>
          <w:p w14:paraId="1DC0163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0.94 (0.52–1.70)</w:t>
            </w:r>
          </w:p>
        </w:tc>
        <w:tc>
          <w:tcPr>
            <w:tcW w:w="689" w:type="dxa"/>
            <w:noWrap/>
            <w:hideMark/>
          </w:tcPr>
          <w:p w14:paraId="6D20A2C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1812917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1B63CAA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1.06 (0.54–2.10)</w:t>
            </w:r>
          </w:p>
        </w:tc>
        <w:tc>
          <w:tcPr>
            <w:tcW w:w="689" w:type="dxa"/>
            <w:noWrap/>
            <w:hideMark/>
          </w:tcPr>
          <w:p w14:paraId="5E62B15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0B39A7A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3DE0833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0.82 (0.45–1.50)</w:t>
            </w:r>
          </w:p>
        </w:tc>
        <w:tc>
          <w:tcPr>
            <w:tcW w:w="689" w:type="dxa"/>
            <w:noWrap/>
            <w:hideMark/>
          </w:tcPr>
          <w:p w14:paraId="6917740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7231A91B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645389F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3rd or more</w:t>
            </w:r>
          </w:p>
        </w:tc>
        <w:tc>
          <w:tcPr>
            <w:tcW w:w="1843" w:type="dxa"/>
            <w:noWrap/>
            <w:hideMark/>
          </w:tcPr>
          <w:p w14:paraId="73E14B6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1.66 (0.76–3.64)</w:t>
            </w:r>
          </w:p>
        </w:tc>
        <w:tc>
          <w:tcPr>
            <w:tcW w:w="689" w:type="dxa"/>
            <w:noWrap/>
            <w:hideMark/>
          </w:tcPr>
          <w:p w14:paraId="2515C95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4FD9E73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7589312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1.06 (0.35–3.20)</w:t>
            </w:r>
          </w:p>
        </w:tc>
        <w:tc>
          <w:tcPr>
            <w:tcW w:w="689" w:type="dxa"/>
            <w:noWrap/>
            <w:hideMark/>
          </w:tcPr>
          <w:p w14:paraId="2B2F9A2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5C38D2A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0AF65BB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0.44 (0.13–1.49)</w:t>
            </w:r>
          </w:p>
        </w:tc>
        <w:tc>
          <w:tcPr>
            <w:tcW w:w="689" w:type="dxa"/>
            <w:noWrap/>
            <w:hideMark/>
          </w:tcPr>
          <w:p w14:paraId="282A19E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0AF63170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7631755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Stimulation protocol (LE + hMG vs. LE)</w:t>
            </w:r>
          </w:p>
        </w:tc>
        <w:tc>
          <w:tcPr>
            <w:tcW w:w="1843" w:type="dxa"/>
            <w:noWrap/>
            <w:hideMark/>
          </w:tcPr>
          <w:p w14:paraId="62700A5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1.27 (0.52–3.12)</w:t>
            </w:r>
          </w:p>
        </w:tc>
        <w:tc>
          <w:tcPr>
            <w:tcW w:w="689" w:type="dxa"/>
            <w:noWrap/>
            <w:hideMark/>
          </w:tcPr>
          <w:p w14:paraId="7F495CD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0.607</w:t>
            </w:r>
          </w:p>
        </w:tc>
        <w:tc>
          <w:tcPr>
            <w:tcW w:w="222" w:type="dxa"/>
          </w:tcPr>
          <w:p w14:paraId="3C7B3E2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5F0D4CA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0.85 (0.31–2.30)</w:t>
            </w:r>
          </w:p>
        </w:tc>
        <w:tc>
          <w:tcPr>
            <w:tcW w:w="689" w:type="dxa"/>
            <w:noWrap/>
            <w:hideMark/>
          </w:tcPr>
          <w:p w14:paraId="1C4218E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0.745</w:t>
            </w:r>
          </w:p>
        </w:tc>
        <w:tc>
          <w:tcPr>
            <w:tcW w:w="222" w:type="dxa"/>
          </w:tcPr>
          <w:p w14:paraId="2EC324C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0F66904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1.05 (0.42–2.62)</w:t>
            </w:r>
          </w:p>
        </w:tc>
        <w:tc>
          <w:tcPr>
            <w:tcW w:w="689" w:type="dxa"/>
            <w:noWrap/>
            <w:hideMark/>
          </w:tcPr>
          <w:p w14:paraId="6CB8DCA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0.917</w:t>
            </w:r>
          </w:p>
        </w:tc>
      </w:tr>
      <w:tr w:rsidR="00F7662B" w:rsidRPr="001B78C5" w14:paraId="00EEE846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21D35AD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Length of treatment (per day increase) </w:t>
            </w:r>
          </w:p>
        </w:tc>
        <w:tc>
          <w:tcPr>
            <w:tcW w:w="1843" w:type="dxa"/>
            <w:noWrap/>
            <w:hideMark/>
          </w:tcPr>
          <w:p w14:paraId="4451036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1.00 (0.91–1.11)</w:t>
            </w:r>
          </w:p>
        </w:tc>
        <w:tc>
          <w:tcPr>
            <w:tcW w:w="689" w:type="dxa"/>
            <w:noWrap/>
            <w:hideMark/>
          </w:tcPr>
          <w:p w14:paraId="72FC9F0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0.934</w:t>
            </w:r>
          </w:p>
        </w:tc>
        <w:tc>
          <w:tcPr>
            <w:tcW w:w="222" w:type="dxa"/>
          </w:tcPr>
          <w:p w14:paraId="606E694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06C97B1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1.06 (0.95–1.17)</w:t>
            </w:r>
          </w:p>
        </w:tc>
        <w:tc>
          <w:tcPr>
            <w:tcW w:w="689" w:type="dxa"/>
            <w:noWrap/>
            <w:hideMark/>
          </w:tcPr>
          <w:p w14:paraId="7A8336C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0.306</w:t>
            </w:r>
          </w:p>
        </w:tc>
        <w:tc>
          <w:tcPr>
            <w:tcW w:w="222" w:type="dxa"/>
          </w:tcPr>
          <w:p w14:paraId="16DA71C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554C8DC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0.98 (0.89–1.09)</w:t>
            </w:r>
          </w:p>
        </w:tc>
        <w:tc>
          <w:tcPr>
            <w:tcW w:w="689" w:type="dxa"/>
            <w:noWrap/>
            <w:hideMark/>
          </w:tcPr>
          <w:p w14:paraId="74E7EFF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0.763</w:t>
            </w:r>
          </w:p>
        </w:tc>
      </w:tr>
      <w:tr w:rsidR="00F7662B" w:rsidRPr="001B78C5" w14:paraId="5C720EE2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685188C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Peak E</w:t>
            </w:r>
            <w:r w:rsidRPr="00AE73F7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1B78C5">
              <w:rPr>
                <w:rFonts w:ascii="Times New Roman" w:hAnsi="Times New Roman" w:cs="Times New Roman"/>
                <w:szCs w:val="21"/>
              </w:rPr>
              <w:t xml:space="preserve"> level (per log pg/mL increase) </w:t>
            </w:r>
          </w:p>
        </w:tc>
        <w:tc>
          <w:tcPr>
            <w:tcW w:w="1843" w:type="dxa"/>
            <w:noWrap/>
            <w:hideMark/>
          </w:tcPr>
          <w:p w14:paraId="1AF9928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0.56 (0.19–1.64)</w:t>
            </w:r>
          </w:p>
        </w:tc>
        <w:tc>
          <w:tcPr>
            <w:tcW w:w="689" w:type="dxa"/>
            <w:noWrap/>
            <w:hideMark/>
          </w:tcPr>
          <w:p w14:paraId="73777F5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0.292</w:t>
            </w:r>
          </w:p>
        </w:tc>
        <w:tc>
          <w:tcPr>
            <w:tcW w:w="222" w:type="dxa"/>
          </w:tcPr>
          <w:p w14:paraId="4A5C0F5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48C4FFA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0.55 (0.15–2.00)</w:t>
            </w:r>
          </w:p>
        </w:tc>
        <w:tc>
          <w:tcPr>
            <w:tcW w:w="689" w:type="dxa"/>
            <w:noWrap/>
            <w:hideMark/>
          </w:tcPr>
          <w:p w14:paraId="48917AD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0.364</w:t>
            </w:r>
          </w:p>
        </w:tc>
        <w:tc>
          <w:tcPr>
            <w:tcW w:w="222" w:type="dxa"/>
          </w:tcPr>
          <w:p w14:paraId="102298F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1A54310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1.60 (0.53–4.86)</w:t>
            </w:r>
          </w:p>
        </w:tc>
        <w:tc>
          <w:tcPr>
            <w:tcW w:w="689" w:type="dxa"/>
            <w:noWrap/>
            <w:hideMark/>
          </w:tcPr>
          <w:p w14:paraId="2AE98A7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0.407</w:t>
            </w:r>
          </w:p>
        </w:tc>
      </w:tr>
      <w:tr w:rsidR="00F7662B" w:rsidRPr="001B78C5" w14:paraId="25EFF75D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1EB1E68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Endometrial thickness (mm) </w:t>
            </w:r>
          </w:p>
        </w:tc>
        <w:tc>
          <w:tcPr>
            <w:tcW w:w="1843" w:type="dxa"/>
            <w:noWrap/>
            <w:hideMark/>
          </w:tcPr>
          <w:p w14:paraId="29E53DC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5A80D83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0.594</w:t>
            </w:r>
          </w:p>
        </w:tc>
        <w:tc>
          <w:tcPr>
            <w:tcW w:w="222" w:type="dxa"/>
          </w:tcPr>
          <w:p w14:paraId="1BF44BD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060D587C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4908526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0.466</w:t>
            </w:r>
          </w:p>
        </w:tc>
        <w:tc>
          <w:tcPr>
            <w:tcW w:w="222" w:type="dxa"/>
          </w:tcPr>
          <w:p w14:paraId="5F4F277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7AA8FFF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40700EA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0.723</w:t>
            </w:r>
          </w:p>
        </w:tc>
      </w:tr>
      <w:tr w:rsidR="00F7662B" w:rsidRPr="001B78C5" w14:paraId="104A14A2" w14:textId="77777777" w:rsidTr="004F0D9D">
        <w:trPr>
          <w:trHeight w:val="270"/>
          <w:jc w:val="center"/>
        </w:trPr>
        <w:tc>
          <w:tcPr>
            <w:tcW w:w="3686" w:type="dxa"/>
            <w:noWrap/>
            <w:hideMark/>
          </w:tcPr>
          <w:p w14:paraId="01F16F9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≤7.6</w:t>
            </w:r>
          </w:p>
        </w:tc>
        <w:tc>
          <w:tcPr>
            <w:tcW w:w="1843" w:type="dxa"/>
            <w:noWrap/>
            <w:hideMark/>
          </w:tcPr>
          <w:p w14:paraId="2652042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0.81 (0.33–2.01)</w:t>
            </w:r>
          </w:p>
        </w:tc>
        <w:tc>
          <w:tcPr>
            <w:tcW w:w="689" w:type="dxa"/>
            <w:noWrap/>
            <w:hideMark/>
          </w:tcPr>
          <w:p w14:paraId="3375933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409DE0C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03C406F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1.44 (0.58–3.58)</w:t>
            </w:r>
          </w:p>
        </w:tc>
        <w:tc>
          <w:tcPr>
            <w:tcW w:w="689" w:type="dxa"/>
            <w:noWrap/>
            <w:hideMark/>
          </w:tcPr>
          <w:p w14:paraId="124AC8D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5A083EB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095AE56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1.21 (0.53–2.76)</w:t>
            </w:r>
          </w:p>
        </w:tc>
        <w:tc>
          <w:tcPr>
            <w:tcW w:w="689" w:type="dxa"/>
            <w:noWrap/>
            <w:hideMark/>
          </w:tcPr>
          <w:p w14:paraId="7F202C2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3A0BDC16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05063D2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7.7–13.0</w:t>
            </w:r>
          </w:p>
        </w:tc>
        <w:tc>
          <w:tcPr>
            <w:tcW w:w="1843" w:type="dxa"/>
            <w:noWrap/>
            <w:hideMark/>
          </w:tcPr>
          <w:p w14:paraId="5B63F04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2404E29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6A750FF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27F3876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449D2A4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5C6B5BF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1DB4678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2CF47A7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4C91735A" w14:textId="77777777" w:rsidTr="004F0D9D">
        <w:trPr>
          <w:trHeight w:val="270"/>
          <w:jc w:val="center"/>
        </w:trPr>
        <w:tc>
          <w:tcPr>
            <w:tcW w:w="3686" w:type="dxa"/>
            <w:noWrap/>
            <w:hideMark/>
          </w:tcPr>
          <w:p w14:paraId="7407073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≥13.1</w:t>
            </w:r>
          </w:p>
        </w:tc>
        <w:tc>
          <w:tcPr>
            <w:tcW w:w="1843" w:type="dxa"/>
            <w:noWrap/>
            <w:hideMark/>
          </w:tcPr>
          <w:p w14:paraId="4CABBC6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0.63 (0.24–1.65)</w:t>
            </w:r>
          </w:p>
        </w:tc>
        <w:tc>
          <w:tcPr>
            <w:tcW w:w="689" w:type="dxa"/>
            <w:noWrap/>
            <w:hideMark/>
          </w:tcPr>
          <w:p w14:paraId="736811A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7A797FF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222F1A59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0.57 (0.17–1.95)</w:t>
            </w:r>
          </w:p>
        </w:tc>
        <w:tc>
          <w:tcPr>
            <w:tcW w:w="689" w:type="dxa"/>
            <w:noWrap/>
            <w:hideMark/>
          </w:tcPr>
          <w:p w14:paraId="0412864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55B6F3C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66B27E1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0.73 (0.28–1.92)</w:t>
            </w:r>
          </w:p>
        </w:tc>
        <w:tc>
          <w:tcPr>
            <w:tcW w:w="689" w:type="dxa"/>
            <w:noWrap/>
            <w:hideMark/>
          </w:tcPr>
          <w:p w14:paraId="689C3B0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42C93F20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03032E8C" w14:textId="77777777" w:rsidR="00F7662B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Postprocessing TMSC </w:t>
            </w:r>
          </w:p>
          <w:p w14:paraId="2C1D651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(per log million increase)</w:t>
            </w:r>
          </w:p>
        </w:tc>
        <w:tc>
          <w:tcPr>
            <w:tcW w:w="1843" w:type="dxa"/>
            <w:noWrap/>
            <w:hideMark/>
          </w:tcPr>
          <w:p w14:paraId="7EBBC79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1.50 (0.84–2.69)</w:t>
            </w:r>
          </w:p>
        </w:tc>
        <w:tc>
          <w:tcPr>
            <w:tcW w:w="689" w:type="dxa"/>
            <w:noWrap/>
            <w:hideMark/>
          </w:tcPr>
          <w:p w14:paraId="04E60C5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0.174</w:t>
            </w:r>
          </w:p>
        </w:tc>
        <w:tc>
          <w:tcPr>
            <w:tcW w:w="222" w:type="dxa"/>
          </w:tcPr>
          <w:p w14:paraId="0872FBC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3E30F8C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0.91 (0.46–1.83)</w:t>
            </w:r>
          </w:p>
        </w:tc>
        <w:tc>
          <w:tcPr>
            <w:tcW w:w="689" w:type="dxa"/>
            <w:noWrap/>
            <w:hideMark/>
          </w:tcPr>
          <w:p w14:paraId="77C49FB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0.796</w:t>
            </w:r>
          </w:p>
        </w:tc>
        <w:tc>
          <w:tcPr>
            <w:tcW w:w="222" w:type="dxa"/>
          </w:tcPr>
          <w:p w14:paraId="4D301CE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49D09EB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0.92 (0.51–1.66)</w:t>
            </w:r>
          </w:p>
        </w:tc>
        <w:tc>
          <w:tcPr>
            <w:tcW w:w="689" w:type="dxa"/>
            <w:noWrap/>
            <w:hideMark/>
          </w:tcPr>
          <w:p w14:paraId="63655DB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0.777</w:t>
            </w:r>
          </w:p>
        </w:tc>
      </w:tr>
      <w:tr w:rsidR="00F7662B" w:rsidRPr="001B78C5" w14:paraId="034D3B64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3D877BF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Vanishing twin syndrome (yes vs. no)</w:t>
            </w:r>
          </w:p>
        </w:tc>
        <w:tc>
          <w:tcPr>
            <w:tcW w:w="1843" w:type="dxa"/>
            <w:noWrap/>
            <w:hideMark/>
          </w:tcPr>
          <w:p w14:paraId="11AB0481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5.48 (1.84–16.33)</w:t>
            </w:r>
          </w:p>
        </w:tc>
        <w:tc>
          <w:tcPr>
            <w:tcW w:w="689" w:type="dxa"/>
            <w:noWrap/>
            <w:hideMark/>
          </w:tcPr>
          <w:p w14:paraId="68D87991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0.002</w:t>
            </w:r>
          </w:p>
        </w:tc>
        <w:tc>
          <w:tcPr>
            <w:tcW w:w="222" w:type="dxa"/>
          </w:tcPr>
          <w:p w14:paraId="53BC8C1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03561A3B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6.58 (1.97–21.93)</w:t>
            </w:r>
          </w:p>
        </w:tc>
        <w:tc>
          <w:tcPr>
            <w:tcW w:w="689" w:type="dxa"/>
            <w:noWrap/>
            <w:hideMark/>
          </w:tcPr>
          <w:p w14:paraId="193909CD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0.002</w:t>
            </w:r>
          </w:p>
        </w:tc>
        <w:tc>
          <w:tcPr>
            <w:tcW w:w="222" w:type="dxa"/>
          </w:tcPr>
          <w:p w14:paraId="3C39B21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0C714A0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1.83 (0.40–8.34)</w:t>
            </w:r>
          </w:p>
        </w:tc>
        <w:tc>
          <w:tcPr>
            <w:tcW w:w="689" w:type="dxa"/>
            <w:noWrap/>
            <w:hideMark/>
          </w:tcPr>
          <w:p w14:paraId="7131170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0.434</w:t>
            </w:r>
          </w:p>
        </w:tc>
      </w:tr>
      <w:tr w:rsidR="00F7662B" w:rsidRPr="001B78C5" w14:paraId="542F7D68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44EC28B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Pregnancy complications (yes vs. no)</w:t>
            </w:r>
          </w:p>
        </w:tc>
        <w:tc>
          <w:tcPr>
            <w:tcW w:w="1843" w:type="dxa"/>
            <w:noWrap/>
            <w:hideMark/>
          </w:tcPr>
          <w:p w14:paraId="32E20571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3.05 (1.32–7.05)</w:t>
            </w:r>
          </w:p>
        </w:tc>
        <w:tc>
          <w:tcPr>
            <w:tcW w:w="689" w:type="dxa"/>
            <w:noWrap/>
            <w:hideMark/>
          </w:tcPr>
          <w:p w14:paraId="23F78330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0.009</w:t>
            </w:r>
          </w:p>
        </w:tc>
        <w:tc>
          <w:tcPr>
            <w:tcW w:w="222" w:type="dxa"/>
          </w:tcPr>
          <w:p w14:paraId="697098A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1F9E6005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2.65 (1.01–6.96)</w:t>
            </w:r>
          </w:p>
        </w:tc>
        <w:tc>
          <w:tcPr>
            <w:tcW w:w="689" w:type="dxa"/>
            <w:noWrap/>
            <w:hideMark/>
          </w:tcPr>
          <w:p w14:paraId="19D66F9E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0.048</w:t>
            </w:r>
          </w:p>
        </w:tc>
        <w:tc>
          <w:tcPr>
            <w:tcW w:w="222" w:type="dxa"/>
          </w:tcPr>
          <w:p w14:paraId="5284C50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4A87AC6E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2.59 (1.11–6.02)</w:t>
            </w:r>
          </w:p>
        </w:tc>
        <w:tc>
          <w:tcPr>
            <w:tcW w:w="689" w:type="dxa"/>
            <w:noWrap/>
            <w:hideMark/>
          </w:tcPr>
          <w:p w14:paraId="51EEE0B6" w14:textId="77777777" w:rsidR="00F7662B" w:rsidRPr="00AA5F09" w:rsidRDefault="00F7662B" w:rsidP="004F0D9D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AA5F09">
              <w:rPr>
                <w:rFonts w:ascii="Times New Roman" w:hAnsi="Times New Roman" w:cs="Times New Roman"/>
                <w:b/>
                <w:bCs/>
                <w:szCs w:val="21"/>
              </w:rPr>
              <w:t>0.027</w:t>
            </w:r>
          </w:p>
        </w:tc>
      </w:tr>
      <w:tr w:rsidR="00F7662B" w:rsidRPr="001B78C5" w14:paraId="623A831D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3CEAF01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Year of treatment</w:t>
            </w:r>
          </w:p>
        </w:tc>
        <w:tc>
          <w:tcPr>
            <w:tcW w:w="1843" w:type="dxa"/>
            <w:noWrap/>
            <w:hideMark/>
          </w:tcPr>
          <w:p w14:paraId="1C08D4F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19DE7C7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0.116</w:t>
            </w:r>
          </w:p>
        </w:tc>
        <w:tc>
          <w:tcPr>
            <w:tcW w:w="222" w:type="dxa"/>
          </w:tcPr>
          <w:p w14:paraId="075ABE2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3F3E740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59F511EB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0.326</w:t>
            </w:r>
          </w:p>
        </w:tc>
        <w:tc>
          <w:tcPr>
            <w:tcW w:w="222" w:type="dxa"/>
          </w:tcPr>
          <w:p w14:paraId="29BD501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5EB77061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/>
            <w:hideMark/>
          </w:tcPr>
          <w:p w14:paraId="3E5F1F2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0.978</w:t>
            </w:r>
          </w:p>
        </w:tc>
      </w:tr>
      <w:tr w:rsidR="00F7662B" w:rsidRPr="001B78C5" w14:paraId="00272E52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79C4E3F8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2008–2011</w:t>
            </w:r>
          </w:p>
        </w:tc>
        <w:tc>
          <w:tcPr>
            <w:tcW w:w="1843" w:type="dxa"/>
            <w:noWrap/>
            <w:hideMark/>
          </w:tcPr>
          <w:p w14:paraId="116AABA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4447608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014E425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325367F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44C7FAD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46F00C5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02159D1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Reference</w:t>
            </w:r>
          </w:p>
        </w:tc>
        <w:tc>
          <w:tcPr>
            <w:tcW w:w="689" w:type="dxa"/>
            <w:noWrap/>
            <w:hideMark/>
          </w:tcPr>
          <w:p w14:paraId="1237C25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78B021BB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7A28B86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2012–2015</w:t>
            </w:r>
          </w:p>
        </w:tc>
        <w:tc>
          <w:tcPr>
            <w:tcW w:w="1843" w:type="dxa"/>
            <w:noWrap/>
            <w:hideMark/>
          </w:tcPr>
          <w:p w14:paraId="0738607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0.74 (0.33–1.65)</w:t>
            </w:r>
          </w:p>
        </w:tc>
        <w:tc>
          <w:tcPr>
            <w:tcW w:w="689" w:type="dxa"/>
            <w:noWrap/>
            <w:hideMark/>
          </w:tcPr>
          <w:p w14:paraId="18D91A2F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5BCE40F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129EE69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0.55 (0.21–1.40)</w:t>
            </w:r>
          </w:p>
        </w:tc>
        <w:tc>
          <w:tcPr>
            <w:tcW w:w="689" w:type="dxa"/>
            <w:noWrap/>
            <w:hideMark/>
          </w:tcPr>
          <w:p w14:paraId="75005AA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29A1F2C3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44EAEAB2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0.95 (0.37–2.47)</w:t>
            </w:r>
          </w:p>
        </w:tc>
        <w:tc>
          <w:tcPr>
            <w:tcW w:w="689" w:type="dxa"/>
            <w:noWrap/>
            <w:hideMark/>
          </w:tcPr>
          <w:p w14:paraId="033A8FED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F7662B" w:rsidRPr="001B78C5" w14:paraId="25DC1D64" w14:textId="77777777" w:rsidTr="004F0D9D">
        <w:trPr>
          <w:trHeight w:val="260"/>
          <w:jc w:val="center"/>
        </w:trPr>
        <w:tc>
          <w:tcPr>
            <w:tcW w:w="3686" w:type="dxa"/>
            <w:noWrap/>
            <w:hideMark/>
          </w:tcPr>
          <w:p w14:paraId="180AEA57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 xml:space="preserve"> 2016–2018</w:t>
            </w:r>
          </w:p>
        </w:tc>
        <w:tc>
          <w:tcPr>
            <w:tcW w:w="1843" w:type="dxa"/>
            <w:noWrap/>
            <w:hideMark/>
          </w:tcPr>
          <w:p w14:paraId="75CCC94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0.44 (0.18–1.05)</w:t>
            </w:r>
          </w:p>
        </w:tc>
        <w:tc>
          <w:tcPr>
            <w:tcW w:w="689" w:type="dxa"/>
            <w:noWrap/>
            <w:hideMark/>
          </w:tcPr>
          <w:p w14:paraId="4C5248B6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0BBC56A5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8" w:type="dxa"/>
            <w:noWrap/>
            <w:hideMark/>
          </w:tcPr>
          <w:p w14:paraId="5354BA54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0.48 (0.18–1.28)</w:t>
            </w:r>
          </w:p>
        </w:tc>
        <w:tc>
          <w:tcPr>
            <w:tcW w:w="689" w:type="dxa"/>
            <w:noWrap/>
            <w:hideMark/>
          </w:tcPr>
          <w:p w14:paraId="747CFFCE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22" w:type="dxa"/>
          </w:tcPr>
          <w:p w14:paraId="7A6E732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69" w:type="dxa"/>
            <w:noWrap/>
            <w:hideMark/>
          </w:tcPr>
          <w:p w14:paraId="7A43850A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  <w:r w:rsidRPr="001B78C5">
              <w:rPr>
                <w:rFonts w:ascii="Times New Roman" w:hAnsi="Times New Roman" w:cs="Times New Roman"/>
                <w:szCs w:val="21"/>
              </w:rPr>
              <w:t>1.01 (0.38–2.67)</w:t>
            </w:r>
          </w:p>
        </w:tc>
        <w:tc>
          <w:tcPr>
            <w:tcW w:w="689" w:type="dxa"/>
            <w:noWrap/>
            <w:hideMark/>
          </w:tcPr>
          <w:p w14:paraId="0B53B890" w14:textId="77777777" w:rsidR="00F7662B" w:rsidRPr="001B78C5" w:rsidRDefault="00F7662B" w:rsidP="004F0D9D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08605E32" w14:textId="77777777" w:rsidR="00F7662B" w:rsidRDefault="00F7662B" w:rsidP="00F7662B">
      <w:pPr>
        <w:rPr>
          <w:rFonts w:ascii="Times New Roman" w:hAnsi="Times New Roman" w:cs="Times New Roman"/>
          <w:szCs w:val="21"/>
          <w:lang w:bidi="en-US"/>
        </w:rPr>
      </w:pPr>
      <w:r>
        <w:rPr>
          <w:rFonts w:ascii="Times New Roman" w:hAnsi="Times New Roman" w:cs="Times New Roman"/>
          <w:szCs w:val="21"/>
        </w:rPr>
        <w:t>PTB, preterm birth; LBW, low birthweight; SGA, s</w:t>
      </w:r>
      <w:r w:rsidRPr="00CD33B3">
        <w:rPr>
          <w:rFonts w:ascii="Times New Roman" w:hAnsi="Times New Roman" w:cs="Times New Roman"/>
          <w:szCs w:val="21"/>
        </w:rPr>
        <w:t>mall-for-gestational age</w:t>
      </w:r>
      <w:r>
        <w:rPr>
          <w:rFonts w:ascii="Times New Roman" w:hAnsi="Times New Roman" w:cs="Times New Roman"/>
          <w:szCs w:val="21"/>
        </w:rPr>
        <w:t xml:space="preserve">; </w:t>
      </w:r>
      <w:r w:rsidRPr="002A43C6">
        <w:rPr>
          <w:rFonts w:ascii="Times New Roman" w:hAnsi="Times New Roman" w:cs="Times New Roman"/>
          <w:szCs w:val="21"/>
        </w:rPr>
        <w:t>OR</w:t>
      </w:r>
      <w:r>
        <w:rPr>
          <w:rFonts w:ascii="Times New Roman" w:hAnsi="Times New Roman" w:cs="Times New Roman"/>
          <w:szCs w:val="21"/>
        </w:rPr>
        <w:t>,</w:t>
      </w:r>
      <w:r w:rsidRPr="002A43C6">
        <w:rPr>
          <w:rFonts w:ascii="Times New Roman" w:hAnsi="Times New Roman" w:cs="Times New Roman"/>
          <w:szCs w:val="21"/>
        </w:rPr>
        <w:t xml:space="preserve"> odds ratio</w:t>
      </w:r>
      <w:r>
        <w:rPr>
          <w:rFonts w:ascii="Times New Roman" w:hAnsi="Times New Roman" w:cs="Times New Roman"/>
          <w:szCs w:val="21"/>
        </w:rPr>
        <w:t xml:space="preserve">; </w:t>
      </w:r>
      <w:r w:rsidRPr="002A43C6">
        <w:rPr>
          <w:rFonts w:ascii="Times New Roman" w:hAnsi="Times New Roman" w:cs="Times New Roman"/>
          <w:szCs w:val="21"/>
        </w:rPr>
        <w:t>CI</w:t>
      </w:r>
      <w:r>
        <w:rPr>
          <w:rFonts w:ascii="Times New Roman" w:hAnsi="Times New Roman" w:cs="Times New Roman"/>
          <w:szCs w:val="21"/>
        </w:rPr>
        <w:t>,</w:t>
      </w:r>
      <w:r w:rsidRPr="002A43C6">
        <w:rPr>
          <w:rFonts w:ascii="Times New Roman" w:hAnsi="Times New Roman" w:cs="Times New Roman"/>
          <w:szCs w:val="21"/>
        </w:rPr>
        <w:t xml:space="preserve"> confidence interval; </w:t>
      </w:r>
      <w:r>
        <w:rPr>
          <w:rFonts w:ascii="Times New Roman" w:hAnsi="Times New Roman" w:cs="Times New Roman"/>
          <w:szCs w:val="21"/>
        </w:rPr>
        <w:t xml:space="preserve">BMI, body mass index; IUI, intrauterine insemination; LE, letrozole; hMG, </w:t>
      </w:r>
      <w:r w:rsidRPr="00CD33B3">
        <w:rPr>
          <w:rFonts w:ascii="Times New Roman" w:hAnsi="Times New Roman" w:cs="Times New Roman"/>
          <w:szCs w:val="21"/>
        </w:rPr>
        <w:t>human menopausal gonadotropin</w:t>
      </w:r>
      <w:r>
        <w:rPr>
          <w:rFonts w:ascii="Times New Roman" w:hAnsi="Times New Roman" w:cs="Times New Roman"/>
          <w:szCs w:val="21"/>
        </w:rPr>
        <w:t>; E</w:t>
      </w:r>
      <w:r w:rsidRPr="00CD33B3"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, estradiol; TMSC, </w:t>
      </w:r>
      <w:r w:rsidRPr="00CD33B3">
        <w:rPr>
          <w:rFonts w:ascii="Times New Roman" w:hAnsi="Times New Roman" w:cs="Times New Roman"/>
          <w:szCs w:val="21"/>
        </w:rPr>
        <w:t>total motile sperm count</w:t>
      </w:r>
      <w:r w:rsidRPr="00F356F5">
        <w:rPr>
          <w:rFonts w:ascii="Times New Roman" w:hAnsi="Times New Roman" w:cs="Times New Roman"/>
          <w:szCs w:val="21"/>
          <w:lang w:bidi="en-US"/>
        </w:rPr>
        <w:t>.</w:t>
      </w:r>
    </w:p>
    <w:p w14:paraId="740A67F9" w14:textId="77777777" w:rsidR="00F7662B" w:rsidRPr="002A43C6" w:rsidRDefault="00F7662B" w:rsidP="00F7662B">
      <w:pPr>
        <w:rPr>
          <w:rFonts w:ascii="Times New Roman" w:hAnsi="Times New Roman" w:cs="Times New Roman"/>
          <w:szCs w:val="21"/>
        </w:rPr>
      </w:pPr>
    </w:p>
    <w:bookmarkEnd w:id="0"/>
    <w:p w14:paraId="089BE936" w14:textId="77777777" w:rsidR="00CD7110" w:rsidRPr="00F7662B" w:rsidRDefault="00CD7110"/>
    <w:sectPr w:rsidR="00CD7110" w:rsidRPr="00F766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EC9A0" w14:textId="77777777" w:rsidR="00D86FE9" w:rsidRDefault="00D86FE9" w:rsidP="00F7662B">
      <w:r>
        <w:separator/>
      </w:r>
    </w:p>
  </w:endnote>
  <w:endnote w:type="continuationSeparator" w:id="0">
    <w:p w14:paraId="0B706110" w14:textId="77777777" w:rsidR="00D86FE9" w:rsidRDefault="00D86FE9" w:rsidP="00F76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E3B19" w14:textId="77777777" w:rsidR="00D86FE9" w:rsidRDefault="00D86FE9" w:rsidP="00F7662B">
      <w:r>
        <w:separator/>
      </w:r>
    </w:p>
  </w:footnote>
  <w:footnote w:type="continuationSeparator" w:id="0">
    <w:p w14:paraId="07725F23" w14:textId="77777777" w:rsidR="00D86FE9" w:rsidRDefault="00D86FE9" w:rsidP="00F76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A57"/>
    <w:rsid w:val="004D3A57"/>
    <w:rsid w:val="00BE79EE"/>
    <w:rsid w:val="00CD7110"/>
    <w:rsid w:val="00D86FE9"/>
    <w:rsid w:val="00F7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629A41-E6DA-4BC1-9D15-E4048BC6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766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DPI11articletype">
    <w:name w:val="MDPI_1.1_article_type"/>
    <w:basedOn w:val="a"/>
    <w:next w:val="a"/>
    <w:qFormat/>
    <w:rsid w:val="00BE79EE"/>
    <w:pPr>
      <w:widowControl/>
      <w:adjustRightInd w:val="0"/>
      <w:snapToGrid w:val="0"/>
      <w:spacing w:before="240"/>
      <w:jc w:val="left"/>
    </w:pPr>
    <w:rPr>
      <w:rFonts w:ascii="Palatino Linotype" w:eastAsia="Times New Roman" w:hAnsi="Palatino Linotype" w:cs="Times New Roman"/>
      <w:i/>
      <w:snapToGrid w:val="0"/>
      <w:color w:val="000000"/>
      <w:kern w:val="0"/>
      <w:sz w:val="20"/>
      <w:lang w:eastAsia="de-DE" w:bidi="en-US"/>
    </w:rPr>
  </w:style>
  <w:style w:type="paragraph" w:customStyle="1" w:styleId="MDPI12title">
    <w:name w:val="MDPI_1.2_title"/>
    <w:next w:val="a"/>
    <w:qFormat/>
    <w:rsid w:val="00BE79EE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szCs w:val="20"/>
      <w:lang w:eastAsia="de-DE" w:bidi="en-US"/>
    </w:rPr>
  </w:style>
  <w:style w:type="paragraph" w:customStyle="1" w:styleId="MDPI13authornames">
    <w:name w:val="MDPI_1.3_authornames"/>
    <w:basedOn w:val="a"/>
    <w:next w:val="a"/>
    <w:qFormat/>
    <w:rsid w:val="00BE79EE"/>
    <w:pPr>
      <w:widowControl/>
      <w:adjustRightInd w:val="0"/>
      <w:snapToGrid w:val="0"/>
      <w:spacing w:after="120" w:line="260" w:lineRule="atLeast"/>
      <w:jc w:val="left"/>
    </w:pPr>
    <w:rPr>
      <w:rFonts w:ascii="Palatino Linotype" w:eastAsia="Times New Roman" w:hAnsi="Palatino Linotype" w:cs="Times New Roman"/>
      <w:b/>
      <w:color w:val="000000"/>
      <w:kern w:val="0"/>
      <w:sz w:val="20"/>
      <w:lang w:eastAsia="de-DE" w:bidi="en-US"/>
    </w:rPr>
  </w:style>
  <w:style w:type="paragraph" w:customStyle="1" w:styleId="MDPI16affiliation">
    <w:name w:val="MDPI_1.6_affiliation"/>
    <w:basedOn w:val="a"/>
    <w:qFormat/>
    <w:rsid w:val="00BE79EE"/>
    <w:pPr>
      <w:widowControl/>
      <w:adjustRightInd w:val="0"/>
      <w:snapToGrid w:val="0"/>
      <w:spacing w:line="200" w:lineRule="atLeast"/>
      <w:ind w:left="311" w:hanging="198"/>
      <w:jc w:val="left"/>
    </w:pPr>
    <w:rPr>
      <w:rFonts w:ascii="Palatino Linotype" w:eastAsia="Times New Roman" w:hAnsi="Palatino Linotype" w:cs="Times New Roman"/>
      <w:color w:val="000000"/>
      <w:kern w:val="0"/>
      <w:sz w:val="18"/>
      <w:szCs w:val="18"/>
      <w:lang w:eastAsia="de-DE" w:bidi="en-US"/>
    </w:rPr>
  </w:style>
  <w:style w:type="paragraph" w:customStyle="1" w:styleId="MDPI17abstract">
    <w:name w:val="MDPI_1.7_abstract"/>
    <w:basedOn w:val="a"/>
    <w:next w:val="a"/>
    <w:qFormat/>
    <w:rsid w:val="00BE79EE"/>
    <w:pPr>
      <w:widowControl/>
      <w:adjustRightInd w:val="0"/>
      <w:snapToGrid w:val="0"/>
      <w:spacing w:before="240" w:line="260" w:lineRule="atLeast"/>
      <w:ind w:left="113"/>
    </w:pPr>
    <w:rPr>
      <w:rFonts w:ascii="Palatino Linotype" w:eastAsia="Times New Roman" w:hAnsi="Palatino Linotype" w:cs="Times New Roman"/>
      <w:color w:val="000000"/>
      <w:kern w:val="0"/>
      <w:sz w:val="20"/>
      <w:lang w:eastAsia="de-DE" w:bidi="en-US"/>
    </w:rPr>
  </w:style>
  <w:style w:type="paragraph" w:customStyle="1" w:styleId="MDPI18keywords">
    <w:name w:val="MDPI_1.8_keywords"/>
    <w:basedOn w:val="a"/>
    <w:next w:val="a"/>
    <w:qFormat/>
    <w:rsid w:val="00BE79EE"/>
    <w:pPr>
      <w:widowControl/>
      <w:adjustRightInd w:val="0"/>
      <w:snapToGrid w:val="0"/>
      <w:spacing w:before="240" w:line="260" w:lineRule="atLeast"/>
      <w:ind w:left="113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</w:rPr>
  </w:style>
  <w:style w:type="paragraph" w:customStyle="1" w:styleId="MDPI19line">
    <w:name w:val="MDPI_1.9_line"/>
    <w:basedOn w:val="a"/>
    <w:qFormat/>
    <w:rsid w:val="00BE79EE"/>
    <w:pPr>
      <w:widowControl/>
      <w:pBdr>
        <w:bottom w:val="single" w:sz="6" w:space="1" w:color="auto"/>
      </w:pBdr>
      <w:adjustRightInd w:val="0"/>
      <w:snapToGrid w:val="0"/>
      <w:spacing w:line="260" w:lineRule="atLeast"/>
    </w:pPr>
    <w:rPr>
      <w:rFonts w:ascii="Palatino Linotype" w:eastAsia="Times New Roman" w:hAnsi="Palatino Linotype" w:cs="Times New Roman"/>
      <w:color w:val="000000"/>
      <w:kern w:val="0"/>
      <w:sz w:val="20"/>
      <w:szCs w:val="24"/>
      <w:lang w:eastAsia="de-DE" w:bidi="en-US"/>
    </w:rPr>
  </w:style>
  <w:style w:type="paragraph" w:customStyle="1" w:styleId="MDPI21heading1">
    <w:name w:val="MDPI_2.1_heading1"/>
    <w:basedOn w:val="a"/>
    <w:qFormat/>
    <w:rsid w:val="00BE79EE"/>
    <w:pPr>
      <w:widowControl/>
      <w:adjustRightInd w:val="0"/>
      <w:snapToGrid w:val="0"/>
      <w:spacing w:before="240" w:after="120" w:line="260" w:lineRule="atLeast"/>
      <w:jc w:val="left"/>
      <w:outlineLvl w:val="0"/>
    </w:pPr>
    <w:rPr>
      <w:rFonts w:ascii="Palatino Linotype" w:eastAsia="Times New Roman" w:hAnsi="Palatino Linotype" w:cs="Times New Roman"/>
      <w:b/>
      <w:snapToGrid w:val="0"/>
      <w:color w:val="000000"/>
      <w:kern w:val="0"/>
      <w:sz w:val="20"/>
      <w:lang w:eastAsia="de-DE" w:bidi="en-US"/>
    </w:rPr>
  </w:style>
  <w:style w:type="paragraph" w:customStyle="1" w:styleId="MDPI22heading2">
    <w:name w:val="MDPI_2.2_heading2"/>
    <w:basedOn w:val="a"/>
    <w:qFormat/>
    <w:rsid w:val="00BE79EE"/>
    <w:pPr>
      <w:widowControl/>
      <w:kinsoku w:val="0"/>
      <w:overflowPunct w:val="0"/>
      <w:autoSpaceDE w:val="0"/>
      <w:autoSpaceDN w:val="0"/>
      <w:adjustRightInd w:val="0"/>
      <w:snapToGrid w:val="0"/>
      <w:spacing w:before="240" w:after="120" w:line="260" w:lineRule="atLeast"/>
      <w:jc w:val="left"/>
      <w:outlineLvl w:val="1"/>
    </w:pPr>
    <w:rPr>
      <w:rFonts w:ascii="Palatino Linotype" w:eastAsia="Times New Roman" w:hAnsi="Palatino Linotype" w:cs="Times New Roman"/>
      <w:i/>
      <w:noProof/>
      <w:snapToGrid w:val="0"/>
      <w:color w:val="000000"/>
      <w:kern w:val="0"/>
      <w:sz w:val="20"/>
      <w:lang w:eastAsia="de-DE" w:bidi="en-US"/>
    </w:rPr>
  </w:style>
  <w:style w:type="paragraph" w:customStyle="1" w:styleId="MDPI23heading3">
    <w:name w:val="MDPI_2.3_heading3"/>
    <w:basedOn w:val="a"/>
    <w:qFormat/>
    <w:rsid w:val="00BE79EE"/>
    <w:pPr>
      <w:widowControl/>
      <w:adjustRightInd w:val="0"/>
      <w:snapToGrid w:val="0"/>
      <w:spacing w:before="240" w:after="120" w:line="260" w:lineRule="atLeast"/>
      <w:jc w:val="left"/>
      <w:outlineLvl w:val="2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</w:rPr>
  </w:style>
  <w:style w:type="paragraph" w:customStyle="1" w:styleId="MDPI31text">
    <w:name w:val="MDPI_3.1_text"/>
    <w:qFormat/>
    <w:rsid w:val="00BE79EE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</w:rPr>
  </w:style>
  <w:style w:type="paragraph" w:customStyle="1" w:styleId="MDPI32textnoindent">
    <w:name w:val="MDPI_3.2_text_no_indent"/>
    <w:basedOn w:val="MDPI31text"/>
    <w:qFormat/>
    <w:rsid w:val="00BE79EE"/>
    <w:pPr>
      <w:ind w:firstLine="0"/>
    </w:pPr>
  </w:style>
  <w:style w:type="paragraph" w:customStyle="1" w:styleId="MDPI33textspaceafter">
    <w:name w:val="MDPI_3.3_text_space_after"/>
    <w:basedOn w:val="MDPI31text"/>
    <w:qFormat/>
    <w:rsid w:val="00BE79EE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E79EE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E79EE"/>
    <w:pPr>
      <w:spacing w:after="120"/>
    </w:pPr>
  </w:style>
  <w:style w:type="paragraph" w:customStyle="1" w:styleId="MDPI36textafterlist">
    <w:name w:val="MDPI_3.6_text_after_list"/>
    <w:basedOn w:val="MDPI31text"/>
    <w:qFormat/>
    <w:rsid w:val="00BE79EE"/>
    <w:pPr>
      <w:spacing w:before="120"/>
    </w:pPr>
  </w:style>
  <w:style w:type="paragraph" w:customStyle="1" w:styleId="MDPI37itemize">
    <w:name w:val="MDPI_3.7_itemize"/>
    <w:basedOn w:val="MDPI31text"/>
    <w:qFormat/>
    <w:rsid w:val="00BE79EE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E79EE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E79EE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BE79EE"/>
    <w:pPr>
      <w:spacing w:before="120" w:after="120" w:line="240" w:lineRule="auto"/>
      <w:ind w:firstLine="0"/>
      <w:jc w:val="right"/>
    </w:pPr>
  </w:style>
  <w:style w:type="paragraph" w:customStyle="1" w:styleId="MDPI41tablecaption">
    <w:name w:val="MDPI_4.1_table_caption"/>
    <w:basedOn w:val="a"/>
    <w:qFormat/>
    <w:rsid w:val="00BE79EE"/>
    <w:pPr>
      <w:widowControl/>
      <w:adjustRightInd w:val="0"/>
      <w:snapToGrid w:val="0"/>
      <w:spacing w:before="240" w:after="120" w:line="260" w:lineRule="atLeast"/>
      <w:ind w:left="425" w:right="425"/>
    </w:pPr>
    <w:rPr>
      <w:rFonts w:ascii="Palatino Linotype" w:eastAsia="Times New Roman" w:hAnsi="Palatino Linotype" w:cs="Times New Roman"/>
      <w:color w:val="000000"/>
      <w:kern w:val="0"/>
      <w:sz w:val="18"/>
      <w:lang w:eastAsia="de-DE" w:bidi="en-US"/>
    </w:rPr>
  </w:style>
  <w:style w:type="table" w:customStyle="1" w:styleId="MDPI41threelinetable">
    <w:name w:val="MDPI_4.1_three_line_table"/>
    <w:basedOn w:val="a1"/>
    <w:uiPriority w:val="99"/>
    <w:rsid w:val="00BE79EE"/>
    <w:pPr>
      <w:adjustRightInd w:val="0"/>
      <w:snapToGrid w:val="0"/>
      <w:jc w:val="center"/>
    </w:pPr>
    <w:rPr>
      <w:rFonts w:ascii="Palatino Linotype" w:eastAsia="宋体" w:hAnsi="Palatino Linotype" w:cs="Times New Roman"/>
      <w:color w:val="000000"/>
      <w:kern w:val="0"/>
      <w:sz w:val="20"/>
      <w:szCs w:val="20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Calibri Light" w:hAnsi="Calibri Light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paragraph" w:customStyle="1" w:styleId="MDPI42tablebody">
    <w:name w:val="MDPI_4.2_table_body"/>
    <w:qFormat/>
    <w:rsid w:val="00BE79EE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kern w:val="0"/>
      <w:sz w:val="20"/>
      <w:szCs w:val="2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E79EE"/>
    <w:pPr>
      <w:spacing w:before="0"/>
      <w:ind w:left="0" w:right="0"/>
    </w:pPr>
  </w:style>
  <w:style w:type="paragraph" w:customStyle="1" w:styleId="MDPI51figurecaption">
    <w:name w:val="MDPI_5.1_figure_caption"/>
    <w:basedOn w:val="a"/>
    <w:qFormat/>
    <w:rsid w:val="00BE79EE"/>
    <w:pPr>
      <w:widowControl/>
      <w:adjustRightInd w:val="0"/>
      <w:snapToGrid w:val="0"/>
      <w:spacing w:before="120" w:after="240" w:line="260" w:lineRule="atLeast"/>
      <w:ind w:left="425" w:right="425"/>
    </w:pPr>
    <w:rPr>
      <w:rFonts w:ascii="Palatino Linotype" w:eastAsia="Times New Roman" w:hAnsi="Palatino Linotype" w:cs="Times New Roman"/>
      <w:color w:val="000000"/>
      <w:kern w:val="0"/>
      <w:sz w:val="18"/>
      <w:szCs w:val="20"/>
      <w:lang w:eastAsia="de-DE" w:bidi="en-US"/>
    </w:rPr>
  </w:style>
  <w:style w:type="paragraph" w:customStyle="1" w:styleId="MDPI52figure">
    <w:name w:val="MDPI_5.2_figure"/>
    <w:qFormat/>
    <w:rsid w:val="00BE79EE"/>
    <w:pPr>
      <w:jc w:val="center"/>
    </w:pPr>
    <w:rPr>
      <w:rFonts w:ascii="Palatino Linotype" w:eastAsia="Times New Roman" w:hAnsi="Palatino Linotype" w:cs="Times New Roman"/>
      <w:snapToGrid w:val="0"/>
      <w:color w:val="000000"/>
      <w:kern w:val="0"/>
      <w:sz w:val="24"/>
      <w:szCs w:val="20"/>
      <w:lang w:eastAsia="de-DE" w:bidi="en-US"/>
    </w:rPr>
  </w:style>
  <w:style w:type="paragraph" w:customStyle="1" w:styleId="MDPI61Supplementary">
    <w:name w:val="MDPI_6.1_Supplementary"/>
    <w:basedOn w:val="a"/>
    <w:qFormat/>
    <w:rsid w:val="00BE79EE"/>
    <w:pPr>
      <w:widowControl/>
      <w:adjustRightInd w:val="0"/>
      <w:snapToGrid w:val="0"/>
      <w:spacing w:before="240" w:line="200" w:lineRule="atLeast"/>
    </w:pPr>
    <w:rPr>
      <w:rFonts w:ascii="Palatino Linotype" w:eastAsia="Times New Roman" w:hAnsi="Palatino Linotype" w:cs="Times New Roman"/>
      <w:snapToGrid w:val="0"/>
      <w:color w:val="000000"/>
      <w:kern w:val="0"/>
      <w:sz w:val="18"/>
      <w:szCs w:val="20"/>
      <w:lang w:eastAsia="en-US" w:bidi="en-US"/>
    </w:rPr>
  </w:style>
  <w:style w:type="paragraph" w:customStyle="1" w:styleId="MDPI62Acknowledgments">
    <w:name w:val="MDPI_6.2_Acknowledgments"/>
    <w:qFormat/>
    <w:rsid w:val="00BE79EE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szCs w:val="20"/>
      <w:lang w:eastAsia="de-DE" w:bidi="en-US"/>
    </w:rPr>
  </w:style>
  <w:style w:type="paragraph" w:customStyle="1" w:styleId="MDPI63AuthorContributions">
    <w:name w:val="MDPI_6.3_AuthorContributions"/>
    <w:basedOn w:val="MDPI62Acknowledgments"/>
    <w:qFormat/>
    <w:rsid w:val="00BE79EE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E79EE"/>
  </w:style>
  <w:style w:type="paragraph" w:customStyle="1" w:styleId="MDPI71References">
    <w:name w:val="MDPI_7.1_References"/>
    <w:basedOn w:val="MDPI62Acknowledgments"/>
    <w:qFormat/>
    <w:rsid w:val="00BE79EE"/>
    <w:pPr>
      <w:numPr>
        <w:numId w:val="3"/>
      </w:numPr>
      <w:spacing w:before="0" w:line="260" w:lineRule="atLeast"/>
      <w:ind w:left="425" w:hanging="425"/>
    </w:pPr>
  </w:style>
  <w:style w:type="paragraph" w:customStyle="1" w:styleId="MDPI81theorem">
    <w:name w:val="MDPI_8.1_theorem"/>
    <w:basedOn w:val="MDPI32textnoindent"/>
    <w:qFormat/>
    <w:rsid w:val="00BE79EE"/>
    <w:rPr>
      <w:i/>
    </w:rPr>
  </w:style>
  <w:style w:type="paragraph" w:customStyle="1" w:styleId="MDPI82proof">
    <w:name w:val="MDPI_8.2_proof"/>
    <w:basedOn w:val="MDPI32textnoindent"/>
    <w:qFormat/>
    <w:rsid w:val="00BE79EE"/>
  </w:style>
  <w:style w:type="paragraph" w:customStyle="1" w:styleId="MDPIfooterfirstpage">
    <w:name w:val="MDPI_footer_firstpage"/>
    <w:basedOn w:val="a"/>
    <w:qFormat/>
    <w:rsid w:val="00BE79EE"/>
    <w:pPr>
      <w:widowControl/>
      <w:tabs>
        <w:tab w:val="right" w:pos="8845"/>
      </w:tabs>
      <w:adjustRightInd w:val="0"/>
      <w:snapToGrid w:val="0"/>
      <w:spacing w:before="120" w:line="160" w:lineRule="exact"/>
      <w:jc w:val="left"/>
    </w:pPr>
    <w:rPr>
      <w:rFonts w:ascii="Palatino Linotype" w:eastAsia="Times New Roman" w:hAnsi="Palatino Linotype" w:cs="Times New Roman"/>
      <w:kern w:val="0"/>
      <w:sz w:val="16"/>
      <w:szCs w:val="20"/>
      <w:lang w:eastAsia="de-DE"/>
    </w:rPr>
  </w:style>
  <w:style w:type="paragraph" w:customStyle="1" w:styleId="MDPIheaderjournallogo">
    <w:name w:val="MDPI_header_journal_logo"/>
    <w:qFormat/>
    <w:rsid w:val="00BE79EE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lang w:eastAsia="de-CH"/>
    </w:rPr>
  </w:style>
  <w:style w:type="paragraph" w:styleId="a3">
    <w:name w:val="header"/>
    <w:basedOn w:val="a"/>
    <w:link w:val="a4"/>
    <w:uiPriority w:val="99"/>
    <w:unhideWhenUsed/>
    <w:rsid w:val="00F766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66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66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662B"/>
    <w:rPr>
      <w:sz w:val="18"/>
      <w:szCs w:val="18"/>
    </w:rPr>
  </w:style>
  <w:style w:type="table" w:styleId="a7">
    <w:name w:val="Table Grid"/>
    <w:basedOn w:val="a1"/>
    <w:uiPriority w:val="39"/>
    <w:rsid w:val="00F76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嘉膂 黄</dc:creator>
  <cp:keywords/>
  <dc:description/>
  <cp:lastModifiedBy>嘉膂 黄</cp:lastModifiedBy>
  <cp:revision>2</cp:revision>
  <dcterms:created xsi:type="dcterms:W3CDTF">2019-10-12T13:15:00Z</dcterms:created>
  <dcterms:modified xsi:type="dcterms:W3CDTF">2019-10-12T13:15:00Z</dcterms:modified>
</cp:coreProperties>
</file>