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宋体"/>
          <w:b/>
          <w:bCs/>
          <w:lang w:eastAsia="zh-CN"/>
        </w:rPr>
      </w:pPr>
      <w:bookmarkStart w:id="0" w:name="OLE_LINK5"/>
      <w:r>
        <w:rPr>
          <w:rFonts w:ascii="Times New Roman" w:hAnsi="Times New Roman" w:eastAsia="宋体"/>
          <w:b/>
          <w:bCs/>
          <w:lang w:eastAsia="zh-CN"/>
        </w:rPr>
        <w:t xml:space="preserve">Supplementary </w:t>
      </w:r>
      <w:r>
        <w:rPr>
          <w:rFonts w:ascii="Times New Roman" w:hAnsi="Times New Roman" w:eastAsia="宋体"/>
          <w:b/>
          <w:bCs/>
        </w:rPr>
        <w:t xml:space="preserve">Table </w:t>
      </w:r>
      <w:r>
        <w:rPr>
          <w:rFonts w:ascii="Times New Roman" w:hAnsi="Times New Roman" w:eastAsia="宋体"/>
          <w:b/>
          <w:bCs/>
          <w:lang w:eastAsia="zh-CN"/>
        </w:rPr>
        <w:t>2.</w:t>
      </w:r>
      <w:r>
        <w:rPr>
          <w:rFonts w:ascii="Times New Roman" w:hAnsi="Times New Roman" w:eastAsia="宋体"/>
        </w:rPr>
        <w:t xml:space="preserve"> </w:t>
      </w:r>
      <w:r>
        <w:rPr>
          <w:rFonts w:ascii="Times New Roman" w:hAnsi="Times New Roman" w:eastAsia="宋体"/>
          <w:b/>
          <w:bCs/>
          <w:lang w:eastAsia="zh-CN"/>
        </w:rPr>
        <w:t>Validation of the optimal cut-off value in the validation data set.</w:t>
      </w:r>
    </w:p>
    <w:tbl>
      <w:tblPr>
        <w:tblStyle w:val="3"/>
        <w:tblW w:w="8807" w:type="dxa"/>
        <w:tblInd w:w="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1846"/>
        <w:gridCol w:w="2302"/>
        <w:gridCol w:w="1642"/>
        <w:gridCol w:w="1583"/>
      </w:tblGrid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b/>
                <w:bCs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lang w:eastAsia="zh-CN"/>
              </w:rPr>
              <w:t>Groups</w:t>
            </w:r>
          </w:p>
        </w:tc>
        <w:tc>
          <w:tcPr>
            <w:tcW w:w="1846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 w:val="0"/>
              <w:jc w:val="center"/>
              <w:rPr>
                <w:rFonts w:eastAsiaTheme="minorEastAsia"/>
                <w:b/>
                <w:bCs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lang w:eastAsia="zh-CN"/>
              </w:rPr>
              <w:t>BMI (kg/m</w:t>
            </w:r>
            <w:r>
              <w:rPr>
                <w:rFonts w:ascii="Times New Roman" w:hAnsi="Times New Roman" w:eastAsia="宋体"/>
                <w:b/>
                <w:bCs/>
                <w:vertAlign w:val="superscript"/>
                <w:lang w:eastAsia="zh-CN"/>
              </w:rPr>
              <w:t>2</w:t>
            </w:r>
            <w:r>
              <w:rPr>
                <w:rFonts w:ascii="Times New Roman" w:hAnsi="Times New Roman" w:eastAsia="宋体"/>
                <w:b/>
                <w:bCs/>
                <w:lang w:eastAsia="zh-CN"/>
              </w:rPr>
              <w:t>)</w:t>
            </w:r>
          </w:p>
        </w:tc>
        <w:tc>
          <w:tcPr>
            <w:tcW w:w="230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 w:val="0"/>
              <w:jc w:val="center"/>
              <w:rPr>
                <w:rFonts w:eastAsiaTheme="minorEastAsia"/>
                <w:b/>
                <w:bCs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lang w:eastAsia="zh-CN"/>
              </w:rPr>
              <w:t>The optimal cut-off value of AMH (ng/mL)</w:t>
            </w:r>
          </w:p>
        </w:tc>
        <w:tc>
          <w:tcPr>
            <w:tcW w:w="164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宋体"/>
                <w:b/>
                <w:bCs/>
                <w:lang w:eastAsia="zh-CN"/>
              </w:rPr>
              <w:t>Sensitivity (%)</w:t>
            </w:r>
          </w:p>
        </w:tc>
        <w:tc>
          <w:tcPr>
            <w:tcW w:w="158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宋体"/>
                <w:b/>
                <w:bCs/>
                <w:lang w:eastAsia="zh-CN"/>
              </w:rPr>
              <w:t>Specificity (%)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vMerge w:val="restar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PCOS</w:t>
            </w:r>
          </w:p>
        </w:tc>
        <w:tc>
          <w:tcPr>
            <w:tcW w:w="1846" w:type="dxa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zh-CN"/>
              </w:rPr>
              <w:t>&lt;18.5</w:t>
            </w:r>
          </w:p>
        </w:tc>
        <w:tc>
          <w:tcPr>
            <w:tcW w:w="2302" w:type="dxa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zh-CN"/>
              </w:rPr>
              <w:t>5.145</w:t>
            </w:r>
          </w:p>
        </w:tc>
        <w:tc>
          <w:tcPr>
            <w:tcW w:w="1642" w:type="dxa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zh-CN"/>
              </w:rPr>
              <w:t>70.8</w:t>
            </w:r>
          </w:p>
        </w:tc>
        <w:tc>
          <w:tcPr>
            <w:tcW w:w="1583" w:type="dxa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zh-CN"/>
              </w:rPr>
              <w:t>72.2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vMerge w:val="continue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184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zh-CN"/>
              </w:rPr>
              <w:t>18.5-24</w:t>
            </w:r>
          </w:p>
        </w:tc>
        <w:tc>
          <w:tcPr>
            <w:tcW w:w="2302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zh-CN"/>
              </w:rPr>
              <w:t>4.345</w:t>
            </w:r>
          </w:p>
        </w:tc>
        <w:tc>
          <w:tcPr>
            <w:tcW w:w="1642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zh-CN"/>
              </w:rPr>
              <w:t>86.7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zh-CN"/>
              </w:rPr>
              <w:t>55.1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vMerge w:val="continue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184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zh-CN"/>
              </w:rPr>
              <w:t>24-28</w:t>
            </w:r>
          </w:p>
        </w:tc>
        <w:tc>
          <w:tcPr>
            <w:tcW w:w="2302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zh-CN"/>
              </w:rPr>
              <w:t>4.115</w:t>
            </w:r>
          </w:p>
        </w:tc>
        <w:tc>
          <w:tcPr>
            <w:tcW w:w="1642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zh-CN"/>
              </w:rPr>
              <w:t>84.2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zh-CN"/>
              </w:rPr>
              <w:t>82.7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vMerge w:val="continue"/>
          </w:tcPr>
          <w:p>
            <w:pPr>
              <w:widowControl w:val="0"/>
              <w:jc w:val="both"/>
            </w:pPr>
          </w:p>
        </w:tc>
        <w:tc>
          <w:tcPr>
            <w:tcW w:w="1846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≥</w:t>
            </w:r>
            <w:r>
              <w:rPr>
                <w:rFonts w:ascii="Times New Roman" w:hAnsi="Times New Roman"/>
                <w:lang w:eastAsia="zh-CN"/>
              </w:rPr>
              <w:t>28</w:t>
            </w:r>
          </w:p>
        </w:tc>
        <w:tc>
          <w:tcPr>
            <w:tcW w:w="2302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zh-CN"/>
              </w:rPr>
              <w:t>3.165</w:t>
            </w:r>
          </w:p>
        </w:tc>
        <w:tc>
          <w:tcPr>
            <w:tcW w:w="1642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Theme="minorEastAsia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87.2</w:t>
            </w:r>
          </w:p>
        </w:tc>
        <w:tc>
          <w:tcPr>
            <w:tcW w:w="1583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zh-CN"/>
              </w:rPr>
              <w:t>66.5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vMerge w:val="continue"/>
          </w:tcPr>
          <w:p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1846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Theme="minorEastAsia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total</w:t>
            </w:r>
          </w:p>
        </w:tc>
        <w:tc>
          <w:tcPr>
            <w:tcW w:w="2302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4.405</w:t>
            </w:r>
          </w:p>
        </w:tc>
        <w:tc>
          <w:tcPr>
            <w:tcW w:w="1642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85.6</w:t>
            </w:r>
          </w:p>
        </w:tc>
        <w:tc>
          <w:tcPr>
            <w:tcW w:w="1583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57.1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vMerge w:val="restart"/>
            <w:vAlign w:val="center"/>
          </w:tcPr>
          <w:p>
            <w:pPr>
              <w:widowControl w:val="0"/>
              <w:jc w:val="center"/>
              <w:rPr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PCOM</w:t>
            </w:r>
          </w:p>
        </w:tc>
        <w:tc>
          <w:tcPr>
            <w:tcW w:w="1846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&lt;18.5</w:t>
            </w:r>
          </w:p>
        </w:tc>
        <w:tc>
          <w:tcPr>
            <w:tcW w:w="2302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4.3</w:t>
            </w:r>
          </w:p>
        </w:tc>
        <w:tc>
          <w:tcPr>
            <w:tcW w:w="1642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73.5</w:t>
            </w:r>
          </w:p>
        </w:tc>
        <w:tc>
          <w:tcPr>
            <w:tcW w:w="1583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81.8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vMerge w:val="continue"/>
          </w:tcPr>
          <w:p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1846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18.5-24</w:t>
            </w:r>
          </w:p>
        </w:tc>
        <w:tc>
          <w:tcPr>
            <w:tcW w:w="2302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3.635</w:t>
            </w:r>
          </w:p>
        </w:tc>
        <w:tc>
          <w:tcPr>
            <w:tcW w:w="1642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73.2</w:t>
            </w:r>
          </w:p>
        </w:tc>
        <w:tc>
          <w:tcPr>
            <w:tcW w:w="1583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70.3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vMerge w:val="continue"/>
          </w:tcPr>
          <w:p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1846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24-28</w:t>
            </w:r>
          </w:p>
        </w:tc>
        <w:tc>
          <w:tcPr>
            <w:tcW w:w="2302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3.73</w:t>
            </w:r>
          </w:p>
        </w:tc>
        <w:tc>
          <w:tcPr>
            <w:tcW w:w="1642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64.4</w:t>
            </w:r>
          </w:p>
        </w:tc>
        <w:tc>
          <w:tcPr>
            <w:tcW w:w="1583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78.2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vMerge w:val="continue"/>
          </w:tcPr>
          <w:p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1846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</w:rPr>
              <w:t>≥</w:t>
            </w:r>
            <w:r>
              <w:rPr>
                <w:rFonts w:ascii="Times New Roman" w:hAnsi="Times New Roman"/>
                <w:lang w:eastAsia="zh-CN"/>
              </w:rPr>
              <w:t>28</w:t>
            </w:r>
          </w:p>
        </w:tc>
        <w:tc>
          <w:tcPr>
            <w:tcW w:w="2302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3.155</w:t>
            </w:r>
          </w:p>
        </w:tc>
        <w:tc>
          <w:tcPr>
            <w:tcW w:w="1642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83.3</w:t>
            </w:r>
          </w:p>
        </w:tc>
        <w:tc>
          <w:tcPr>
            <w:tcW w:w="1583" w:type="dxa"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66.5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vMerge w:val="continue"/>
            <w:tcBorders>
              <w:bottom w:val="single" w:color="auto" w:sz="12" w:space="0"/>
            </w:tcBorders>
          </w:tcPr>
          <w:p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1846" w:type="dxa"/>
            <w:tcBorders>
              <w:bottom w:val="single" w:color="auto" w:sz="12" w:space="0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total</w:t>
            </w:r>
          </w:p>
        </w:tc>
        <w:tc>
          <w:tcPr>
            <w:tcW w:w="2302" w:type="dxa"/>
            <w:tcBorders>
              <w:bottom w:val="single" w:color="auto" w:sz="12" w:space="0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3.735</w:t>
            </w:r>
          </w:p>
        </w:tc>
        <w:tc>
          <w:tcPr>
            <w:tcW w:w="1642" w:type="dxa"/>
            <w:tcBorders>
              <w:bottom w:val="single" w:color="auto" w:sz="12" w:space="0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69.9</w:t>
            </w:r>
          </w:p>
        </w:tc>
        <w:tc>
          <w:tcPr>
            <w:tcW w:w="1583" w:type="dxa"/>
            <w:tcBorders>
              <w:bottom w:val="single" w:color="auto" w:sz="12" w:space="0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74.0</w:t>
            </w:r>
          </w:p>
        </w:tc>
      </w:tr>
    </w:tbl>
    <w:p>
      <w:pPr>
        <w:rPr>
          <w:rStyle w:val="5"/>
          <w:rFonts w:ascii="Times New Roman" w:hAnsi="Times New Roman"/>
          <w:i w:val="0"/>
          <w:iCs w:val="0"/>
          <w:sz w:val="18"/>
          <w:szCs w:val="18"/>
          <w:lang w:eastAsia="zh-CN"/>
        </w:rPr>
      </w:pPr>
      <w:r>
        <w:rPr>
          <w:rStyle w:val="5"/>
          <w:rFonts w:ascii="Times New Roman" w:hAnsi="Times New Roman"/>
          <w:i w:val="0"/>
          <w:iCs w:val="0"/>
          <w:sz w:val="18"/>
          <w:szCs w:val="18"/>
          <w:lang w:eastAsia="zh-CN"/>
        </w:rPr>
        <w:t>PCOS, polycystic ovary syndrome; PCOM, polycystic ovary morphology; BMI, body mass index; AMH,</w:t>
      </w:r>
      <w:r>
        <w:rPr>
          <w:rStyle w:val="5"/>
          <w:rFonts w:hint="eastAsia" w:ascii="Times New Roman" w:hAnsi="Times New Roman"/>
          <w:i w:val="0"/>
          <w:iCs w:val="0"/>
          <w:sz w:val="18"/>
          <w:szCs w:val="18"/>
          <w:lang w:val="en-US" w:eastAsia="zh-CN"/>
        </w:rPr>
        <w:t xml:space="preserve"> </w:t>
      </w:r>
      <w:bookmarkStart w:id="1" w:name="_GoBack"/>
      <w:bookmarkEnd w:id="1"/>
      <w:r>
        <w:rPr>
          <w:rStyle w:val="5"/>
          <w:rFonts w:ascii="Times New Roman" w:hAnsi="Times New Roman"/>
          <w:i w:val="0"/>
          <w:iCs w:val="0"/>
          <w:sz w:val="18"/>
          <w:szCs w:val="18"/>
          <w:lang w:eastAsia="zh-CN"/>
        </w:rPr>
        <w:t>anti-Müllerian hormone.</w:t>
      </w:r>
    </w:p>
    <w:p/>
    <w:bookmarkEnd w:id="0"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NeueLTStd-MdIt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zZTU1OWQwYTIyNzQxNWVmNTYwYjMyYjQyMmE2YTMifQ=="/>
    <w:docVar w:name="KY_MEDREF_DOCUID" w:val="{DC7A1A90-B129-457A-A8C9-A66DDA1F2049}"/>
    <w:docVar w:name="KY_MEDREF_VERSION" w:val="3"/>
  </w:docVars>
  <w:rsids>
    <w:rsidRoot w:val="00000000"/>
    <w:rsid w:val="42CC0F04"/>
    <w:rsid w:val="4E3D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等线" w:cs="Times New Roman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style01"/>
    <w:basedOn w:val="4"/>
    <w:qFormat/>
    <w:uiPriority w:val="0"/>
    <w:rPr>
      <w:rFonts w:hint="default" w:ascii="HelveticaNeueLTStd-MdIt" w:hAnsi="HelveticaNeueLTStd-MdIt"/>
      <w:i/>
      <w:iCs/>
      <w:color w:val="242021"/>
      <w:sz w:val="10"/>
      <w:szCs w:val="1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448</Characters>
  <Lines>0</Lines>
  <Paragraphs>0</Paragraphs>
  <TotalTime>0</TotalTime>
  <ScaleCrop>false</ScaleCrop>
  <LinksUpToDate>false</LinksUpToDate>
  <CharactersWithSpaces>481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2022-08-04T03:12:00Z</dcterms:created>
  <dc:creator>z'm'h</dc:creator>
  <cp:lastModifiedBy>Smile*^_^*</cp:lastModifiedBy>
  <dcterms:modified xsi:type="dcterms:W3CDTF">2023-01-12T04:25:31Z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AE22D9E8B8034EC5B5EA4A798A9107C4</vt:lpwstr>
  </property>
</Properties>
</file>