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ascii="Times New Roman" w:hAnsi="Times New Roman" w:eastAsia="宋体"/>
          <w:b/>
          <w:bCs/>
          <w:lang w:eastAsia="zh-CN"/>
        </w:rPr>
        <w:t xml:space="preserve">Supplementary </w:t>
      </w:r>
      <w:r>
        <w:rPr>
          <w:rFonts w:ascii="Times New Roman" w:hAnsi="Times New Roman" w:eastAsia="宋体"/>
          <w:b/>
          <w:bCs/>
        </w:rPr>
        <w:t>Table</w:t>
      </w:r>
      <w:r>
        <w:rPr>
          <w:rFonts w:ascii="Times New Roman" w:hAnsi="Times New Roman" w:eastAsia="宋体"/>
          <w:b/>
          <w:bCs/>
          <w:lang w:eastAsia="zh-CN"/>
        </w:rPr>
        <w:t xml:space="preserve"> 3.</w:t>
      </w:r>
      <w:r>
        <w:rPr>
          <w:rFonts w:ascii="Times New Roman" w:hAnsi="Times New Roman" w:eastAsia="宋体"/>
        </w:rPr>
        <w:t xml:space="preserve"> </w:t>
      </w:r>
      <w:r>
        <w:rPr>
          <w:rFonts w:ascii="Times New Roman" w:hAnsi="Times New Roman" w:eastAsia="宋体"/>
          <w:b/>
          <w:bCs/>
        </w:rPr>
        <w:t>Basic clinical characteristics of</w:t>
      </w:r>
      <w:r>
        <w:rPr>
          <w:rFonts w:ascii="Times New Roman" w:hAnsi="Times New Roman" w:eastAsia="宋体"/>
          <w:b/>
          <w:bCs/>
          <w:lang w:eastAsia="zh-CN"/>
        </w:rPr>
        <w:t xml:space="preserve"> the phenotype of PCOS</w:t>
      </w:r>
      <w:r>
        <w:rPr>
          <w:rFonts w:ascii="Times New Roman" w:hAnsi="Times New Roman" w:eastAsia="宋体"/>
          <w:lang w:eastAsia="zh-CN"/>
        </w:rPr>
        <w:t xml:space="preserve"> </w:t>
      </w:r>
    </w:p>
    <w:tbl>
      <w:tblPr>
        <w:tblStyle w:val="3"/>
        <w:tblW w:w="8985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2339"/>
        <w:gridCol w:w="2208"/>
        <w:gridCol w:w="1689"/>
        <w:gridCol w:w="1496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53" w:type="dxa"/>
            <w:tcBorders>
              <w:bottom w:val="single" w:color="auto" w:sz="6" w:space="0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b/>
                <w:bCs/>
              </w:rPr>
            </w:pPr>
          </w:p>
        </w:tc>
        <w:tc>
          <w:tcPr>
            <w:tcW w:w="2339" w:type="dxa"/>
            <w:tcBorders>
              <w:bottom w:val="single" w:color="auto" w:sz="6" w:space="0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Phenotype A (n=2430)</w:t>
            </w:r>
          </w:p>
        </w:tc>
        <w:tc>
          <w:tcPr>
            <w:tcW w:w="2208" w:type="dxa"/>
            <w:tcBorders>
              <w:bottom w:val="single" w:color="auto" w:sz="6" w:space="0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b/>
                <w:bCs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Phenotype B (n=183)</w:t>
            </w:r>
          </w:p>
        </w:tc>
        <w:tc>
          <w:tcPr>
            <w:tcW w:w="1689" w:type="dxa"/>
            <w:tcBorders>
              <w:bottom w:val="single" w:color="auto" w:sz="6" w:space="0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lang w:eastAsia="zh-CN"/>
              </w:rPr>
              <w:t>Phenotype D (n=1162)</w:t>
            </w:r>
          </w:p>
        </w:tc>
        <w:tc>
          <w:tcPr>
            <w:tcW w:w="1496" w:type="dxa"/>
            <w:tcBorders>
              <w:bottom w:val="single" w:color="auto" w:sz="6" w:space="0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b/>
                <w:bCs/>
                <w:lang w:eastAsia="zh-CN"/>
              </w:rPr>
            </w:pPr>
            <w:r>
              <w:rPr>
                <w:rFonts w:ascii="Times New Roman" w:hAnsi="Times New Roman" w:eastAsia="宋体"/>
                <w:b/>
                <w:bCs/>
                <w:i/>
                <w:iCs/>
                <w:lang w:eastAsia="zh-CN"/>
              </w:rPr>
              <w:t>P</w:t>
            </w:r>
            <w:r>
              <w:rPr>
                <w:rFonts w:ascii="Times New Roman" w:hAnsi="Times New Roman" w:eastAsia="宋体"/>
                <w:b/>
                <w:bCs/>
                <w:lang w:eastAsia="zh-CN"/>
              </w:rPr>
              <w:t xml:space="preserve"> 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53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 xml:space="preserve">Age (y) </w:t>
            </w:r>
          </w:p>
        </w:tc>
        <w:tc>
          <w:tcPr>
            <w:tcW w:w="2339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vertAlign w:val="superscript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27.64 ± 3.05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3</w:t>
            </w:r>
          </w:p>
        </w:tc>
        <w:tc>
          <w:tcPr>
            <w:tcW w:w="2208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kern w:val="2"/>
                <w:sz w:val="21"/>
                <w:szCs w:val="24"/>
                <w:vertAlign w:val="superscript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28.08 ± 3.32</w:t>
            </w:r>
          </w:p>
        </w:tc>
        <w:tc>
          <w:tcPr>
            <w:tcW w:w="1689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vertAlign w:val="superscript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28.24 ± 3.04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1</w:t>
            </w:r>
          </w:p>
        </w:tc>
        <w:tc>
          <w:tcPr>
            <w:tcW w:w="1496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&lt;0.001</w:t>
            </w:r>
            <w:r>
              <w:rPr>
                <w:rStyle w:val="5"/>
                <w:rFonts w:ascii="Times New Roman" w:hAnsi="Times New Roman"/>
                <w:sz w:val="18"/>
                <w:szCs w:val="18"/>
              </w:rPr>
              <w:t>*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53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BMI (kg/m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2</w:t>
            </w:r>
            <w:r>
              <w:rPr>
                <w:rFonts w:ascii="Times New Roman" w:hAnsi="Times New Roman" w:eastAsia="宋体"/>
                <w:lang w:eastAsia="zh-CN"/>
              </w:rPr>
              <w:t xml:space="preserve">) </w:t>
            </w:r>
          </w:p>
        </w:tc>
        <w:tc>
          <w:tcPr>
            <w:tcW w:w="233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vertAlign w:val="superscript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24.95 ± 3.58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3</w:t>
            </w:r>
          </w:p>
        </w:tc>
        <w:tc>
          <w:tcPr>
            <w:tcW w:w="2208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24.17 ± 3.70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3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vertAlign w:val="superscript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24.06 ± 3.53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2,3</w:t>
            </w:r>
          </w:p>
        </w:tc>
        <w:tc>
          <w:tcPr>
            <w:tcW w:w="1496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&lt;0.001</w:t>
            </w:r>
            <w:r>
              <w:rPr>
                <w:rStyle w:val="5"/>
                <w:rFonts w:ascii="Times New Roman" w:hAnsi="Times New Roman"/>
                <w:sz w:val="18"/>
                <w:szCs w:val="18"/>
              </w:rPr>
              <w:t>*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53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T</w:t>
            </w:r>
            <w:r>
              <w:rPr>
                <w:rFonts w:ascii="Times New Roman" w:hAnsi="Times New Roman" w:eastAsia="宋体"/>
                <w:sz w:val="22"/>
                <w:szCs w:val="22"/>
              </w:rPr>
              <w:t>(ng/ml)</w:t>
            </w:r>
          </w:p>
        </w:tc>
        <w:tc>
          <w:tcPr>
            <w:tcW w:w="233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2.37 ± 9.45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2,3</w:t>
            </w:r>
          </w:p>
        </w:tc>
        <w:tc>
          <w:tcPr>
            <w:tcW w:w="2208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4.72 ± 13.10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1,3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0.31 ± 0.10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1,2</w:t>
            </w:r>
          </w:p>
        </w:tc>
        <w:tc>
          <w:tcPr>
            <w:tcW w:w="1496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&lt;0.001</w:t>
            </w:r>
            <w:r>
              <w:rPr>
                <w:rStyle w:val="5"/>
                <w:rFonts w:ascii="Times New Roman" w:hAnsi="Times New Roman"/>
                <w:sz w:val="18"/>
                <w:szCs w:val="18"/>
              </w:rPr>
              <w:t>*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53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AMH</w:t>
            </w:r>
            <w:r>
              <w:rPr>
                <w:rFonts w:ascii="Times New Roman" w:hAnsi="Times New Roman" w:eastAsia="宋体"/>
                <w:sz w:val="22"/>
                <w:szCs w:val="22"/>
              </w:rPr>
              <w:t xml:space="preserve"> (ng/ml)</w:t>
            </w:r>
          </w:p>
        </w:tc>
        <w:tc>
          <w:tcPr>
            <w:tcW w:w="233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9.23 ± 4.63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2,3</w:t>
            </w:r>
          </w:p>
        </w:tc>
        <w:tc>
          <w:tcPr>
            <w:tcW w:w="2208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4.43 ± 2.85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1,3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6.99 ± 3.42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1,2</w:t>
            </w:r>
          </w:p>
        </w:tc>
        <w:tc>
          <w:tcPr>
            <w:tcW w:w="1496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&lt;0.001</w:t>
            </w:r>
            <w:r>
              <w:rPr>
                <w:rStyle w:val="5"/>
                <w:rFonts w:ascii="Times New Roman" w:hAnsi="Times New Roman"/>
                <w:sz w:val="18"/>
                <w:szCs w:val="18"/>
              </w:rPr>
              <w:t>*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253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LH/FSH</w:t>
            </w:r>
          </w:p>
        </w:tc>
        <w:tc>
          <w:tcPr>
            <w:tcW w:w="233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2.18 ± 1.24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2,3</w:t>
            </w:r>
          </w:p>
        </w:tc>
        <w:tc>
          <w:tcPr>
            <w:tcW w:w="2208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1.20 ± 1.02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1,3</w:t>
            </w:r>
          </w:p>
        </w:tc>
        <w:tc>
          <w:tcPr>
            <w:tcW w:w="168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1.47 ± 0.97</w:t>
            </w:r>
            <w:r>
              <w:rPr>
                <w:rFonts w:ascii="Times New Roman" w:hAnsi="Times New Roman" w:eastAsia="宋体"/>
                <w:vertAlign w:val="superscript"/>
                <w:lang w:eastAsia="zh-CN"/>
              </w:rPr>
              <w:t>1,2</w:t>
            </w:r>
          </w:p>
        </w:tc>
        <w:tc>
          <w:tcPr>
            <w:tcW w:w="1496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ascii="Times New Roman" w:hAnsi="Times New Roman" w:eastAsia="宋体"/>
                <w:lang w:eastAsia="zh-CN"/>
              </w:rPr>
              <w:t>&lt;0.001</w:t>
            </w:r>
            <w:r>
              <w:rPr>
                <w:rStyle w:val="5"/>
                <w:rFonts w:ascii="Times New Roman" w:hAnsi="Times New Roman"/>
                <w:sz w:val="18"/>
                <w:szCs w:val="18"/>
              </w:rPr>
              <w:t>*</w:t>
            </w:r>
          </w:p>
        </w:tc>
      </w:tr>
    </w:tbl>
    <w:p>
      <w:pPr>
        <w:rPr>
          <w:rStyle w:val="5"/>
          <w:rFonts w:ascii="Times New Roman" w:hAnsi="Times New Roman"/>
          <w:i w:val="0"/>
          <w:iCs w:val="0"/>
          <w:sz w:val="18"/>
          <w:szCs w:val="18"/>
          <w:lang w:eastAsia="zh-CN"/>
        </w:rPr>
      </w:pPr>
      <w:bookmarkStart w:id="0" w:name="_GoBack"/>
      <w:r>
        <w:rPr>
          <w:rStyle w:val="5"/>
          <w:rFonts w:ascii="Times New Roman" w:hAnsi="Times New Roman"/>
          <w:i w:val="0"/>
          <w:iCs w:val="0"/>
          <w:color w:val="auto"/>
          <w:sz w:val="18"/>
          <w:szCs w:val="18"/>
          <w:lang w:eastAsia="zh-CN"/>
        </w:rPr>
        <w:t>PCOS, polycystic ovary syndrome; BMI, body mass index; T, testosterone; AMH, anti-Müllerian hormone; FSH, follicle stimulating hormone; LH, luteinizing hormone. P</w:t>
      </w:r>
      <w:bookmarkEnd w:id="0"/>
      <w:r>
        <w:rPr>
          <w:rStyle w:val="5"/>
          <w:rFonts w:ascii="Times New Roman" w:hAnsi="Times New Roman"/>
          <w:i w:val="0"/>
          <w:iCs w:val="0"/>
          <w:sz w:val="18"/>
          <w:szCs w:val="18"/>
          <w:lang w:eastAsia="zh-CN"/>
        </w:rPr>
        <w:t>henotype A: ovulatory dysfunction + hyperandrogenism + polycystic ovary morphology; Phenotype B: ovulatory dysfunction + hyperandrogenism; Phenotype D: ovulatory dysfunction + polycystic ovary morphology.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NeueLTStd-MdIt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zZTU1OWQwYTIyNzQxNWVmNTYwYjMyYjQyMmE2YTMifQ=="/>
    <w:docVar w:name="KY_MEDREF_DOCUID" w:val="{2C61623B-594A-4738-B0BE-4932119E080B}"/>
    <w:docVar w:name="KY_MEDREF_VERSION" w:val="3"/>
  </w:docVars>
  <w:rsids>
    <w:rsidRoot w:val="00000000"/>
    <w:rsid w:val="06C8792E"/>
    <w:rsid w:val="147A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等线" w:cs="Times New Roman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style01"/>
    <w:basedOn w:val="4"/>
    <w:qFormat/>
    <w:uiPriority w:val="0"/>
    <w:rPr>
      <w:rFonts w:hint="default" w:ascii="HelveticaNeueLTStd-MdIt" w:hAnsi="HelveticaNeueLTStd-MdIt"/>
      <w:i/>
      <w:iCs/>
      <w:color w:val="242021"/>
      <w:sz w:val="10"/>
      <w:szCs w:val="1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565</Characters>
  <Lines>0</Lines>
  <Paragraphs>0</Paragraphs>
  <TotalTime>0</TotalTime>
  <ScaleCrop>false</ScaleCrop>
  <LinksUpToDate>false</LinksUpToDate>
  <CharactersWithSpaces>609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2022-08-04T03:12:00Z</dcterms:created>
  <dc:creator>z'm'h</dc:creator>
  <cp:lastModifiedBy>Smile*^_^*</cp:lastModifiedBy>
  <dcterms:modified xsi:type="dcterms:W3CDTF">2023-01-12T04:25:52Z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F4609678C53840C781A0EC610CECCFC8</vt:lpwstr>
  </property>
</Properties>
</file>