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4A5" w:rsidRPr="001B64A5" w:rsidRDefault="001B64A5" w:rsidP="001B64A5">
      <w:pPr>
        <w:spacing w:before="240" w:after="0"/>
        <w:jc w:val="both"/>
        <w:rPr>
          <w:rFonts w:ascii="Palatino Linotype" w:hAnsi="Palatino Linotype" w:cs="Times New Roman"/>
          <w:b/>
          <w:sz w:val="20"/>
          <w:szCs w:val="20"/>
        </w:rPr>
      </w:pPr>
      <w:r w:rsidRPr="001B64A5">
        <w:rPr>
          <w:rFonts w:ascii="Palatino Linotype" w:hAnsi="Palatino Linotype" w:cs="Times New Roman"/>
          <w:b/>
          <w:sz w:val="20"/>
          <w:szCs w:val="20"/>
        </w:rPr>
        <w:t>Supplementary Figure</w:t>
      </w:r>
      <w:bookmarkStart w:id="0" w:name="_GoBack"/>
      <w:bookmarkEnd w:id="0"/>
    </w:p>
    <w:p w:rsidR="001B64A5" w:rsidRPr="001B64A5" w:rsidRDefault="001B64A5" w:rsidP="001B64A5">
      <w:pPr>
        <w:autoSpaceDE w:val="0"/>
        <w:autoSpaceDN w:val="0"/>
        <w:adjustRightInd w:val="0"/>
        <w:jc w:val="both"/>
        <w:rPr>
          <w:rFonts w:ascii="Palatino Linotype" w:hAnsi="Palatino Linotype" w:cs="Times New Roman"/>
          <w:sz w:val="20"/>
          <w:szCs w:val="20"/>
        </w:rPr>
      </w:pPr>
      <w:r w:rsidRPr="001B64A5">
        <w:rPr>
          <w:rFonts w:ascii="Palatino Linotype" w:hAnsi="Palatino Linotype" w:cs="Times New Roman"/>
          <w:noProof/>
          <w:sz w:val="20"/>
          <w:szCs w:val="20"/>
          <w:lang w:eastAsia="zh-CN"/>
        </w:rPr>
        <w:drawing>
          <wp:inline distT="0" distB="0" distL="0" distR="0" wp14:anchorId="441D6D6E" wp14:editId="37FBDB65">
            <wp:extent cx="5278120" cy="2027181"/>
            <wp:effectExtent l="0" t="0" r="0" b="0"/>
            <wp:docPr id="3" name="图片 3" descr="D:\assay\实验数据\实验原图和数据20220125\Supple Fig\Supple Fig2022102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ssay\实验数据\实验原图和数据20220125\Supple Fig\Supple Fig20221029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02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62B" w:rsidRPr="001B64A5" w:rsidRDefault="001B64A5" w:rsidP="001B64A5">
      <w:pPr>
        <w:jc w:val="both"/>
        <w:rPr>
          <w:rFonts w:ascii="Palatino Linotype" w:hAnsi="Palatino Linotype"/>
          <w:sz w:val="20"/>
          <w:szCs w:val="20"/>
        </w:rPr>
      </w:pPr>
      <w:r w:rsidRPr="001B64A5">
        <w:rPr>
          <w:rFonts w:ascii="Palatino Linotype" w:hAnsi="Palatino Linotype"/>
          <w:b/>
          <w:sz w:val="20"/>
          <w:szCs w:val="20"/>
        </w:rPr>
        <w:t xml:space="preserve">Supplementary Figure S1. </w:t>
      </w:r>
      <w:r w:rsidRPr="001B64A5">
        <w:rPr>
          <w:rFonts w:ascii="Palatino Linotype" w:eastAsia="AdvOT1ef757c0" w:hAnsi="Palatino Linotype"/>
          <w:b/>
          <w:sz w:val="20"/>
          <w:szCs w:val="20"/>
        </w:rPr>
        <w:t>E</w:t>
      </w:r>
      <w:r w:rsidRPr="001B64A5">
        <w:rPr>
          <w:rFonts w:ascii="Palatino Linotype" w:eastAsia="AdvOT1ef757c0" w:hAnsi="Palatino Linotype"/>
          <w:b/>
          <w:sz w:val="20"/>
          <w:szCs w:val="20"/>
          <w:vertAlign w:val="subscript"/>
        </w:rPr>
        <w:t>2</w:t>
      </w:r>
      <w:r w:rsidRPr="001B64A5">
        <w:rPr>
          <w:rFonts w:ascii="Palatino Linotype" w:hAnsi="Palatino Linotype"/>
          <w:b/>
          <w:sz w:val="20"/>
          <w:szCs w:val="20"/>
        </w:rPr>
        <w:t xml:space="preserve"> upregulates</w:t>
      </w:r>
      <w:r w:rsidRPr="001B64A5">
        <w:rPr>
          <w:rFonts w:ascii="Palatino Linotype" w:eastAsia="AdvOTaf232193" w:hAnsi="Palatino Linotype" w:cs="AdvOTaf232193"/>
          <w:sz w:val="20"/>
          <w:szCs w:val="20"/>
        </w:rPr>
        <w:t xml:space="preserve"> </w:t>
      </w:r>
      <w:proofErr w:type="gramStart"/>
      <w:r w:rsidRPr="001B64A5">
        <w:rPr>
          <w:rFonts w:ascii="Palatino Linotype" w:hAnsi="Palatino Linotype"/>
          <w:b/>
          <w:sz w:val="20"/>
          <w:szCs w:val="20"/>
        </w:rPr>
        <w:t>PGR,</w:t>
      </w:r>
      <w:proofErr w:type="gramEnd"/>
      <w:r w:rsidRPr="001B64A5">
        <w:rPr>
          <w:rFonts w:ascii="Palatino Linotype" w:hAnsi="Palatino Linotype"/>
          <w:b/>
          <w:sz w:val="20"/>
          <w:szCs w:val="20"/>
        </w:rPr>
        <w:t xml:space="preserve"> and P</w:t>
      </w:r>
      <w:r w:rsidRPr="001B64A5">
        <w:rPr>
          <w:rFonts w:ascii="Palatino Linotype" w:hAnsi="Palatino Linotype"/>
          <w:b/>
          <w:sz w:val="20"/>
          <w:szCs w:val="20"/>
          <w:vertAlign w:val="subscript"/>
        </w:rPr>
        <w:t>4</w:t>
      </w:r>
      <w:r w:rsidRPr="001B64A5">
        <w:rPr>
          <w:rFonts w:ascii="Palatino Linotype" w:hAnsi="Palatino Linotype"/>
          <w:b/>
          <w:sz w:val="20"/>
          <w:szCs w:val="20"/>
        </w:rPr>
        <w:t xml:space="preserve"> increases SGK1 activities in THP</w:t>
      </w:r>
      <w:r w:rsidRPr="001B64A5">
        <w:rPr>
          <w:rFonts w:ascii="Palatino Linotype" w:hAnsi="Palatino Linotype"/>
          <w:b/>
          <w:sz w:val="20"/>
          <w:szCs w:val="20"/>
        </w:rPr>
        <w:noBreakHyphen/>
        <w:t>1 macrophages</w:t>
      </w:r>
      <w:r w:rsidRPr="001B64A5">
        <w:rPr>
          <w:rFonts w:ascii="Palatino Linotype" w:hAnsi="Palatino Linotype"/>
          <w:sz w:val="20"/>
          <w:szCs w:val="20"/>
        </w:rPr>
        <w:t>.</w:t>
      </w:r>
      <w:r w:rsidRPr="001B64A5">
        <w:rPr>
          <w:rFonts w:ascii="Palatino Linotype" w:eastAsia="AdvTT05cc2067+03" w:hAnsi="Palatino Linotype"/>
          <w:sz w:val="20"/>
          <w:szCs w:val="20"/>
        </w:rPr>
        <w:t xml:space="preserve"> (A) </w:t>
      </w:r>
      <w:r w:rsidRPr="001B64A5">
        <w:rPr>
          <w:rFonts w:ascii="Palatino Linotype" w:hAnsi="Palatino Linotype" w:cs="Times New Roman"/>
          <w:sz w:val="20"/>
          <w:szCs w:val="20"/>
        </w:rPr>
        <w:t>The concentrations (left)</w:t>
      </w:r>
      <w:r w:rsidRPr="001B64A5">
        <w:rPr>
          <w:rFonts w:ascii="Palatino Linotype" w:eastAsia="AdvTT05cc2067+03" w:hAnsi="Palatino Linotype"/>
          <w:sz w:val="20"/>
          <w:szCs w:val="20"/>
        </w:rPr>
        <w:t xml:space="preserve"> and the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 variation (right) of serum P</w:t>
      </w:r>
      <w:r w:rsidRPr="001B64A5">
        <w:rPr>
          <w:rFonts w:ascii="Palatino Linotype" w:hAnsi="Palatino Linotype" w:cs="Times New Roman"/>
          <w:sz w:val="20"/>
          <w:szCs w:val="20"/>
          <w:vertAlign w:val="subscript"/>
        </w:rPr>
        <w:t>4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 (</w:t>
      </w:r>
      <w:proofErr w:type="spellStart"/>
      <w:r w:rsidRPr="001B64A5">
        <w:rPr>
          <w:rFonts w:ascii="Palatino Linotype" w:hAnsi="Palatino Linotype" w:cs="Times New Roman"/>
          <w:sz w:val="20"/>
          <w:szCs w:val="20"/>
        </w:rPr>
        <w:t>nmol</w:t>
      </w:r>
      <w:proofErr w:type="spellEnd"/>
      <w:r w:rsidRPr="001B64A5">
        <w:rPr>
          <w:rFonts w:ascii="Palatino Linotype" w:hAnsi="Palatino Linotype" w:cs="Times New Roman"/>
          <w:sz w:val="20"/>
          <w:szCs w:val="20"/>
        </w:rPr>
        <w:t>/l) during the 4</w:t>
      </w:r>
      <w:r w:rsidRPr="001B64A5">
        <w:rPr>
          <w:rFonts w:ascii="Palatino Linotype" w:hAnsi="Palatino Linotype" w:cs="Times New Roman"/>
          <w:sz w:val="20"/>
          <w:szCs w:val="20"/>
          <w:vertAlign w:val="superscript"/>
        </w:rPr>
        <w:t>th</w:t>
      </w:r>
      <w:r w:rsidRPr="001B64A5">
        <w:rPr>
          <w:rFonts w:ascii="Palatino Linotype" w:hAnsi="Palatino Linotype" w:cs="Times New Roman"/>
          <w:sz w:val="20"/>
          <w:szCs w:val="20"/>
        </w:rPr>
        <w:t>–12</w:t>
      </w:r>
      <w:r w:rsidRPr="001B64A5">
        <w:rPr>
          <w:rFonts w:ascii="Palatino Linotype" w:hAnsi="Palatino Linotype" w:cs="Times New Roman"/>
          <w:sz w:val="20"/>
          <w:szCs w:val="20"/>
          <w:vertAlign w:val="superscript"/>
        </w:rPr>
        <w:t>th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 week of gestation in a study population with live birth (n = 448) or miscarriage (n = 68). (B)</w:t>
      </w:r>
      <w:r w:rsidRPr="001B64A5">
        <w:rPr>
          <w:rFonts w:ascii="Palatino Linotype" w:hAnsi="Palatino Linotype"/>
          <w:sz w:val="20"/>
          <w:szCs w:val="20"/>
        </w:rPr>
        <w:t xml:space="preserve"> Western blotting analysis of the PGR level relative to </w:t>
      </w:r>
      <w:r w:rsidRPr="001B64A5">
        <w:rPr>
          <w:rFonts w:ascii="Palatino Linotype" w:hAnsi="Palatino Linotype"/>
          <w:sz w:val="20"/>
          <w:szCs w:val="20"/>
        </w:rPr>
        <w:t>-actin in THP-1 treated with LPS (10 ng/mL), E</w:t>
      </w:r>
      <w:r w:rsidRPr="001B64A5">
        <w:rPr>
          <w:rFonts w:ascii="Palatino Linotype" w:hAnsi="Palatino Linotype"/>
          <w:sz w:val="20"/>
          <w:szCs w:val="20"/>
          <w:vertAlign w:val="subscript"/>
        </w:rPr>
        <w:t>2</w:t>
      </w:r>
      <w:r w:rsidRPr="001B64A5">
        <w:rPr>
          <w:rFonts w:ascii="Palatino Linotype" w:hAnsi="Palatino Linotype"/>
          <w:sz w:val="20"/>
          <w:szCs w:val="20"/>
        </w:rPr>
        <w:t xml:space="preserve"> (10 </w:t>
      </w:r>
      <w:proofErr w:type="spellStart"/>
      <w:r w:rsidRPr="001B64A5">
        <w:rPr>
          <w:rFonts w:ascii="Palatino Linotype" w:hAnsi="Palatino Linotype"/>
          <w:sz w:val="20"/>
          <w:szCs w:val="20"/>
        </w:rPr>
        <w:t>nM</w:t>
      </w:r>
      <w:proofErr w:type="spellEnd"/>
      <w:r w:rsidRPr="001B64A5">
        <w:rPr>
          <w:rFonts w:ascii="Palatino Linotype" w:hAnsi="Palatino Linotype"/>
          <w:sz w:val="20"/>
          <w:szCs w:val="20"/>
        </w:rPr>
        <w:t>), and LPS plus E</w:t>
      </w:r>
      <w:r w:rsidRPr="001B64A5">
        <w:rPr>
          <w:rFonts w:ascii="Palatino Linotype" w:hAnsi="Palatino Linotype"/>
          <w:sz w:val="20"/>
          <w:szCs w:val="20"/>
          <w:vertAlign w:val="subscript"/>
        </w:rPr>
        <w:t>2</w:t>
      </w:r>
      <w:r w:rsidRPr="001B64A5">
        <w:rPr>
          <w:rFonts w:ascii="Palatino Linotype" w:hAnsi="Palatino Linotype"/>
          <w:sz w:val="20"/>
          <w:szCs w:val="20"/>
        </w:rPr>
        <w:t>. (C) Western blotting analysis</w:t>
      </w:r>
      <w:r w:rsidRPr="001B64A5">
        <w:rPr>
          <w:rFonts w:ascii="Palatino Linotype" w:eastAsia="AdvTT05cc2067+03" w:hAnsi="Palatino Linotype"/>
          <w:sz w:val="20"/>
          <w:szCs w:val="20"/>
        </w:rPr>
        <w:t xml:space="preserve"> of p-SGK1, t-SGK1 </w:t>
      </w:r>
      <w:r w:rsidRPr="001B64A5">
        <w:rPr>
          <w:rFonts w:ascii="Palatino Linotype" w:hAnsi="Palatino Linotype"/>
          <w:sz w:val="20"/>
          <w:szCs w:val="20"/>
        </w:rPr>
        <w:t>in THP-1 treated with LPS (10 ng/mL), P</w:t>
      </w:r>
      <w:r w:rsidRPr="001B64A5">
        <w:rPr>
          <w:rFonts w:ascii="Palatino Linotype" w:hAnsi="Palatino Linotype"/>
          <w:sz w:val="20"/>
          <w:szCs w:val="20"/>
          <w:vertAlign w:val="subscript"/>
        </w:rPr>
        <w:t>4</w:t>
      </w:r>
      <w:r w:rsidRPr="001B64A5">
        <w:rPr>
          <w:rFonts w:ascii="Palatino Linotype" w:hAnsi="Palatino Linotype"/>
          <w:sz w:val="20"/>
          <w:szCs w:val="20"/>
        </w:rPr>
        <w:t xml:space="preserve"> (10 </w:t>
      </w:r>
      <w:proofErr w:type="spellStart"/>
      <w:r w:rsidRPr="001B64A5">
        <w:rPr>
          <w:rFonts w:ascii="Palatino Linotype" w:hAnsi="Palatino Linotype"/>
          <w:sz w:val="20"/>
          <w:szCs w:val="20"/>
        </w:rPr>
        <w:t>nM</w:t>
      </w:r>
      <w:proofErr w:type="spellEnd"/>
      <w:r w:rsidRPr="001B64A5">
        <w:rPr>
          <w:rFonts w:ascii="Palatino Linotype" w:hAnsi="Palatino Linotype"/>
          <w:sz w:val="20"/>
          <w:szCs w:val="20"/>
        </w:rPr>
        <w:t>), and P</w:t>
      </w:r>
      <w:r w:rsidRPr="001B64A5">
        <w:rPr>
          <w:rFonts w:ascii="Palatino Linotype" w:hAnsi="Palatino Linotype"/>
          <w:sz w:val="20"/>
          <w:szCs w:val="20"/>
          <w:vertAlign w:val="subscript"/>
        </w:rPr>
        <w:t>4</w:t>
      </w:r>
      <w:r w:rsidRPr="001B64A5">
        <w:rPr>
          <w:rFonts w:ascii="Palatino Linotype" w:hAnsi="Palatino Linotype"/>
          <w:sz w:val="20"/>
          <w:szCs w:val="20"/>
        </w:rPr>
        <w:t xml:space="preserve"> plus LPS. </w:t>
      </w:r>
      <w:r w:rsidRPr="001B64A5">
        <w:rPr>
          <w:rFonts w:ascii="Palatino Linotype" w:hAnsi="Palatino Linotype" w:cs="Times New Roman"/>
          <w:sz w:val="20"/>
          <w:szCs w:val="20"/>
        </w:rPr>
        <w:t>D</w:t>
      </w:r>
      <w:r w:rsidRPr="001B64A5">
        <w:rPr>
          <w:rFonts w:ascii="Palatino Linotype" w:eastAsia="AdvTT05cc2067+03" w:hAnsi="Palatino Linotype" w:cs="Times New Roman"/>
          <w:sz w:val="20"/>
          <w:szCs w:val="20"/>
        </w:rPr>
        <w:t xml:space="preserve">ata are the arithmetic </w:t>
      </w:r>
      <w:r w:rsidRPr="001B64A5">
        <w:rPr>
          <w:rFonts w:ascii="Palatino Linotype" w:hAnsi="Palatino Linotype" w:cs="Times New Roman"/>
          <w:sz w:val="20"/>
          <w:szCs w:val="20"/>
        </w:rPr>
        <w:t>means ± SEM for three biological replicates.</w:t>
      </w:r>
      <w:r w:rsidRPr="001B64A5">
        <w:rPr>
          <w:rFonts w:ascii="Palatino Linotype" w:hAnsi="Palatino Linotype"/>
          <w:sz w:val="20"/>
          <w:szCs w:val="20"/>
        </w:rPr>
        <w:t xml:space="preserve"> **</w:t>
      </w:r>
      <w:r w:rsidRPr="001B64A5">
        <w:rPr>
          <w:rFonts w:ascii="Palatino Linotype" w:hAnsi="Palatino Linotype"/>
          <w:i/>
          <w:sz w:val="20"/>
          <w:szCs w:val="20"/>
        </w:rPr>
        <w:t>P</w:t>
      </w:r>
      <w:r w:rsidRPr="001B64A5">
        <w:rPr>
          <w:rFonts w:ascii="Palatino Linotype" w:hAnsi="Palatino Linotype"/>
          <w:sz w:val="20"/>
          <w:szCs w:val="20"/>
        </w:rPr>
        <w:t xml:space="preserve"> &lt; 0.01, ***</w:t>
      </w:r>
      <w:r w:rsidRPr="001B64A5">
        <w:rPr>
          <w:rFonts w:ascii="Palatino Linotype" w:hAnsi="Palatino Linotype"/>
          <w:i/>
          <w:sz w:val="20"/>
          <w:szCs w:val="20"/>
        </w:rPr>
        <w:t>P</w:t>
      </w:r>
      <w:r w:rsidRPr="001B64A5">
        <w:rPr>
          <w:rFonts w:ascii="Palatino Linotype" w:hAnsi="Palatino Linotype"/>
          <w:sz w:val="20"/>
          <w:szCs w:val="20"/>
        </w:rPr>
        <w:t xml:space="preserve"> &lt; 0.001, c</w:t>
      </w:r>
      <w:r w:rsidRPr="001B64A5">
        <w:rPr>
          <w:rFonts w:ascii="Palatino Linotype" w:eastAsia="AdvTT05cc2067+03" w:hAnsi="Palatino Linotype"/>
          <w:sz w:val="20"/>
          <w:szCs w:val="20"/>
        </w:rPr>
        <w:t>ompared with control group or medium group; ∆∆∆</w:t>
      </w:r>
      <w:r w:rsidRPr="001B64A5">
        <w:rPr>
          <w:rFonts w:ascii="Palatino Linotype" w:eastAsia="AdvTT05cc2067+03" w:hAnsi="Palatino Linotype"/>
          <w:i/>
          <w:sz w:val="20"/>
          <w:szCs w:val="20"/>
        </w:rPr>
        <w:t xml:space="preserve">P </w:t>
      </w:r>
      <w:r w:rsidRPr="001B64A5">
        <w:rPr>
          <w:rFonts w:ascii="Palatino Linotype" w:eastAsia="AdvTT05cc2067+03" w:hAnsi="Palatino Linotype"/>
          <w:sz w:val="20"/>
          <w:szCs w:val="20"/>
        </w:rPr>
        <w:t>&lt; 0.001, compared with LPS group; ###</w:t>
      </w:r>
      <w:r w:rsidRPr="001B64A5">
        <w:rPr>
          <w:rFonts w:ascii="Palatino Linotype" w:eastAsia="AdvTT05cc2067+03" w:hAnsi="Palatino Linotype"/>
          <w:i/>
          <w:sz w:val="20"/>
          <w:szCs w:val="20"/>
        </w:rPr>
        <w:t xml:space="preserve">P </w:t>
      </w:r>
      <w:r w:rsidRPr="001B64A5">
        <w:rPr>
          <w:rFonts w:ascii="Palatino Linotype" w:eastAsia="AdvTT05cc2067+03" w:hAnsi="Palatino Linotype"/>
          <w:sz w:val="20"/>
          <w:szCs w:val="20"/>
        </w:rPr>
        <w:t>&lt; 0.001, compared with P</w:t>
      </w:r>
      <w:r w:rsidRPr="001B64A5">
        <w:rPr>
          <w:rFonts w:ascii="Palatino Linotype" w:eastAsia="AdvTT05cc2067+03" w:hAnsi="Palatino Linotype"/>
          <w:sz w:val="20"/>
          <w:szCs w:val="20"/>
          <w:vertAlign w:val="subscript"/>
        </w:rPr>
        <w:t>4</w:t>
      </w:r>
      <w:r w:rsidRPr="001B64A5">
        <w:rPr>
          <w:rFonts w:ascii="Palatino Linotype" w:eastAsia="AdvTT05cc2067+03" w:hAnsi="Palatino Linotype"/>
          <w:sz w:val="20"/>
          <w:szCs w:val="20"/>
        </w:rPr>
        <w:t xml:space="preserve"> group. </w:t>
      </w:r>
      <w:r w:rsidRPr="001B64A5">
        <w:rPr>
          <w:rFonts w:ascii="Palatino Linotype" w:hAnsi="Palatino Linotype" w:cs="Times New Roman"/>
          <w:sz w:val="20"/>
          <w:szCs w:val="20"/>
        </w:rPr>
        <w:t>E</w:t>
      </w:r>
      <w:r w:rsidRPr="001B64A5">
        <w:rPr>
          <w:rFonts w:ascii="Palatino Linotype" w:hAnsi="Palatino Linotype" w:cs="Times New Roman"/>
          <w:sz w:val="20"/>
          <w:szCs w:val="20"/>
          <w:vertAlign w:val="subscript"/>
        </w:rPr>
        <w:t>2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, </w:t>
      </w:r>
      <w:r w:rsidRPr="001B64A5">
        <w:rPr>
          <w:rFonts w:ascii="Palatino Linotype" w:eastAsia="AdvOT1ef757c0" w:hAnsi="Palatino Linotype" w:cs="Times New Roman"/>
          <w:sz w:val="20"/>
          <w:szCs w:val="20"/>
        </w:rPr>
        <w:t>estradiol</w:t>
      </w:r>
      <w:r w:rsidRPr="001B64A5">
        <w:rPr>
          <w:rFonts w:ascii="Palatino Linotype" w:hAnsi="Palatino Linotype" w:cs="Times New Roman"/>
          <w:sz w:val="20"/>
          <w:szCs w:val="20"/>
        </w:rPr>
        <w:t>;</w:t>
      </w:r>
      <w:r w:rsidRPr="001B64A5">
        <w:rPr>
          <w:rFonts w:ascii="Palatino Linotype" w:eastAsia="AdvOT1ef757c0" w:hAnsi="Palatino Linotype" w:cs="Times New Roman"/>
          <w:sz w:val="20"/>
          <w:szCs w:val="20"/>
        </w:rPr>
        <w:t xml:space="preserve"> PGR, progesterone receptor; </w:t>
      </w:r>
      <w:r w:rsidRPr="001B64A5">
        <w:rPr>
          <w:rFonts w:ascii="Palatino Linotype" w:eastAsia="AdvOT1ef757c0" w:hAnsi="Palatino Linotype"/>
          <w:sz w:val="20"/>
          <w:szCs w:val="20"/>
        </w:rPr>
        <w:t>P</w:t>
      </w:r>
      <w:r w:rsidRPr="001B64A5">
        <w:rPr>
          <w:rFonts w:ascii="Palatino Linotype" w:eastAsia="AdvOT1ef757c0" w:hAnsi="Palatino Linotype"/>
          <w:sz w:val="20"/>
          <w:szCs w:val="20"/>
          <w:vertAlign w:val="subscript"/>
        </w:rPr>
        <w:t>4</w:t>
      </w:r>
      <w:r w:rsidRPr="001B64A5">
        <w:rPr>
          <w:rFonts w:ascii="Palatino Linotype" w:eastAsia="AdvOT1ef757c0" w:hAnsi="Palatino Linotype"/>
          <w:sz w:val="20"/>
          <w:szCs w:val="20"/>
        </w:rPr>
        <w:t>, prog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esterone; SGK1, serum-glucocorticoid regulated kinase; </w:t>
      </w:r>
      <w:r w:rsidRPr="001B64A5">
        <w:rPr>
          <w:rFonts w:ascii="Palatino Linotype" w:eastAsia="AdvOT1ef757c0" w:hAnsi="Palatino Linotype"/>
          <w:sz w:val="20"/>
          <w:szCs w:val="20"/>
        </w:rPr>
        <w:t xml:space="preserve">OVX, </w:t>
      </w:r>
      <w:proofErr w:type="spellStart"/>
      <w:r w:rsidRPr="001B64A5">
        <w:rPr>
          <w:rFonts w:ascii="Palatino Linotype" w:eastAsia="AdvOT1ef757c0" w:hAnsi="Palatino Linotype"/>
          <w:sz w:val="20"/>
          <w:szCs w:val="20"/>
        </w:rPr>
        <w:t>ovariectomized</w:t>
      </w:r>
      <w:proofErr w:type="spellEnd"/>
      <w:r w:rsidRPr="001B64A5">
        <w:rPr>
          <w:rFonts w:ascii="Palatino Linotype" w:eastAsia="AdvOT1ef757c0" w:hAnsi="Palatino Linotype"/>
          <w:sz w:val="20"/>
          <w:szCs w:val="20"/>
        </w:rPr>
        <w:t xml:space="preserve">; </w:t>
      </w:r>
      <w:r w:rsidRPr="001B64A5">
        <w:rPr>
          <w:rFonts w:ascii="Palatino Linotype" w:hAnsi="Palatino Linotype"/>
          <w:sz w:val="20"/>
          <w:szCs w:val="20"/>
        </w:rPr>
        <w:t>LPS,</w:t>
      </w:r>
      <w:r w:rsidRPr="001B64A5">
        <w:rPr>
          <w:rFonts w:ascii="Palatino Linotype" w:eastAsia="AdvOT1ef757c0" w:hAnsi="Palatino Linotype"/>
          <w:sz w:val="20"/>
          <w:szCs w:val="20"/>
        </w:rPr>
        <w:t xml:space="preserve"> lipopolysaccharide</w:t>
      </w:r>
      <w:r w:rsidRPr="001B64A5">
        <w:rPr>
          <w:rFonts w:ascii="Palatino Linotype" w:hAnsi="Palatino Linotype" w:cs="Times New Roman"/>
          <w:sz w:val="20"/>
          <w:szCs w:val="20"/>
        </w:rPr>
        <w:t xml:space="preserve">; p-, </w:t>
      </w:r>
      <w:proofErr w:type="spellStart"/>
      <w:r w:rsidRPr="001B64A5">
        <w:rPr>
          <w:rFonts w:ascii="Palatino Linotype" w:hAnsi="Palatino Linotype" w:cs="Times New Roman"/>
          <w:sz w:val="20"/>
          <w:szCs w:val="20"/>
        </w:rPr>
        <w:t>phospho</w:t>
      </w:r>
      <w:proofErr w:type="spellEnd"/>
      <w:r w:rsidRPr="001B64A5">
        <w:rPr>
          <w:rFonts w:ascii="Palatino Linotype" w:hAnsi="Palatino Linotype" w:cs="Times New Roman"/>
          <w:sz w:val="20"/>
          <w:szCs w:val="20"/>
        </w:rPr>
        <w:t>-; t-, total-; SEM, Standard Error of the Mean</w:t>
      </w:r>
      <w:r w:rsidRPr="001B64A5">
        <w:rPr>
          <w:rFonts w:ascii="Palatino Linotype" w:eastAsia="Minion Pro" w:hAnsi="Palatino Linotype" w:cs="Times New Roman"/>
          <w:sz w:val="20"/>
          <w:szCs w:val="20"/>
        </w:rPr>
        <w:t>.</w:t>
      </w:r>
    </w:p>
    <w:sectPr w:rsidR="0088262B" w:rsidRPr="001B6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1ef757c0">
    <w:altName w:val="方正舒体"/>
    <w:charset w:val="86"/>
    <w:family w:val="auto"/>
    <w:pitch w:val="default"/>
    <w:sig w:usb0="00000001" w:usb1="080E0000" w:usb2="00000010" w:usb3="00000000" w:csb0="00040000" w:csb1="00000000"/>
  </w:font>
  <w:font w:name="AdvOTaf232193">
    <w:altName w:val="方正舒体"/>
    <w:charset w:val="86"/>
    <w:family w:val="auto"/>
    <w:pitch w:val="default"/>
    <w:sig w:usb0="00000000" w:usb1="090E0000" w:usb2="00000010" w:usb3="00000000" w:csb0="000C0000" w:csb1="00000000"/>
  </w:font>
  <w:font w:name="AdvTT05cc2067+03">
    <w:altName w:val="等线"/>
    <w:charset w:val="86"/>
    <w:family w:val="auto"/>
    <w:pitch w:val="default"/>
    <w:sig w:usb0="00000001" w:usb1="080E0000" w:usb2="00000010" w:usb3="00000000" w:csb0="00040000" w:csb1="00000000"/>
  </w:font>
  <w:font w:name="Minion Pro">
    <w:altName w:val="Arial Unicode MS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4A5"/>
    <w:rsid w:val="001B64A5"/>
    <w:rsid w:val="0088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318AE-8D53-4974-967F-5612F145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4A5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</dc:creator>
  <cp:keywords/>
  <dc:description/>
  <cp:lastModifiedBy>cody</cp:lastModifiedBy>
  <cp:revision>1</cp:revision>
  <dcterms:created xsi:type="dcterms:W3CDTF">2023-01-02T18:30:00Z</dcterms:created>
  <dcterms:modified xsi:type="dcterms:W3CDTF">2023-01-02T18:31:00Z</dcterms:modified>
</cp:coreProperties>
</file>