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F1C58" w14:textId="77777777" w:rsidR="00CF4635" w:rsidRPr="008B415A" w:rsidRDefault="00CF4635" w:rsidP="00CF4635">
      <w:pPr>
        <w:jc w:val="left"/>
        <w:rPr>
          <w:rFonts w:ascii="Times New Roman" w:hAnsi="Times New Roman" w:cs="Times New Roman"/>
          <w:sz w:val="20"/>
          <w:szCs w:val="20"/>
        </w:rPr>
      </w:pPr>
      <w:r w:rsidRPr="008B415A">
        <w:rPr>
          <w:rFonts w:ascii="Times New Roman" w:hAnsi="Times New Roman" w:cs="Times New Roman"/>
          <w:b/>
          <w:bCs/>
          <w:sz w:val="20"/>
          <w:szCs w:val="20"/>
        </w:rPr>
        <w:t>Table S1.</w:t>
      </w:r>
      <w:r w:rsidRPr="008B415A">
        <w:rPr>
          <w:rFonts w:ascii="Times New Roman" w:hAnsi="Times New Roman" w:cs="Times New Roman"/>
          <w:sz w:val="20"/>
          <w:szCs w:val="20"/>
        </w:rPr>
        <w:t xml:space="preserve"> Quality assessment of included studies by the Newcastle-Ottawa scale.</w:t>
      </w:r>
    </w:p>
    <w:tbl>
      <w:tblPr>
        <w:tblStyle w:val="TableGrid"/>
        <w:tblW w:w="15398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79"/>
        <w:gridCol w:w="1876"/>
        <w:gridCol w:w="1363"/>
        <w:gridCol w:w="216"/>
        <w:gridCol w:w="1286"/>
        <w:gridCol w:w="1502"/>
        <w:gridCol w:w="1383"/>
        <w:gridCol w:w="1327"/>
        <w:gridCol w:w="1327"/>
        <w:gridCol w:w="668"/>
      </w:tblGrid>
      <w:tr w:rsidR="00A15CE7" w:rsidRPr="008B415A" w14:paraId="582871A1" w14:textId="77777777" w:rsidTr="00D84BFF">
        <w:trPr>
          <w:trHeight w:val="280"/>
          <w:jc w:val="center"/>
        </w:trPr>
        <w:tc>
          <w:tcPr>
            <w:tcW w:w="226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9FF1224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9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967D56D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Representativeness of the exposed cohort</w:t>
            </w:r>
          </w:p>
        </w:tc>
        <w:tc>
          <w:tcPr>
            <w:tcW w:w="187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F73BB73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Selection of the non-exposed cohort</w:t>
            </w:r>
          </w:p>
        </w:tc>
        <w:tc>
          <w:tcPr>
            <w:tcW w:w="1579" w:type="dxa"/>
            <w:gridSpan w:val="2"/>
            <w:tcBorders>
              <w:bottom w:val="single" w:sz="12" w:space="0" w:color="auto"/>
            </w:tcBorders>
            <w:noWrap/>
            <w:vAlign w:val="center"/>
            <w:hideMark/>
          </w:tcPr>
          <w:p w14:paraId="35EAE034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Ascertainment of exposure</w:t>
            </w:r>
          </w:p>
        </w:tc>
        <w:tc>
          <w:tcPr>
            <w:tcW w:w="128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EA7F1ED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Absence of outcome at start</w:t>
            </w:r>
          </w:p>
        </w:tc>
        <w:tc>
          <w:tcPr>
            <w:tcW w:w="150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BF8CC11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Comparability on design or analysis</w:t>
            </w:r>
          </w:p>
        </w:tc>
        <w:tc>
          <w:tcPr>
            <w:tcW w:w="138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2B98024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Assessment of outcome</w:t>
            </w:r>
          </w:p>
        </w:tc>
        <w:tc>
          <w:tcPr>
            <w:tcW w:w="1327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175C85B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Duration of follow-up</w:t>
            </w:r>
          </w:p>
        </w:tc>
        <w:tc>
          <w:tcPr>
            <w:tcW w:w="123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E943ED3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Adequacy of follow-up</w:t>
            </w:r>
          </w:p>
        </w:tc>
        <w:tc>
          <w:tcPr>
            <w:tcW w:w="66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83AF07C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Total score</w:t>
            </w:r>
          </w:p>
        </w:tc>
      </w:tr>
      <w:tr w:rsidR="00A15CE7" w:rsidRPr="008B415A" w14:paraId="08499788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29C0A40" w14:textId="165A8158" w:rsidR="00CF4635" w:rsidRPr="008B415A" w:rsidRDefault="00512E44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Hu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4635"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D64BC" w:rsidRPr="008B415A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279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7420E25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C257391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3CF3826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FA9E5AB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3DC9F1F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★★</w:t>
            </w:r>
          </w:p>
        </w:tc>
        <w:tc>
          <w:tcPr>
            <w:tcW w:w="1383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1D14579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4630B4C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6B5425E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2BFEF3C" w14:textId="3FD2A559" w:rsidR="00CF4635" w:rsidRPr="008B415A" w:rsidRDefault="003926F9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15CE7" w:rsidRPr="008B415A" w14:paraId="25C2A602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4701DE" w14:textId="2840B00D" w:rsidR="00CF4635" w:rsidRPr="008B415A" w:rsidRDefault="00E675D0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Guo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4635"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>, 2020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1F63BC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420515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C9ABAD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CBFCC3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ACBAC7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★★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863A62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7AB67E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B7C109" w14:textId="4AB88C80" w:rsidR="00CF4635" w:rsidRPr="008B415A" w:rsidRDefault="003926F9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2"/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  <w:bookmarkEnd w:id="0"/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75581F" w14:textId="2E40CC1C" w:rsidR="00CF4635" w:rsidRPr="008B415A" w:rsidRDefault="00517968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8B415A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a</w:t>
            </w:r>
          </w:p>
        </w:tc>
      </w:tr>
      <w:tr w:rsidR="00A15CE7" w:rsidRPr="008B415A" w14:paraId="251009BA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67613C" w14:textId="6A835010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E675D0" w:rsidRPr="008B415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 w:rsidR="006D64BC" w:rsidRPr="008B415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0A11B7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5667EE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DDF61E" w14:textId="1F2B4374" w:rsidR="00CF4635" w:rsidRPr="008B415A" w:rsidRDefault="00FD6967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37C2E0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3BED62" w14:textId="4AD3AD4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  <w:r w:rsidR="00270D68"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0E928F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193624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3ED3C7" w14:textId="62B89EF6" w:rsidR="00CF4635" w:rsidRPr="008B415A" w:rsidRDefault="00FD6967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4F44D2" w14:textId="72B2764B" w:rsidR="00CF4635" w:rsidRPr="008B415A" w:rsidRDefault="006A453B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0390E" w:rsidRPr="008B415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A15CE7" w:rsidRPr="008B415A" w14:paraId="44BF586C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51EB73" w14:textId="556697AB" w:rsidR="00CF4635" w:rsidRPr="008B415A" w:rsidRDefault="00E675D0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Borges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4635"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>, 2019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C2948A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C92C0D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ABD838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92D2F4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B3C928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★★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3900BC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DE1A25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9DBBDC" w14:textId="7E30DF52" w:rsidR="00CF4635" w:rsidRPr="008B415A" w:rsidRDefault="001230B2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3"/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  <w:bookmarkEnd w:id="1"/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3CA62A" w14:textId="5C8FC5CE" w:rsidR="00CF4635" w:rsidRPr="008B415A" w:rsidRDefault="001230B2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0390E" w:rsidRPr="008B415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A15CE7" w:rsidRPr="008B415A" w14:paraId="6AD33CFC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B005CA" w14:textId="7B2FD1EA" w:rsidR="00CF4635" w:rsidRPr="008B415A" w:rsidRDefault="008B013B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Oron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4635"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 w:rsidR="006D64BC" w:rsidRPr="008B415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DB1F6E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517AFB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E7B59D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2F3E58" w14:textId="441E8D74" w:rsidR="00CF4635" w:rsidRPr="008B415A" w:rsidRDefault="008324BD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77AEE8" w14:textId="4F4D31EC" w:rsidR="00CF4635" w:rsidRPr="008B415A" w:rsidRDefault="001230B2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  <w:r w:rsidR="00270D68"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7DB45A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7CB1C6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BCB193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OLE_LINK4"/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  <w:bookmarkEnd w:id="2"/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F53A87" w14:textId="0C393273" w:rsidR="00CF4635" w:rsidRPr="008B415A" w:rsidRDefault="0090390E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8B415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A15CE7" w:rsidRPr="008B415A" w14:paraId="2E20444E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1AE50D" w14:textId="1977BE72" w:rsidR="00CF4635" w:rsidRPr="008B415A" w:rsidRDefault="008B013B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Liu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4635"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  <w:r w:rsidR="006D64BC" w:rsidRPr="008B415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D1C7D8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EC62B5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937BA7" w14:textId="773BA5E7" w:rsidR="00CF4635" w:rsidRPr="008B415A" w:rsidRDefault="00963927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FB9937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317F43" w14:textId="35AB4BC5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  <w:r w:rsidR="00270D68"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EC1498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DECA3B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01306B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AB63CB" w14:textId="09258E90" w:rsidR="00CF4635" w:rsidRPr="008B415A" w:rsidRDefault="00DB6D42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0390E" w:rsidRPr="008B415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A15CE7" w:rsidRPr="008B415A" w14:paraId="4C4ACEB5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E92AD8" w14:textId="4B2FD3EA" w:rsidR="00CF4635" w:rsidRPr="008B415A" w:rsidRDefault="008B013B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Huang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4635"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  <w:r w:rsidR="006D64BC" w:rsidRPr="008B415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1D7762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79DF6A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7CC62A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CB1F3D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7A22CD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★★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9602CB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F5E3F0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363EE3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1755FE" w14:textId="44A1E5D8" w:rsidR="00CF4635" w:rsidRPr="008B415A" w:rsidRDefault="00E8420A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A15CE7" w:rsidRPr="008B415A" w14:paraId="30C08A71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E8E2FF" w14:textId="49BB670B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Ribeiro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201</w:t>
            </w:r>
            <w:r w:rsidR="006D64BC" w:rsidRPr="008B415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594A65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87E4FA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680DF4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EC4040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69C5B2" w14:textId="07868948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  <w:r w:rsidR="00270D68"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D20D76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5B52DC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86D0D0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057E07" w14:textId="6A92FED5" w:rsidR="00CF4635" w:rsidRPr="008B415A" w:rsidRDefault="00DB6D42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="0090390E" w:rsidRPr="008B415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A15CE7" w:rsidRPr="008B415A" w14:paraId="616ABECA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8BD7DB" w14:textId="186BBA7C" w:rsidR="00CF4635" w:rsidRPr="008B415A" w:rsidRDefault="008B013B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Jing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4635"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="00CF4635" w:rsidRPr="008B415A"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  <w:r w:rsidR="006D64BC" w:rsidRPr="008B415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E4DF59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593DAA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9F5E8D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FB1F1C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E577D9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★★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339147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593BA4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51DD2A" w14:textId="77777777" w:rsidR="00CF4635" w:rsidRPr="008B415A" w:rsidRDefault="00CF4635" w:rsidP="00274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9E8540" w14:textId="77777777" w:rsidR="00CF4635" w:rsidRPr="008B415A" w:rsidRDefault="00CF4635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15CE7" w:rsidRPr="008B415A" w14:paraId="5D0462ED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53A0E1" w14:textId="54EDE160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Zhang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2019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4FE341" w14:textId="0FFF49CC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CE223D" w14:textId="4FBED380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0427BF" w14:textId="66C4BEC6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759CF6" w14:textId="24D793A3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134349" w14:textId="7D47A8A8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★★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093105" w14:textId="411E2A12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AA5D10" w14:textId="3D40C3E3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C11D42" w14:textId="78A7C303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8C3CC6" w14:textId="28F6F119" w:rsidR="00D51BC9" w:rsidRPr="008B415A" w:rsidRDefault="00D51BC9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A15CE7" w:rsidRPr="008B415A" w14:paraId="137D51F0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2643B7" w14:textId="14B91C7E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Moffat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2017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00B8BE" w14:textId="16F1C8CC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BC3521" w14:textId="249CCDE3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4F003D" w14:textId="63897407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C9086A" w14:textId="2D7D1C08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54A5D8" w14:textId="7DCA8ADE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★★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6B396B" w14:textId="18112C92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8691B8" w14:textId="00328309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90FD24" w14:textId="319A2886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4BF186" w14:textId="1BFBEE56" w:rsidR="00D51BC9" w:rsidRPr="008B415A" w:rsidRDefault="00D51BC9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A15CE7" w:rsidRPr="008B415A" w14:paraId="7891FA52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257173" w14:textId="3A81B28A" w:rsidR="005D6F19" w:rsidRPr="008B415A" w:rsidRDefault="00D51BC9" w:rsidP="005D6F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Rombauts</w:t>
            </w:r>
            <w:proofErr w:type="spellEnd"/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2014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7DF2CF" w14:textId="7718AE24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D8EB94" w14:textId="08DD95E4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D27AAF" w14:textId="37CBF437" w:rsidR="00D51BC9" w:rsidRPr="008B415A" w:rsidRDefault="00D51BC9" w:rsidP="00D51B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B97753" w14:textId="2664B826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23666B" w14:textId="2F251BE7" w:rsidR="00D51BC9" w:rsidRPr="008B415A" w:rsidRDefault="001A3AB7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1D0AB6" w14:textId="79C9CA1C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30BAE9" w14:textId="4D5B9CC4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7F71D6" w14:textId="4E99F5AD" w:rsidR="00D51BC9" w:rsidRPr="008B415A" w:rsidRDefault="00D51BC9" w:rsidP="00D51BC9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3ED585" w14:textId="3C655A16" w:rsidR="00D51BC9" w:rsidRPr="008B415A" w:rsidRDefault="001A3AB7" w:rsidP="00BB5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8B415A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f</w:t>
            </w:r>
          </w:p>
        </w:tc>
      </w:tr>
      <w:tr w:rsidR="00600A08" w:rsidRPr="008B415A" w14:paraId="01F2F34E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C5E6ED" w14:textId="3A49EA1A" w:rsidR="00600A08" w:rsidRPr="008B415A" w:rsidRDefault="00600A08" w:rsidP="00600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Hu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ang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38D4B6" w14:textId="6463DE46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450FF3" w14:textId="56CCE65C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81C234" w14:textId="3B09B491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04386E" w14:textId="1BF896AD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F5B165" w14:textId="12D02A5A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★★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A35CF0" w14:textId="455B7953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313695" w14:textId="614A382C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07D256" w14:textId="7759D3B6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1D0FC5" w14:textId="65106442" w:rsidR="00600A08" w:rsidRPr="008B415A" w:rsidRDefault="00600A08" w:rsidP="00600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8B415A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a</w:t>
            </w:r>
          </w:p>
        </w:tc>
      </w:tr>
      <w:tr w:rsidR="00600A08" w:rsidRPr="008B415A" w14:paraId="68C2DCBD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66365F" w14:textId="0C2D65C6" w:rsidR="00600A08" w:rsidRPr="008B415A" w:rsidRDefault="00600A08" w:rsidP="00600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Liu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2021a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40A777" w14:textId="665319E4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65489D" w14:textId="0DAE4532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9F7459" w14:textId="7E60F9B6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3F2E7C" w14:textId="2AB91F86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E70EB6" w14:textId="7D37B7BE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2C106A" w14:textId="0C6CBE54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7EAA77" w14:textId="42CE5F47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5E9016" w14:textId="676FE166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CA9BAC" w14:textId="2AFCAD6B" w:rsidR="00600A08" w:rsidRPr="008B415A" w:rsidRDefault="00600A08" w:rsidP="00600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="001A3AB7" w:rsidRPr="008B415A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g</w:t>
            </w:r>
          </w:p>
        </w:tc>
      </w:tr>
      <w:tr w:rsidR="00600A08" w:rsidRPr="008B415A" w14:paraId="1B68A940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F8C5C67" w14:textId="0C368367" w:rsidR="00600A08" w:rsidRPr="008B415A" w:rsidRDefault="00600A08" w:rsidP="00600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Zhang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2022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C1D4E0" w14:textId="1D152057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108027" w14:textId="71A1469C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11057F" w14:textId="6958AF8E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0CD537" w14:textId="1AFB25C2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5C9764" w14:textId="68F2B27F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28AD32" w14:textId="53B7B4BD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893726" w14:textId="499DA388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157A6F" w14:textId="3F976F53" w:rsidR="00600A08" w:rsidRPr="008B415A" w:rsidRDefault="00600A08" w:rsidP="00600A08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06AEB3" w14:textId="58BFC1CE" w:rsidR="00600A08" w:rsidRPr="008B415A" w:rsidRDefault="00600A08" w:rsidP="00600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="001A3AB7" w:rsidRPr="008B415A"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g</w:t>
            </w:r>
          </w:p>
        </w:tc>
      </w:tr>
      <w:tr w:rsidR="00D84BFF" w:rsidRPr="008B415A" w14:paraId="7D156748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5A10FB" w14:textId="69A6826F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Zheng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2022</w:t>
            </w:r>
          </w:p>
        </w:tc>
        <w:tc>
          <w:tcPr>
            <w:tcW w:w="22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4A557B" w14:textId="4E865B48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BE49E5" w14:textId="531EB865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25938F" w14:textId="0A53BEEB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9AA5BA" w14:textId="2FE4414B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D47CB3" w14:textId="5E863846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○○</w:t>
            </w:r>
          </w:p>
        </w:tc>
        <w:tc>
          <w:tcPr>
            <w:tcW w:w="13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C0DEB5" w14:textId="3AAE0DB2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2C8D02" w14:textId="4250341D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2A7BF7" w14:textId="6D1B2B9C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E27E56" w14:textId="1228C6C8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8B415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D84BFF" w:rsidRPr="008B415A" w14:paraId="18C878F4" w14:textId="77777777" w:rsidTr="00280100">
        <w:trPr>
          <w:trHeight w:hRule="exact" w:val="278"/>
          <w:jc w:val="center"/>
        </w:trPr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C1D0F85" w14:textId="43587DBE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He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2022</w:t>
            </w:r>
          </w:p>
        </w:tc>
        <w:tc>
          <w:tcPr>
            <w:tcW w:w="227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1E963D8" w14:textId="1368C368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1A81921" w14:textId="5C94DFEB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8D8E1A8" w14:textId="49CFF92A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3559545" w14:textId="62A9AE77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54C2421" w14:textId="533CB00D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★★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512B1F8" w14:textId="5A3AB285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94268D6" w14:textId="18DF8351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3BCA93E" w14:textId="51BD7C96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7B57EA6" w14:textId="6D616F3D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D84BFF" w:rsidRPr="008B415A" w14:paraId="673600CB" w14:textId="77777777" w:rsidTr="00280100">
        <w:trPr>
          <w:trHeight w:val="290"/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12259AB" w14:textId="77777777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DD6C5D2" w14:textId="76639AF4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Case definition</w:t>
            </w:r>
          </w:p>
        </w:tc>
        <w:tc>
          <w:tcPr>
            <w:tcW w:w="187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36FD4D2" w14:textId="62BF34B6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epresentativeness of the cases</w:t>
            </w:r>
          </w:p>
        </w:tc>
        <w:tc>
          <w:tcPr>
            <w:tcW w:w="136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444335D" w14:textId="6FDEE641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election of controls</w:t>
            </w:r>
          </w:p>
        </w:tc>
        <w:tc>
          <w:tcPr>
            <w:tcW w:w="1502" w:type="dxa"/>
            <w:gridSpan w:val="2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7733DAC" w14:textId="4E3CD17D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efinition of controls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3B119C84" w14:textId="0515157D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Comparability of cases and controls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DAE542A" w14:textId="36A158D8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Ascertainment of exposure</w:t>
            </w:r>
          </w:p>
        </w:tc>
        <w:tc>
          <w:tcPr>
            <w:tcW w:w="132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3DF8B6E" w14:textId="690DFF2B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ame method of ascertainment</w:t>
            </w:r>
          </w:p>
        </w:tc>
        <w:tc>
          <w:tcPr>
            <w:tcW w:w="123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1F4A8F9" w14:textId="6818AFE7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Non-response rate</w:t>
            </w:r>
          </w:p>
        </w:tc>
        <w:tc>
          <w:tcPr>
            <w:tcW w:w="66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202F9CD" w14:textId="38EE27DD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Total score</w:t>
            </w:r>
          </w:p>
        </w:tc>
      </w:tr>
      <w:tr w:rsidR="00D84BFF" w:rsidRPr="008B415A" w14:paraId="5F16F868" w14:textId="77777777" w:rsidTr="00280100">
        <w:trPr>
          <w:trHeight w:val="290"/>
          <w:jc w:val="center"/>
        </w:trPr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2AE59D00" w14:textId="5CD22CC1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Kaser</w:t>
            </w:r>
            <w:proofErr w:type="spellEnd"/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2015</w:t>
            </w:r>
          </w:p>
        </w:tc>
        <w:tc>
          <w:tcPr>
            <w:tcW w:w="2279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45C4D0A2" w14:textId="4F3654EA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2A84A335" w14:textId="72647836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3D75DF40" w14:textId="13649C57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6E028086" w14:textId="15CE7EAA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7109928E" w14:textId="14C0E8F7" w:rsidR="00D84BFF" w:rsidRPr="008B415A" w:rsidRDefault="001A3AB7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</w:t>
            </w:r>
          </w:p>
        </w:tc>
        <w:tc>
          <w:tcPr>
            <w:tcW w:w="1383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174857C9" w14:textId="375BAFE0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4D5C79C8" w14:textId="5376EB68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6FB8DD99" w14:textId="1431D61E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</w:tcPr>
          <w:p w14:paraId="221A1EA9" w14:textId="1DE096E1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D84BFF" w:rsidRPr="008B415A" w14:paraId="41C9AECD" w14:textId="77777777" w:rsidTr="00280100">
        <w:trPr>
          <w:trHeight w:val="290"/>
          <w:jc w:val="center"/>
        </w:trPr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CE91770" w14:textId="66DF417F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 xml:space="preserve">Chung </w:t>
            </w:r>
            <w:r w:rsidRPr="008B41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al.</w:t>
            </w: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, 2006</w:t>
            </w:r>
          </w:p>
        </w:tc>
        <w:tc>
          <w:tcPr>
            <w:tcW w:w="227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5351AC0" w14:textId="3A3924D9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8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150035B" w14:textId="3D477538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6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59D781A" w14:textId="7968BDC2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5154035" w14:textId="4244A234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50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B4D0506" w14:textId="5F810F5D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/>
                <w:sz w:val="20"/>
                <w:szCs w:val="20"/>
              </w:rPr>
              <w:t>○○</w:t>
            </w:r>
          </w:p>
        </w:tc>
        <w:tc>
          <w:tcPr>
            <w:tcW w:w="138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4C693DE" w14:textId="397ABAF3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327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1237994" w14:textId="3462D07F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123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8FBD2A6" w14:textId="4DE57845" w:rsidR="00D84BFF" w:rsidRPr="008B415A" w:rsidRDefault="00D84BFF" w:rsidP="00D84BFF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8B415A">
              <w:rPr>
                <w:rFonts w:ascii="Segoe UI Symbol" w:hAnsi="Segoe UI Symbol" w:cs="Segoe UI Symbol"/>
                <w:sz w:val="20"/>
                <w:szCs w:val="20"/>
              </w:rPr>
              <w:t>★</w:t>
            </w:r>
          </w:p>
        </w:tc>
        <w:tc>
          <w:tcPr>
            <w:tcW w:w="66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FCCE068" w14:textId="5C8F40ED" w:rsidR="00D84BFF" w:rsidRPr="008B415A" w:rsidRDefault="00D84BFF" w:rsidP="00D8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15A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8B415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</w:tbl>
    <w:p w14:paraId="49BD16C4" w14:textId="06CB8B01" w:rsidR="00CF4635" w:rsidRPr="008B415A" w:rsidRDefault="00CF4635" w:rsidP="00CF4635">
      <w:pPr>
        <w:jc w:val="left"/>
        <w:rPr>
          <w:rFonts w:ascii="Times New Roman" w:hAnsi="Times New Roman" w:cs="Times New Roman"/>
          <w:sz w:val="20"/>
          <w:szCs w:val="20"/>
        </w:rPr>
      </w:pPr>
      <w:r w:rsidRPr="008B415A">
        <w:rPr>
          <w:rFonts w:ascii="Segoe UI Symbol" w:hAnsi="Segoe UI Symbol" w:cs="Segoe UI Symbol"/>
          <w:sz w:val="20"/>
          <w:szCs w:val="20"/>
        </w:rPr>
        <w:t>★</w:t>
      </w:r>
      <w:r w:rsidRPr="008B415A">
        <w:rPr>
          <w:rFonts w:ascii="Times New Roman" w:hAnsi="Times New Roman" w:cs="Times New Roman"/>
          <w:sz w:val="20"/>
          <w:szCs w:val="20"/>
        </w:rPr>
        <w:t xml:space="preserve">, score = 1; ○, score = 0. </w:t>
      </w:r>
    </w:p>
    <w:p w14:paraId="49A057F1" w14:textId="40EEB648" w:rsidR="00517968" w:rsidRPr="008B415A" w:rsidRDefault="00517968" w:rsidP="00CF4635">
      <w:pPr>
        <w:jc w:val="left"/>
        <w:rPr>
          <w:rFonts w:ascii="Times New Roman" w:hAnsi="Times New Roman" w:cs="Times New Roman"/>
          <w:sz w:val="20"/>
          <w:szCs w:val="20"/>
        </w:rPr>
      </w:pPr>
      <w:r w:rsidRPr="008B415A">
        <w:rPr>
          <w:rFonts w:ascii="Times New Roman" w:hAnsi="Times New Roman" w:cs="Times New Roman" w:hint="eastAsia"/>
          <w:sz w:val="20"/>
          <w:szCs w:val="20"/>
          <w:vertAlign w:val="superscript"/>
        </w:rPr>
        <w:t>a</w:t>
      </w:r>
      <w:r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="0090390E" w:rsidRPr="008B415A">
        <w:rPr>
          <w:rFonts w:ascii="Times New Roman" w:hAnsi="Times New Roman" w:cs="Times New Roman"/>
          <w:sz w:val="20"/>
          <w:szCs w:val="20"/>
        </w:rPr>
        <w:t xml:space="preserve">Lost one score because the study did not clearly describe </w:t>
      </w:r>
      <w:r w:rsidR="0090390E" w:rsidRPr="008B415A">
        <w:rPr>
          <w:rFonts w:ascii="Times New Roman" w:hAnsi="Times New Roman" w:cs="Times New Roman" w:hint="eastAsia"/>
          <w:sz w:val="20"/>
          <w:szCs w:val="20"/>
        </w:rPr>
        <w:t>the</w:t>
      </w:r>
      <w:r w:rsidR="0090390E"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="0090390E" w:rsidRPr="008B415A">
        <w:rPr>
          <w:rFonts w:ascii="Times New Roman" w:hAnsi="Times New Roman" w:cs="Times New Roman" w:hint="eastAsia"/>
          <w:sz w:val="20"/>
          <w:szCs w:val="20"/>
        </w:rPr>
        <w:t>number</w:t>
      </w:r>
      <w:r w:rsidR="0090390E"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="0090390E" w:rsidRPr="008B415A">
        <w:rPr>
          <w:rFonts w:ascii="Times New Roman" w:hAnsi="Times New Roman" w:cs="Times New Roman" w:hint="eastAsia"/>
          <w:sz w:val="20"/>
          <w:szCs w:val="20"/>
        </w:rPr>
        <w:t>of</w:t>
      </w:r>
      <w:r w:rsidR="0090390E"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="0090390E" w:rsidRPr="008B415A">
        <w:rPr>
          <w:rFonts w:ascii="Times New Roman" w:hAnsi="Times New Roman" w:cs="Times New Roman" w:hint="eastAsia"/>
          <w:sz w:val="20"/>
          <w:szCs w:val="20"/>
        </w:rPr>
        <w:t>excluded</w:t>
      </w:r>
      <w:r w:rsidR="0090390E"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="0090390E" w:rsidRPr="008B415A">
        <w:rPr>
          <w:rFonts w:ascii="Times New Roman" w:hAnsi="Times New Roman" w:cs="Times New Roman" w:hint="eastAsia"/>
          <w:sz w:val="20"/>
          <w:szCs w:val="20"/>
        </w:rPr>
        <w:t>cases</w:t>
      </w:r>
      <w:r w:rsidR="0090390E" w:rsidRPr="008B415A">
        <w:rPr>
          <w:rFonts w:ascii="Times New Roman" w:hAnsi="Times New Roman" w:cs="Times New Roman"/>
          <w:sz w:val="20"/>
          <w:szCs w:val="20"/>
        </w:rPr>
        <w:t xml:space="preserve"> and the status of loss to follow-up.</w:t>
      </w:r>
    </w:p>
    <w:p w14:paraId="5FD86113" w14:textId="5F616F00" w:rsidR="006A453B" w:rsidRPr="008B415A" w:rsidRDefault="0090390E" w:rsidP="00CF4635">
      <w:pPr>
        <w:jc w:val="left"/>
        <w:rPr>
          <w:rFonts w:ascii="Times New Roman" w:hAnsi="Times New Roman" w:cs="Times New Roman"/>
          <w:sz w:val="20"/>
          <w:szCs w:val="20"/>
        </w:rPr>
      </w:pPr>
      <w:bookmarkStart w:id="3" w:name="_Hlk33523713"/>
      <w:r w:rsidRPr="008B415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6A453B" w:rsidRPr="008B415A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6A453B" w:rsidRPr="008B415A">
        <w:rPr>
          <w:rFonts w:ascii="Times New Roman" w:hAnsi="Times New Roman" w:cs="Times New Roman"/>
          <w:sz w:val="20"/>
          <w:szCs w:val="20"/>
        </w:rPr>
        <w:t xml:space="preserve">Lost two scores because </w:t>
      </w:r>
      <w:r w:rsidR="00517968" w:rsidRPr="008B415A">
        <w:rPr>
          <w:rFonts w:ascii="Times New Roman" w:hAnsi="Times New Roman" w:cs="Times New Roman"/>
          <w:sz w:val="20"/>
          <w:szCs w:val="20"/>
        </w:rPr>
        <w:t xml:space="preserve">1) </w:t>
      </w:r>
      <w:r w:rsidR="006A453B" w:rsidRPr="008B415A">
        <w:rPr>
          <w:rFonts w:ascii="Times New Roman" w:hAnsi="Times New Roman" w:cs="Times New Roman"/>
          <w:sz w:val="20"/>
          <w:szCs w:val="20"/>
        </w:rPr>
        <w:t xml:space="preserve">the study did not distinguish fresh </w:t>
      </w:r>
      <w:r w:rsidR="006A453B" w:rsidRPr="008B415A">
        <w:rPr>
          <w:rFonts w:ascii="Times New Roman" w:hAnsi="Times New Roman" w:cs="Times New Roman" w:hint="eastAsia"/>
          <w:sz w:val="20"/>
          <w:szCs w:val="20"/>
        </w:rPr>
        <w:t>and</w:t>
      </w:r>
      <w:r w:rsidR="006A453B" w:rsidRPr="008B415A">
        <w:rPr>
          <w:rFonts w:ascii="Times New Roman" w:hAnsi="Times New Roman" w:cs="Times New Roman"/>
          <w:sz w:val="20"/>
          <w:szCs w:val="20"/>
        </w:rPr>
        <w:t xml:space="preserve"> frozen-thawed embryo transfer cycle</w:t>
      </w:r>
      <w:r w:rsidR="00517968" w:rsidRPr="008B415A">
        <w:rPr>
          <w:rFonts w:ascii="Times New Roman" w:hAnsi="Times New Roman" w:cs="Times New Roman"/>
          <w:sz w:val="20"/>
          <w:szCs w:val="20"/>
        </w:rPr>
        <w:t xml:space="preserve">; 2) </w:t>
      </w:r>
      <w:r w:rsidRPr="008B415A">
        <w:rPr>
          <w:rFonts w:ascii="Times New Roman" w:hAnsi="Times New Roman" w:cs="Times New Roman"/>
          <w:sz w:val="20"/>
          <w:szCs w:val="20"/>
        </w:rPr>
        <w:t>Adequacy of follow-up not described.</w:t>
      </w:r>
    </w:p>
    <w:bookmarkEnd w:id="3"/>
    <w:p w14:paraId="55D3A603" w14:textId="3A760A32" w:rsidR="0090390E" w:rsidRPr="008B415A" w:rsidRDefault="0090390E" w:rsidP="00CF4635">
      <w:pPr>
        <w:jc w:val="left"/>
        <w:rPr>
          <w:rFonts w:ascii="Times New Roman" w:hAnsi="Times New Roman" w:cs="Times New Roman"/>
          <w:sz w:val="20"/>
          <w:szCs w:val="20"/>
        </w:rPr>
      </w:pPr>
      <w:r w:rsidRPr="008B415A">
        <w:rPr>
          <w:rFonts w:ascii="Times New Roman" w:hAnsi="Times New Roman" w:cs="Times New Roman"/>
          <w:sz w:val="20"/>
          <w:szCs w:val="20"/>
          <w:vertAlign w:val="superscript"/>
        </w:rPr>
        <w:t xml:space="preserve">c </w:t>
      </w:r>
      <w:r w:rsidRPr="008B415A">
        <w:rPr>
          <w:rFonts w:ascii="Times New Roman" w:hAnsi="Times New Roman" w:cs="Times New Roman"/>
          <w:sz w:val="20"/>
          <w:szCs w:val="20"/>
        </w:rPr>
        <w:t>Lost two scores because the maternal age of two groups was significant</w:t>
      </w:r>
      <w:r w:rsidR="005214A6" w:rsidRPr="008B415A">
        <w:rPr>
          <w:rFonts w:ascii="Times New Roman" w:hAnsi="Times New Roman" w:cs="Times New Roman"/>
          <w:sz w:val="20"/>
          <w:szCs w:val="20"/>
        </w:rPr>
        <w:t xml:space="preserve"> and did not calculate the adjusted odd ratio.</w:t>
      </w:r>
    </w:p>
    <w:p w14:paraId="559897E1" w14:textId="17B99639" w:rsidR="00E8420A" w:rsidRPr="008B415A" w:rsidRDefault="0090390E" w:rsidP="00CF4635">
      <w:pPr>
        <w:jc w:val="left"/>
        <w:rPr>
          <w:rFonts w:ascii="Times New Roman" w:hAnsi="Times New Roman" w:cs="Times New Roman"/>
          <w:sz w:val="20"/>
          <w:szCs w:val="20"/>
        </w:rPr>
      </w:pPr>
      <w:r w:rsidRPr="008B415A">
        <w:rPr>
          <w:rFonts w:ascii="Times New Roman" w:hAnsi="Times New Roman" w:cs="Times New Roman"/>
          <w:sz w:val="20"/>
          <w:szCs w:val="20"/>
          <w:vertAlign w:val="superscript"/>
        </w:rPr>
        <w:t xml:space="preserve">d </w:t>
      </w:r>
      <w:r w:rsidR="00E8420A" w:rsidRPr="008B415A">
        <w:rPr>
          <w:rFonts w:ascii="Times New Roman" w:hAnsi="Times New Roman" w:cs="Times New Roman"/>
          <w:sz w:val="20"/>
          <w:szCs w:val="20"/>
        </w:rPr>
        <w:t>Lost one score because the cause of infertility is significantly differen</w:t>
      </w:r>
      <w:r w:rsidR="00FC64A4" w:rsidRPr="008B415A">
        <w:rPr>
          <w:rFonts w:ascii="Times New Roman" w:hAnsi="Times New Roman" w:cs="Times New Roman"/>
          <w:sz w:val="20"/>
          <w:szCs w:val="20"/>
        </w:rPr>
        <w:t>t</w:t>
      </w:r>
      <w:r w:rsidR="00E8420A" w:rsidRPr="008B415A">
        <w:rPr>
          <w:rFonts w:ascii="Times New Roman" w:hAnsi="Times New Roman" w:cs="Times New Roman"/>
          <w:sz w:val="20"/>
          <w:szCs w:val="20"/>
        </w:rPr>
        <w:t>.</w:t>
      </w:r>
    </w:p>
    <w:p w14:paraId="4F3C1188" w14:textId="4F7ACEC8" w:rsidR="00963927" w:rsidRPr="008B415A" w:rsidRDefault="0090390E" w:rsidP="00CF4635">
      <w:pPr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8B415A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proofErr w:type="spellEnd"/>
      <w:r w:rsidRPr="008B415A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963927" w:rsidRPr="008B415A">
        <w:rPr>
          <w:rFonts w:ascii="Times New Roman" w:hAnsi="Times New Roman" w:cs="Times New Roman"/>
          <w:sz w:val="20"/>
          <w:szCs w:val="20"/>
        </w:rPr>
        <w:t>Lost one score because the study did not describe the age of the groups.</w:t>
      </w:r>
    </w:p>
    <w:p w14:paraId="355BAB6B" w14:textId="2508DA99" w:rsidR="001A3AB7" w:rsidRPr="008B415A" w:rsidRDefault="001A3AB7" w:rsidP="00CF4635">
      <w:pPr>
        <w:jc w:val="left"/>
        <w:rPr>
          <w:rFonts w:ascii="Times New Roman" w:hAnsi="Times New Roman" w:cs="Times New Roman"/>
          <w:sz w:val="20"/>
          <w:szCs w:val="20"/>
        </w:rPr>
      </w:pPr>
      <w:r w:rsidRPr="008B415A"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r w:rsidRPr="008B415A">
        <w:rPr>
          <w:rFonts w:ascii="Times New Roman" w:hAnsi="Times New Roman" w:cs="Times New Roman"/>
          <w:sz w:val="20"/>
          <w:szCs w:val="20"/>
        </w:rPr>
        <w:t xml:space="preserve"> L</w:t>
      </w:r>
      <w:r w:rsidRPr="008B415A">
        <w:rPr>
          <w:rFonts w:ascii="Times New Roman" w:hAnsi="Times New Roman" w:cs="Times New Roman" w:hint="eastAsia"/>
          <w:sz w:val="20"/>
          <w:szCs w:val="20"/>
        </w:rPr>
        <w:t>ost</w:t>
      </w:r>
      <w:r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Pr="008B415A">
        <w:rPr>
          <w:rFonts w:ascii="Times New Roman" w:hAnsi="Times New Roman" w:cs="Times New Roman" w:hint="eastAsia"/>
          <w:sz w:val="20"/>
          <w:szCs w:val="20"/>
        </w:rPr>
        <w:t>one</w:t>
      </w:r>
      <w:r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Pr="008B415A">
        <w:rPr>
          <w:rFonts w:ascii="Times New Roman" w:hAnsi="Times New Roman" w:cs="Times New Roman" w:hint="eastAsia"/>
          <w:sz w:val="20"/>
          <w:szCs w:val="20"/>
        </w:rPr>
        <w:t>score</w:t>
      </w:r>
      <w:r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Pr="008B415A">
        <w:rPr>
          <w:rFonts w:ascii="Times New Roman" w:hAnsi="Times New Roman" w:cs="Times New Roman" w:hint="eastAsia"/>
          <w:sz w:val="20"/>
          <w:szCs w:val="20"/>
        </w:rPr>
        <w:t>because</w:t>
      </w:r>
      <w:r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Pr="008B415A">
        <w:rPr>
          <w:rFonts w:ascii="Times New Roman" w:hAnsi="Times New Roman" w:cs="Times New Roman" w:hint="eastAsia"/>
          <w:sz w:val="20"/>
          <w:szCs w:val="20"/>
        </w:rPr>
        <w:t>the</w:t>
      </w:r>
      <w:r w:rsidRPr="008B415A">
        <w:rPr>
          <w:rFonts w:ascii="Times New Roman" w:hAnsi="Times New Roman" w:cs="Times New Roman"/>
          <w:sz w:val="20"/>
          <w:szCs w:val="20"/>
        </w:rPr>
        <w:t xml:space="preserve"> study did not distinguish fresh and frozen-thawed embryo transfer cycle.</w:t>
      </w:r>
    </w:p>
    <w:p w14:paraId="1CE753FF" w14:textId="269C3D98" w:rsidR="00600A08" w:rsidRDefault="001A3AB7" w:rsidP="00CF4635">
      <w:pPr>
        <w:jc w:val="left"/>
        <w:rPr>
          <w:rFonts w:ascii="Times New Roman" w:hAnsi="Times New Roman" w:cs="Times New Roman"/>
          <w:sz w:val="20"/>
          <w:szCs w:val="20"/>
        </w:rPr>
      </w:pPr>
      <w:r w:rsidRPr="008B415A">
        <w:rPr>
          <w:rFonts w:ascii="Times New Roman" w:hAnsi="Times New Roman" w:cs="Times New Roman"/>
          <w:sz w:val="20"/>
          <w:szCs w:val="20"/>
          <w:vertAlign w:val="superscript"/>
        </w:rPr>
        <w:t>g</w:t>
      </w:r>
      <w:r w:rsidR="00600A08" w:rsidRPr="008B415A">
        <w:rPr>
          <w:rFonts w:ascii="Times New Roman" w:hAnsi="Times New Roman" w:cs="Times New Roman"/>
          <w:sz w:val="20"/>
          <w:szCs w:val="20"/>
        </w:rPr>
        <w:t xml:space="preserve"> </w:t>
      </w:r>
      <w:bookmarkStart w:id="4" w:name="_GoBack"/>
      <w:r w:rsidR="00600A08" w:rsidRPr="008B415A">
        <w:rPr>
          <w:rFonts w:ascii="Times New Roman" w:hAnsi="Times New Roman" w:cs="Times New Roman"/>
          <w:sz w:val="20"/>
          <w:szCs w:val="20"/>
        </w:rPr>
        <w:t>Lost two scores because 1) the maternal age of two groups was significant</w:t>
      </w:r>
      <w:r w:rsidR="00C65DC4" w:rsidRPr="008B415A">
        <w:rPr>
          <w:rFonts w:ascii="Times New Roman" w:hAnsi="Times New Roman" w:cs="Times New Roman"/>
          <w:sz w:val="20"/>
          <w:szCs w:val="20"/>
        </w:rPr>
        <w:t>ly different</w:t>
      </w:r>
      <w:r w:rsidR="00600A08" w:rsidRPr="008B415A">
        <w:rPr>
          <w:rFonts w:ascii="Times New Roman" w:hAnsi="Times New Roman" w:cs="Times New Roman"/>
          <w:sz w:val="20"/>
          <w:szCs w:val="20"/>
        </w:rPr>
        <w:t>;</w:t>
      </w:r>
      <w:bookmarkEnd w:id="4"/>
      <w:r w:rsidR="00600A08" w:rsidRPr="008B415A">
        <w:rPr>
          <w:rFonts w:ascii="Times New Roman" w:hAnsi="Times New Roman" w:cs="Times New Roman"/>
          <w:sz w:val="20"/>
          <w:szCs w:val="20"/>
        </w:rPr>
        <w:t xml:space="preserve"> 2) the study did not clearly describe </w:t>
      </w:r>
      <w:r w:rsidR="00600A08" w:rsidRPr="008B415A">
        <w:rPr>
          <w:rFonts w:ascii="Times New Roman" w:hAnsi="Times New Roman" w:cs="Times New Roman" w:hint="eastAsia"/>
          <w:sz w:val="20"/>
          <w:szCs w:val="20"/>
        </w:rPr>
        <w:t>the</w:t>
      </w:r>
      <w:r w:rsidR="00600A08"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="00600A08" w:rsidRPr="008B415A">
        <w:rPr>
          <w:rFonts w:ascii="Times New Roman" w:hAnsi="Times New Roman" w:cs="Times New Roman" w:hint="eastAsia"/>
          <w:sz w:val="20"/>
          <w:szCs w:val="20"/>
        </w:rPr>
        <w:t>number</w:t>
      </w:r>
      <w:r w:rsidR="00600A08"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="00600A08" w:rsidRPr="008B415A">
        <w:rPr>
          <w:rFonts w:ascii="Times New Roman" w:hAnsi="Times New Roman" w:cs="Times New Roman" w:hint="eastAsia"/>
          <w:sz w:val="20"/>
          <w:szCs w:val="20"/>
        </w:rPr>
        <w:t>of</w:t>
      </w:r>
      <w:r w:rsidR="00600A08"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="00600A08" w:rsidRPr="008B415A">
        <w:rPr>
          <w:rFonts w:ascii="Times New Roman" w:hAnsi="Times New Roman" w:cs="Times New Roman" w:hint="eastAsia"/>
          <w:sz w:val="20"/>
          <w:szCs w:val="20"/>
        </w:rPr>
        <w:t>excluded</w:t>
      </w:r>
      <w:r w:rsidR="00600A08" w:rsidRPr="008B415A">
        <w:rPr>
          <w:rFonts w:ascii="Times New Roman" w:hAnsi="Times New Roman" w:cs="Times New Roman"/>
          <w:sz w:val="20"/>
          <w:szCs w:val="20"/>
        </w:rPr>
        <w:t xml:space="preserve"> </w:t>
      </w:r>
      <w:r w:rsidR="00600A08" w:rsidRPr="008B415A">
        <w:rPr>
          <w:rFonts w:ascii="Times New Roman" w:hAnsi="Times New Roman" w:cs="Times New Roman" w:hint="eastAsia"/>
          <w:sz w:val="20"/>
          <w:szCs w:val="20"/>
        </w:rPr>
        <w:t>cases</w:t>
      </w:r>
      <w:r w:rsidR="00600A08" w:rsidRPr="008B415A">
        <w:rPr>
          <w:rFonts w:ascii="Times New Roman" w:hAnsi="Times New Roman" w:cs="Times New Roman"/>
          <w:sz w:val="20"/>
          <w:szCs w:val="20"/>
        </w:rPr>
        <w:t xml:space="preserve"> and the status of loss to follow-up.</w:t>
      </w:r>
    </w:p>
    <w:p w14:paraId="08C3EF83" w14:textId="77777777" w:rsidR="00CF4635" w:rsidRPr="002C7166" w:rsidRDefault="00CF4635" w:rsidP="00CF4635">
      <w:pPr>
        <w:jc w:val="left"/>
        <w:rPr>
          <w:rFonts w:ascii="Times New Roman" w:hAnsi="Times New Roman" w:cs="Times New Roman"/>
          <w:sz w:val="20"/>
          <w:szCs w:val="20"/>
        </w:rPr>
      </w:pPr>
    </w:p>
    <w:sectPr w:rsidR="00CF4635" w:rsidRPr="002C7166" w:rsidSect="005B277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F5E926" w14:textId="77777777" w:rsidR="00F175C3" w:rsidRDefault="00F175C3" w:rsidP="00CF4635">
      <w:r>
        <w:separator/>
      </w:r>
    </w:p>
  </w:endnote>
  <w:endnote w:type="continuationSeparator" w:id="0">
    <w:p w14:paraId="51CBA795" w14:textId="77777777" w:rsidR="00F175C3" w:rsidRDefault="00F175C3" w:rsidP="00CF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771EF" w14:textId="77777777" w:rsidR="00F175C3" w:rsidRDefault="00F175C3" w:rsidP="00CF4635">
      <w:r>
        <w:separator/>
      </w:r>
    </w:p>
  </w:footnote>
  <w:footnote w:type="continuationSeparator" w:id="0">
    <w:p w14:paraId="1BFFEAA5" w14:textId="77777777" w:rsidR="00F175C3" w:rsidRDefault="00F175C3" w:rsidP="00CF46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AF"/>
    <w:rsid w:val="00032FAE"/>
    <w:rsid w:val="00045A81"/>
    <w:rsid w:val="00070298"/>
    <w:rsid w:val="00081278"/>
    <w:rsid w:val="000F1149"/>
    <w:rsid w:val="001014F1"/>
    <w:rsid w:val="001230B2"/>
    <w:rsid w:val="0012539E"/>
    <w:rsid w:val="001A3AB7"/>
    <w:rsid w:val="001E19AC"/>
    <w:rsid w:val="00202563"/>
    <w:rsid w:val="0022217F"/>
    <w:rsid w:val="0022596B"/>
    <w:rsid w:val="00270D68"/>
    <w:rsid w:val="00280100"/>
    <w:rsid w:val="00283265"/>
    <w:rsid w:val="002937A6"/>
    <w:rsid w:val="002946EA"/>
    <w:rsid w:val="002C7166"/>
    <w:rsid w:val="002E71AB"/>
    <w:rsid w:val="002F27E0"/>
    <w:rsid w:val="003061A8"/>
    <w:rsid w:val="00375A2D"/>
    <w:rsid w:val="003926F9"/>
    <w:rsid w:val="003A3D70"/>
    <w:rsid w:val="003C46FD"/>
    <w:rsid w:val="00412484"/>
    <w:rsid w:val="004B252E"/>
    <w:rsid w:val="004B3743"/>
    <w:rsid w:val="004B70BF"/>
    <w:rsid w:val="00512E44"/>
    <w:rsid w:val="00517968"/>
    <w:rsid w:val="005214A6"/>
    <w:rsid w:val="0055611F"/>
    <w:rsid w:val="00590ECA"/>
    <w:rsid w:val="005D6F19"/>
    <w:rsid w:val="005E1372"/>
    <w:rsid w:val="005E4D68"/>
    <w:rsid w:val="00600A08"/>
    <w:rsid w:val="00607D2A"/>
    <w:rsid w:val="00626CCE"/>
    <w:rsid w:val="006416C8"/>
    <w:rsid w:val="00662BEA"/>
    <w:rsid w:val="00672D6A"/>
    <w:rsid w:val="006826AF"/>
    <w:rsid w:val="006A453B"/>
    <w:rsid w:val="006D64BC"/>
    <w:rsid w:val="00703950"/>
    <w:rsid w:val="0070798D"/>
    <w:rsid w:val="0071331F"/>
    <w:rsid w:val="00726B4C"/>
    <w:rsid w:val="00750854"/>
    <w:rsid w:val="007917F3"/>
    <w:rsid w:val="00810A9F"/>
    <w:rsid w:val="008324BD"/>
    <w:rsid w:val="00887448"/>
    <w:rsid w:val="008A7C39"/>
    <w:rsid w:val="008B013B"/>
    <w:rsid w:val="008B085B"/>
    <w:rsid w:val="008B24FA"/>
    <w:rsid w:val="008B415A"/>
    <w:rsid w:val="0090390E"/>
    <w:rsid w:val="00903DF7"/>
    <w:rsid w:val="00963927"/>
    <w:rsid w:val="009A5F0F"/>
    <w:rsid w:val="009D29BF"/>
    <w:rsid w:val="009F366D"/>
    <w:rsid w:val="00A0730B"/>
    <w:rsid w:val="00A076D1"/>
    <w:rsid w:val="00A15CE7"/>
    <w:rsid w:val="00A319DB"/>
    <w:rsid w:val="00AD431E"/>
    <w:rsid w:val="00AE3515"/>
    <w:rsid w:val="00B3115B"/>
    <w:rsid w:val="00BA1040"/>
    <w:rsid w:val="00BA6AFD"/>
    <w:rsid w:val="00BA7F4E"/>
    <w:rsid w:val="00BB5854"/>
    <w:rsid w:val="00BC6206"/>
    <w:rsid w:val="00BE79EE"/>
    <w:rsid w:val="00BF1673"/>
    <w:rsid w:val="00C00B30"/>
    <w:rsid w:val="00C256D5"/>
    <w:rsid w:val="00C65DC4"/>
    <w:rsid w:val="00CC2221"/>
    <w:rsid w:val="00CD7110"/>
    <w:rsid w:val="00CF4635"/>
    <w:rsid w:val="00D118B2"/>
    <w:rsid w:val="00D11A37"/>
    <w:rsid w:val="00D51BC9"/>
    <w:rsid w:val="00D631EF"/>
    <w:rsid w:val="00D72BDE"/>
    <w:rsid w:val="00D84BFF"/>
    <w:rsid w:val="00D97EA9"/>
    <w:rsid w:val="00DA2D65"/>
    <w:rsid w:val="00DB3C73"/>
    <w:rsid w:val="00DB6D42"/>
    <w:rsid w:val="00DD3714"/>
    <w:rsid w:val="00DE167B"/>
    <w:rsid w:val="00DE72E5"/>
    <w:rsid w:val="00E40E2B"/>
    <w:rsid w:val="00E675D0"/>
    <w:rsid w:val="00E7625A"/>
    <w:rsid w:val="00E8420A"/>
    <w:rsid w:val="00E93C5A"/>
    <w:rsid w:val="00EA260F"/>
    <w:rsid w:val="00ED0ACA"/>
    <w:rsid w:val="00F175C3"/>
    <w:rsid w:val="00F2429B"/>
    <w:rsid w:val="00F57FAD"/>
    <w:rsid w:val="00F6630E"/>
    <w:rsid w:val="00F95E51"/>
    <w:rsid w:val="00FC64A4"/>
    <w:rsid w:val="00FD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0A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63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basedOn w:val="Normal"/>
    <w:next w:val="Normal"/>
    <w:qFormat/>
    <w:rsid w:val="00BE79EE"/>
    <w:pPr>
      <w:widowControl/>
      <w:adjustRightInd w:val="0"/>
      <w:snapToGrid w:val="0"/>
      <w:spacing w:before="240"/>
      <w:jc w:val="left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BE79EE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basedOn w:val="Normal"/>
    <w:next w:val="Normal"/>
    <w:qFormat/>
    <w:rsid w:val="00BE79EE"/>
    <w:pPr>
      <w:widowControl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BE79EE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Normal"/>
    <w:qFormat/>
    <w:rsid w:val="00BE79EE"/>
    <w:pPr>
      <w:widowControl/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qFormat/>
    <w:rsid w:val="00BE79EE"/>
    <w:pPr>
      <w:widowControl/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qFormat/>
    <w:rsid w:val="00BE79EE"/>
    <w:pPr>
      <w:widowControl/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color w:val="000000"/>
      <w:kern w:val="0"/>
      <w:sz w:val="20"/>
      <w:szCs w:val="24"/>
      <w:lang w:eastAsia="de-DE" w:bidi="en-US"/>
    </w:rPr>
  </w:style>
  <w:style w:type="paragraph" w:customStyle="1" w:styleId="MDPI21heading1">
    <w:name w:val="MDPI_2.1_heading1"/>
    <w:basedOn w:val="Normal"/>
    <w:qFormat/>
    <w:rsid w:val="00BE79EE"/>
    <w:pPr>
      <w:widowControl/>
      <w:adjustRightInd w:val="0"/>
      <w:snapToGrid w:val="0"/>
      <w:spacing w:before="240" w:after="120" w:line="260" w:lineRule="atLeast"/>
      <w:jc w:val="left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eastAsia="de-DE" w:bidi="en-US"/>
    </w:rPr>
  </w:style>
  <w:style w:type="paragraph" w:customStyle="1" w:styleId="MDPI22heading2">
    <w:name w:val="MDPI_2.2_heading2"/>
    <w:basedOn w:val="Normal"/>
    <w:qFormat/>
    <w:rsid w:val="00BE79EE"/>
    <w:pPr>
      <w:widowControl/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lang w:eastAsia="de-DE" w:bidi="en-US"/>
    </w:rPr>
  </w:style>
  <w:style w:type="paragraph" w:customStyle="1" w:styleId="MDPI23heading3">
    <w:name w:val="MDPI_2.3_heading3"/>
    <w:basedOn w:val="Normal"/>
    <w:qFormat/>
    <w:rsid w:val="00BE79EE"/>
    <w:pPr>
      <w:widowControl/>
      <w:adjustRightInd w:val="0"/>
      <w:snapToGrid w:val="0"/>
      <w:spacing w:before="240" w:after="120" w:line="260" w:lineRule="atLeast"/>
      <w:jc w:val="left"/>
      <w:outlineLvl w:val="2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1text">
    <w:name w:val="MDPI_3.1_text"/>
    <w:qFormat/>
    <w:rsid w:val="00BE79EE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BE79EE"/>
    <w:pPr>
      <w:ind w:firstLine="0"/>
    </w:pPr>
  </w:style>
  <w:style w:type="paragraph" w:customStyle="1" w:styleId="MDPI33textspaceafter">
    <w:name w:val="MDPI_3.3_text_space_after"/>
    <w:basedOn w:val="MDPI31text"/>
    <w:qFormat/>
    <w:rsid w:val="00BE79EE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BE79EE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BE79EE"/>
    <w:pPr>
      <w:spacing w:after="120"/>
    </w:pPr>
  </w:style>
  <w:style w:type="paragraph" w:customStyle="1" w:styleId="MDPI36textafterlist">
    <w:name w:val="MDPI_3.6_text_after_list"/>
    <w:basedOn w:val="MDPI31text"/>
    <w:qFormat/>
    <w:rsid w:val="00BE79EE"/>
    <w:pPr>
      <w:spacing w:before="120"/>
    </w:pPr>
  </w:style>
  <w:style w:type="paragraph" w:customStyle="1" w:styleId="MDPI37itemize">
    <w:name w:val="MDPI_3.7_itemize"/>
    <w:basedOn w:val="MDPI31text"/>
    <w:qFormat/>
    <w:rsid w:val="00BE79EE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BE79EE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BE79EE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BE79EE"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Normal"/>
    <w:qFormat/>
    <w:rsid w:val="00BE79EE"/>
    <w:pPr>
      <w:widowControl/>
      <w:adjustRightInd w:val="0"/>
      <w:snapToGrid w:val="0"/>
      <w:spacing w:before="240" w:after="12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BE79EE"/>
    <w:pPr>
      <w:adjustRightInd w:val="0"/>
      <w:snapToGrid w:val="0"/>
      <w:jc w:val="center"/>
    </w:pPr>
    <w:rPr>
      <w:rFonts w:ascii="Palatino Linotype" w:eastAsia="SimSun" w:hAnsi="Palatino Linotype" w:cs="Times New Roman"/>
      <w:color w:val="000000"/>
      <w:kern w:val="0"/>
      <w:sz w:val="20"/>
      <w:szCs w:val="2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 Light" w:hAnsi="Calibri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2tablebody">
    <w:name w:val="MDPI_4.2_table_body"/>
    <w:qFormat/>
    <w:rsid w:val="00BE79EE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BE79EE"/>
    <w:pPr>
      <w:spacing w:before="0"/>
      <w:ind w:left="0" w:right="0"/>
    </w:pPr>
  </w:style>
  <w:style w:type="paragraph" w:customStyle="1" w:styleId="MDPI51figurecaption">
    <w:name w:val="MDPI_5.1_figure_caption"/>
    <w:basedOn w:val="Normal"/>
    <w:qFormat/>
    <w:rsid w:val="00BE79EE"/>
    <w:pPr>
      <w:widowControl/>
      <w:adjustRightInd w:val="0"/>
      <w:snapToGrid w:val="0"/>
      <w:spacing w:before="120" w:after="24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BE79EE"/>
    <w:pPr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4"/>
      <w:szCs w:val="20"/>
      <w:lang w:eastAsia="de-DE" w:bidi="en-US"/>
    </w:rPr>
  </w:style>
  <w:style w:type="paragraph" w:customStyle="1" w:styleId="MDPI61Supplementary">
    <w:name w:val="MDPI_6.1_Supplementary"/>
    <w:basedOn w:val="Normal"/>
    <w:qFormat/>
    <w:rsid w:val="00BE79EE"/>
    <w:pPr>
      <w:widowControl/>
      <w:adjustRightInd w:val="0"/>
      <w:snapToGrid w:val="0"/>
      <w:spacing w:before="240" w:line="20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</w:rPr>
  </w:style>
  <w:style w:type="paragraph" w:customStyle="1" w:styleId="MDPI62Acknowledgments">
    <w:name w:val="MDPI_6.2_Acknowledgments"/>
    <w:qFormat/>
    <w:rsid w:val="00BE79EE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paragraph" w:customStyle="1" w:styleId="MDPI63AuthorContributions">
    <w:name w:val="MDPI_6.3_AuthorContributions"/>
    <w:basedOn w:val="MDPI62Acknowledgments"/>
    <w:qFormat/>
    <w:rsid w:val="00BE79EE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BE79EE"/>
  </w:style>
  <w:style w:type="paragraph" w:customStyle="1" w:styleId="MDPI71References">
    <w:name w:val="MDPI_7.1_References"/>
    <w:basedOn w:val="MDPI62Acknowledgments"/>
    <w:qFormat/>
    <w:rsid w:val="00BE79EE"/>
    <w:pPr>
      <w:numPr>
        <w:numId w:val="3"/>
      </w:numPr>
      <w:spacing w:before="0" w:line="260" w:lineRule="atLeast"/>
      <w:ind w:left="425" w:hanging="425"/>
    </w:pPr>
  </w:style>
  <w:style w:type="paragraph" w:customStyle="1" w:styleId="MDPI81theorem">
    <w:name w:val="MDPI_8.1_theorem"/>
    <w:basedOn w:val="MDPI32textnoindent"/>
    <w:qFormat/>
    <w:rsid w:val="00BE79EE"/>
    <w:rPr>
      <w:i/>
    </w:rPr>
  </w:style>
  <w:style w:type="paragraph" w:customStyle="1" w:styleId="MDPI82proof">
    <w:name w:val="MDPI_8.2_proof"/>
    <w:basedOn w:val="MDPI32textnoindent"/>
    <w:qFormat/>
    <w:rsid w:val="00BE79EE"/>
  </w:style>
  <w:style w:type="paragraph" w:customStyle="1" w:styleId="MDPIfooterfirstpage">
    <w:name w:val="MDPI_footer_firstpage"/>
    <w:basedOn w:val="Normal"/>
    <w:qFormat/>
    <w:rsid w:val="00BE79EE"/>
    <w:pPr>
      <w:widowControl/>
      <w:tabs>
        <w:tab w:val="right" w:pos="8845"/>
      </w:tabs>
      <w:adjustRightInd w:val="0"/>
      <w:snapToGrid w:val="0"/>
      <w:spacing w:before="120" w:line="160" w:lineRule="exact"/>
      <w:jc w:val="left"/>
    </w:pPr>
    <w:rPr>
      <w:rFonts w:ascii="Palatino Linotype" w:eastAsia="Times New Roman" w:hAnsi="Palatino Linotype" w:cs="Times New Roman"/>
      <w:kern w:val="0"/>
      <w:sz w:val="16"/>
      <w:szCs w:val="20"/>
      <w:lang w:eastAsia="de-DE"/>
    </w:rPr>
  </w:style>
  <w:style w:type="paragraph" w:customStyle="1" w:styleId="MDPIheaderjournallogo">
    <w:name w:val="MDPI_header_journal_logo"/>
    <w:qFormat/>
    <w:rsid w:val="00BE79EE"/>
    <w:pPr>
      <w:adjustRightInd w:val="0"/>
      <w:snapToGrid w:val="0"/>
    </w:pPr>
    <w:rPr>
      <w:rFonts w:ascii="Palatino Linotype" w:eastAsia="Times New Roman" w:hAnsi="Palatino Linotype" w:cs="Times New Roman"/>
      <w:i/>
      <w:color w:val="000000"/>
      <w:kern w:val="0"/>
      <w:sz w:val="24"/>
      <w:lang w:eastAsia="de-CH"/>
    </w:rPr>
  </w:style>
  <w:style w:type="paragraph" w:styleId="Header">
    <w:name w:val="header"/>
    <w:basedOn w:val="Normal"/>
    <w:link w:val="HeaderChar"/>
    <w:uiPriority w:val="99"/>
    <w:unhideWhenUsed/>
    <w:rsid w:val="00CF46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F463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F46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F4635"/>
    <w:rPr>
      <w:sz w:val="18"/>
      <w:szCs w:val="18"/>
    </w:rPr>
  </w:style>
  <w:style w:type="table" w:styleId="TableGrid">
    <w:name w:val="Table Grid"/>
    <w:basedOn w:val="TableNormal"/>
    <w:uiPriority w:val="39"/>
    <w:rsid w:val="00CF4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E71AB"/>
  </w:style>
  <w:style w:type="paragraph" w:styleId="BalloonText">
    <w:name w:val="Balloon Text"/>
    <w:basedOn w:val="Normal"/>
    <w:link w:val="BalloonTextChar"/>
    <w:uiPriority w:val="99"/>
    <w:semiHidden/>
    <w:unhideWhenUsed/>
    <w:rsid w:val="005E137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37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1796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796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796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9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9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63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basedOn w:val="Normal"/>
    <w:next w:val="Normal"/>
    <w:qFormat/>
    <w:rsid w:val="00BE79EE"/>
    <w:pPr>
      <w:widowControl/>
      <w:adjustRightInd w:val="0"/>
      <w:snapToGrid w:val="0"/>
      <w:spacing w:before="240"/>
      <w:jc w:val="left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BE79EE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basedOn w:val="Normal"/>
    <w:next w:val="Normal"/>
    <w:qFormat/>
    <w:rsid w:val="00BE79EE"/>
    <w:pPr>
      <w:widowControl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BE79EE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Normal"/>
    <w:qFormat/>
    <w:rsid w:val="00BE79EE"/>
    <w:pPr>
      <w:widowControl/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qFormat/>
    <w:rsid w:val="00BE79EE"/>
    <w:pPr>
      <w:widowControl/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qFormat/>
    <w:rsid w:val="00BE79EE"/>
    <w:pPr>
      <w:widowControl/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color w:val="000000"/>
      <w:kern w:val="0"/>
      <w:sz w:val="20"/>
      <w:szCs w:val="24"/>
      <w:lang w:eastAsia="de-DE" w:bidi="en-US"/>
    </w:rPr>
  </w:style>
  <w:style w:type="paragraph" w:customStyle="1" w:styleId="MDPI21heading1">
    <w:name w:val="MDPI_2.1_heading1"/>
    <w:basedOn w:val="Normal"/>
    <w:qFormat/>
    <w:rsid w:val="00BE79EE"/>
    <w:pPr>
      <w:widowControl/>
      <w:adjustRightInd w:val="0"/>
      <w:snapToGrid w:val="0"/>
      <w:spacing w:before="240" w:after="120" w:line="260" w:lineRule="atLeast"/>
      <w:jc w:val="left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eastAsia="de-DE" w:bidi="en-US"/>
    </w:rPr>
  </w:style>
  <w:style w:type="paragraph" w:customStyle="1" w:styleId="MDPI22heading2">
    <w:name w:val="MDPI_2.2_heading2"/>
    <w:basedOn w:val="Normal"/>
    <w:qFormat/>
    <w:rsid w:val="00BE79EE"/>
    <w:pPr>
      <w:widowControl/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lang w:eastAsia="de-DE" w:bidi="en-US"/>
    </w:rPr>
  </w:style>
  <w:style w:type="paragraph" w:customStyle="1" w:styleId="MDPI23heading3">
    <w:name w:val="MDPI_2.3_heading3"/>
    <w:basedOn w:val="Normal"/>
    <w:qFormat/>
    <w:rsid w:val="00BE79EE"/>
    <w:pPr>
      <w:widowControl/>
      <w:adjustRightInd w:val="0"/>
      <w:snapToGrid w:val="0"/>
      <w:spacing w:before="240" w:after="120" w:line="260" w:lineRule="atLeast"/>
      <w:jc w:val="left"/>
      <w:outlineLvl w:val="2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1text">
    <w:name w:val="MDPI_3.1_text"/>
    <w:qFormat/>
    <w:rsid w:val="00BE79EE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BE79EE"/>
    <w:pPr>
      <w:ind w:firstLine="0"/>
    </w:pPr>
  </w:style>
  <w:style w:type="paragraph" w:customStyle="1" w:styleId="MDPI33textspaceafter">
    <w:name w:val="MDPI_3.3_text_space_after"/>
    <w:basedOn w:val="MDPI31text"/>
    <w:qFormat/>
    <w:rsid w:val="00BE79EE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BE79EE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BE79EE"/>
    <w:pPr>
      <w:spacing w:after="120"/>
    </w:pPr>
  </w:style>
  <w:style w:type="paragraph" w:customStyle="1" w:styleId="MDPI36textafterlist">
    <w:name w:val="MDPI_3.6_text_after_list"/>
    <w:basedOn w:val="MDPI31text"/>
    <w:qFormat/>
    <w:rsid w:val="00BE79EE"/>
    <w:pPr>
      <w:spacing w:before="120"/>
    </w:pPr>
  </w:style>
  <w:style w:type="paragraph" w:customStyle="1" w:styleId="MDPI37itemize">
    <w:name w:val="MDPI_3.7_itemize"/>
    <w:basedOn w:val="MDPI31text"/>
    <w:qFormat/>
    <w:rsid w:val="00BE79EE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BE79EE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BE79EE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BE79EE"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Normal"/>
    <w:qFormat/>
    <w:rsid w:val="00BE79EE"/>
    <w:pPr>
      <w:widowControl/>
      <w:adjustRightInd w:val="0"/>
      <w:snapToGrid w:val="0"/>
      <w:spacing w:before="240" w:after="12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BE79EE"/>
    <w:pPr>
      <w:adjustRightInd w:val="0"/>
      <w:snapToGrid w:val="0"/>
      <w:jc w:val="center"/>
    </w:pPr>
    <w:rPr>
      <w:rFonts w:ascii="Palatino Linotype" w:eastAsia="SimSun" w:hAnsi="Palatino Linotype" w:cs="Times New Roman"/>
      <w:color w:val="000000"/>
      <w:kern w:val="0"/>
      <w:sz w:val="20"/>
      <w:szCs w:val="2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 Light" w:hAnsi="Calibri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2tablebody">
    <w:name w:val="MDPI_4.2_table_body"/>
    <w:qFormat/>
    <w:rsid w:val="00BE79EE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BE79EE"/>
    <w:pPr>
      <w:spacing w:before="0"/>
      <w:ind w:left="0" w:right="0"/>
    </w:pPr>
  </w:style>
  <w:style w:type="paragraph" w:customStyle="1" w:styleId="MDPI51figurecaption">
    <w:name w:val="MDPI_5.1_figure_caption"/>
    <w:basedOn w:val="Normal"/>
    <w:qFormat/>
    <w:rsid w:val="00BE79EE"/>
    <w:pPr>
      <w:widowControl/>
      <w:adjustRightInd w:val="0"/>
      <w:snapToGrid w:val="0"/>
      <w:spacing w:before="120" w:after="24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BE79EE"/>
    <w:pPr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4"/>
      <w:szCs w:val="20"/>
      <w:lang w:eastAsia="de-DE" w:bidi="en-US"/>
    </w:rPr>
  </w:style>
  <w:style w:type="paragraph" w:customStyle="1" w:styleId="MDPI61Supplementary">
    <w:name w:val="MDPI_6.1_Supplementary"/>
    <w:basedOn w:val="Normal"/>
    <w:qFormat/>
    <w:rsid w:val="00BE79EE"/>
    <w:pPr>
      <w:widowControl/>
      <w:adjustRightInd w:val="0"/>
      <w:snapToGrid w:val="0"/>
      <w:spacing w:before="240" w:line="20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</w:rPr>
  </w:style>
  <w:style w:type="paragraph" w:customStyle="1" w:styleId="MDPI62Acknowledgments">
    <w:name w:val="MDPI_6.2_Acknowledgments"/>
    <w:qFormat/>
    <w:rsid w:val="00BE79EE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paragraph" w:customStyle="1" w:styleId="MDPI63AuthorContributions">
    <w:name w:val="MDPI_6.3_AuthorContributions"/>
    <w:basedOn w:val="MDPI62Acknowledgments"/>
    <w:qFormat/>
    <w:rsid w:val="00BE79EE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BE79EE"/>
  </w:style>
  <w:style w:type="paragraph" w:customStyle="1" w:styleId="MDPI71References">
    <w:name w:val="MDPI_7.1_References"/>
    <w:basedOn w:val="MDPI62Acknowledgments"/>
    <w:qFormat/>
    <w:rsid w:val="00BE79EE"/>
    <w:pPr>
      <w:numPr>
        <w:numId w:val="3"/>
      </w:numPr>
      <w:spacing w:before="0" w:line="260" w:lineRule="atLeast"/>
      <w:ind w:left="425" w:hanging="425"/>
    </w:pPr>
  </w:style>
  <w:style w:type="paragraph" w:customStyle="1" w:styleId="MDPI81theorem">
    <w:name w:val="MDPI_8.1_theorem"/>
    <w:basedOn w:val="MDPI32textnoindent"/>
    <w:qFormat/>
    <w:rsid w:val="00BE79EE"/>
    <w:rPr>
      <w:i/>
    </w:rPr>
  </w:style>
  <w:style w:type="paragraph" w:customStyle="1" w:styleId="MDPI82proof">
    <w:name w:val="MDPI_8.2_proof"/>
    <w:basedOn w:val="MDPI32textnoindent"/>
    <w:qFormat/>
    <w:rsid w:val="00BE79EE"/>
  </w:style>
  <w:style w:type="paragraph" w:customStyle="1" w:styleId="MDPIfooterfirstpage">
    <w:name w:val="MDPI_footer_firstpage"/>
    <w:basedOn w:val="Normal"/>
    <w:qFormat/>
    <w:rsid w:val="00BE79EE"/>
    <w:pPr>
      <w:widowControl/>
      <w:tabs>
        <w:tab w:val="right" w:pos="8845"/>
      </w:tabs>
      <w:adjustRightInd w:val="0"/>
      <w:snapToGrid w:val="0"/>
      <w:spacing w:before="120" w:line="160" w:lineRule="exact"/>
      <w:jc w:val="left"/>
    </w:pPr>
    <w:rPr>
      <w:rFonts w:ascii="Palatino Linotype" w:eastAsia="Times New Roman" w:hAnsi="Palatino Linotype" w:cs="Times New Roman"/>
      <w:kern w:val="0"/>
      <w:sz w:val="16"/>
      <w:szCs w:val="20"/>
      <w:lang w:eastAsia="de-DE"/>
    </w:rPr>
  </w:style>
  <w:style w:type="paragraph" w:customStyle="1" w:styleId="MDPIheaderjournallogo">
    <w:name w:val="MDPI_header_journal_logo"/>
    <w:qFormat/>
    <w:rsid w:val="00BE79EE"/>
    <w:pPr>
      <w:adjustRightInd w:val="0"/>
      <w:snapToGrid w:val="0"/>
    </w:pPr>
    <w:rPr>
      <w:rFonts w:ascii="Palatino Linotype" w:eastAsia="Times New Roman" w:hAnsi="Palatino Linotype" w:cs="Times New Roman"/>
      <w:i/>
      <w:color w:val="000000"/>
      <w:kern w:val="0"/>
      <w:sz w:val="24"/>
      <w:lang w:eastAsia="de-CH"/>
    </w:rPr>
  </w:style>
  <w:style w:type="paragraph" w:styleId="Header">
    <w:name w:val="header"/>
    <w:basedOn w:val="Normal"/>
    <w:link w:val="HeaderChar"/>
    <w:uiPriority w:val="99"/>
    <w:unhideWhenUsed/>
    <w:rsid w:val="00CF46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F463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F46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F4635"/>
    <w:rPr>
      <w:sz w:val="18"/>
      <w:szCs w:val="18"/>
    </w:rPr>
  </w:style>
  <w:style w:type="table" w:styleId="TableGrid">
    <w:name w:val="Table Grid"/>
    <w:basedOn w:val="TableNormal"/>
    <w:uiPriority w:val="39"/>
    <w:rsid w:val="00CF4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E71AB"/>
  </w:style>
  <w:style w:type="paragraph" w:styleId="BalloonText">
    <w:name w:val="Balloon Text"/>
    <w:basedOn w:val="Normal"/>
    <w:link w:val="BalloonTextChar"/>
    <w:uiPriority w:val="99"/>
    <w:semiHidden/>
    <w:unhideWhenUsed/>
    <w:rsid w:val="005E137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37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17968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796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796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9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75668-EE99-42F3-AFCD-C8B949F01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Jialyu</dc:creator>
  <cp:keywords/>
  <dc:description/>
  <cp:lastModifiedBy>Meriam Beragsang Bacla-an</cp:lastModifiedBy>
  <cp:revision>3</cp:revision>
  <dcterms:created xsi:type="dcterms:W3CDTF">2023-05-04T15:29:00Z</dcterms:created>
  <dcterms:modified xsi:type="dcterms:W3CDTF">2023-06-10T00:09:00Z</dcterms:modified>
</cp:coreProperties>
</file>