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3E652">
      <w:pPr>
        <w:rPr>
          <w:b/>
          <w:sz w:val="28"/>
        </w:rPr>
      </w:pPr>
      <w:r>
        <w:rPr>
          <w:b/>
          <w:sz w:val="28"/>
        </w:rPr>
        <w:t>eMethods</w:t>
      </w:r>
    </w:p>
    <w:p w14:paraId="1BC09E4F">
      <w:pPr>
        <w:spacing w:line="480" w:lineRule="auto"/>
        <w:rPr>
          <w:rFonts w:cstheme="minorHAnsi"/>
          <w:b/>
          <w:sz w:val="24"/>
        </w:rPr>
      </w:pPr>
      <w:r>
        <w:rPr>
          <w:rFonts w:cstheme="minorHAnsi"/>
          <w:b/>
          <w:sz w:val="24"/>
        </w:rPr>
        <w:t>1. PubMed search：</w:t>
      </w:r>
    </w:p>
    <w:p w14:paraId="50B60743">
      <w:r>
        <w:t>(("PCOS" OR "Ovary Syndrome, Polycystic" OR "Syndrome, Polycystic Ovary" OR "Stein-Leventhal Syndrome" OR "Stein Leventhal Syndrome" OR "Syndrome, Stein-Leventhal" OR "Sclerocystic Ovarian Degeneration" OR "Ovarian Degeneration, Sclerocystic" OR "Sclerocystic Ovary Syndrome" OR "Polycystic Ovarian Syndrome" OR "Ovarian Syndrome, Polycystic" OR "Polycystic Ovary Syndrome 1" OR "Sclerocystic Ovaries" OR "Ovary, Sclerocystic" OR "Sclerocystic Ovary") OR "Polycystic Ovary Syndrome"[Mesh]) AND ("GnRH agonists" OR "GnRH agonist" OR "gonadotrophin-releasing hormone agonist" OR "GnRH-a" OR "GnRHa" OR "</w:t>
      </w:r>
      <w:bookmarkStart w:id="0" w:name="OLE_LINK3"/>
      <w:r>
        <w:t>gonadotrophin-releasing hormone agonists</w:t>
      </w:r>
      <w:bookmarkEnd w:id="0"/>
      <w:r>
        <w:t>") AND ((("Embryo Transfers" OR "Transfer, Embryo" OR "Transfers, Embryo" OR "Blastocyst Transfer") OR "Embryo Transfer"[Mesh]) AND (“frozen-thawed” OR “frozen” OR "vitrifi*" OR "freez*" OR "Cryopreserv*"))</w:t>
      </w:r>
    </w:p>
    <w:p w14:paraId="7AD53F91">
      <w:pPr>
        <w:spacing w:line="480" w:lineRule="auto"/>
        <w:rPr>
          <w:rFonts w:cstheme="minorHAnsi"/>
          <w:b/>
          <w:sz w:val="24"/>
        </w:rPr>
      </w:pPr>
      <w:r>
        <w:rPr>
          <w:rFonts w:cstheme="minorHAnsi"/>
          <w:b/>
          <w:sz w:val="24"/>
        </w:rPr>
        <w:t>2. Embase search：</w:t>
      </w:r>
    </w:p>
    <w:p w14:paraId="177EA4A4">
      <w:r>
        <w:t>'ovary polycystic disease'/exp AND 'frozen embryo transfer'/exp AND 'gonadorelin agonist'/exp</w:t>
      </w:r>
    </w:p>
    <w:p w14:paraId="3C610155">
      <w:pPr>
        <w:spacing w:line="480" w:lineRule="auto"/>
        <w:rPr>
          <w:rFonts w:cstheme="minorHAnsi"/>
          <w:b/>
          <w:sz w:val="24"/>
        </w:rPr>
      </w:pPr>
      <w:r>
        <w:rPr>
          <w:rFonts w:cstheme="minorHAnsi"/>
          <w:b/>
          <w:sz w:val="24"/>
        </w:rPr>
        <w:t>3. Cochrane search：</w:t>
      </w:r>
    </w:p>
    <w:p w14:paraId="2D038BA5">
      <w:r>
        <w:t>#1</w:t>
      </w:r>
      <w:r>
        <w:tab/>
      </w:r>
      <w:r>
        <w:t>("polycystic ovary syndrome") (Word variations have been searched)</w:t>
      </w:r>
      <w:r>
        <w:tab/>
      </w:r>
    </w:p>
    <w:p w14:paraId="30ACEA7B">
      <w:r>
        <w:t>#2</w:t>
      </w:r>
      <w:r>
        <w:tab/>
      </w:r>
      <w:r>
        <w:t>("frozen embryo transfer") (Word variations have been searched)</w:t>
      </w:r>
      <w:r>
        <w:tab/>
      </w:r>
    </w:p>
    <w:p w14:paraId="5DC37F25">
      <w:r>
        <w:t>#3</w:t>
      </w:r>
      <w:r>
        <w:tab/>
      </w:r>
      <w:r>
        <w:t>("GnRH agonist") (Word variations have been searched)</w:t>
      </w:r>
      <w:r>
        <w:tab/>
      </w:r>
    </w:p>
    <w:p w14:paraId="1D35DD1C">
      <w:r>
        <w:t>#4</w:t>
      </w:r>
      <w:r>
        <w:tab/>
      </w:r>
      <w:r>
        <w:t>#1 AND #2 AND #3</w:t>
      </w:r>
      <w:r>
        <w:tab/>
      </w:r>
    </w:p>
    <w:p w14:paraId="27543921">
      <w:pPr>
        <w:spacing w:line="480" w:lineRule="auto"/>
        <w:rPr>
          <w:rFonts w:cstheme="minorHAnsi"/>
          <w:b/>
          <w:sz w:val="24"/>
        </w:rPr>
      </w:pPr>
      <w:r>
        <w:rPr>
          <w:rFonts w:cstheme="minorHAnsi"/>
          <w:b/>
          <w:sz w:val="24"/>
        </w:rPr>
        <w:t>4. Web of Science search:</w:t>
      </w:r>
    </w:p>
    <w:p w14:paraId="7CE115BF">
      <w:r>
        <w:t>(("PCOS" OR "Ovary Syndrome, Polycystic" OR "Syndrome, Polycystic Ovary" OR "Stein-Leventhal Syndrome" OR "Stein Leventhal Syndrome" OR "Syndrome, Stein-Leventhal" OR "Sclerocystic Ovarian Degeneration" OR "Ovarian Degeneration, Sclerocystic" OR "Sclerocystic Ovary Syndrome" OR "Polycystic Ovarian Syndrome" OR "Ovarian Syndrome, Polycystic" OR "Polycystic Ovary Syndrome 1" OR "Sclerocystic Ovaries" OR "Ovary, Sclerocystic" OR "Sclerocystic Ovary") OR "Polycystic Ovary Syndrome"[Mesh]) AND ("GnRH agonists" OR "GnRH agonist" OR "gonadotrophin-releasing hormone agonist" OR "GnRH-a" OR "GnRHa" OR "gonadotrophin-releasing hormone agonists") AND ((("Embryo Transfers" OR "Transfer, Embryo" OR "Transfers, Embryo" OR "Blastocyst Transfer") OR "Embryo Transfer"[Mesh]) AND (“frozen-thawed” OR “frozen” OR "vitrifi*" OR "freez*" OR "Cryopreserv*"))</w:t>
      </w:r>
    </w:p>
    <w:p w14:paraId="63799726"/>
    <w:p w14:paraId="07633C83">
      <w:pPr>
        <w:numPr>
          <w:ilvl w:val="0"/>
          <w:numId w:val="1"/>
        </w:numPr>
        <w:spacing w:line="480" w:lineRule="auto"/>
        <w:rPr>
          <w:rFonts w:hint="default" w:cstheme="minorHAnsi"/>
          <w:b/>
          <w:sz w:val="24"/>
          <w:lang w:val="en-US" w:eastAsia="zh-CN"/>
        </w:rPr>
      </w:pPr>
      <w:r>
        <w:rPr>
          <w:rFonts w:hint="eastAsia" w:cstheme="minorHAnsi"/>
          <w:b/>
          <w:sz w:val="24"/>
        </w:rPr>
        <w:t>ClinicalTrials.gov</w:t>
      </w:r>
    </w:p>
    <w:p w14:paraId="30608162">
      <w:pPr>
        <w:numPr>
          <w:numId w:val="0"/>
        </w:numPr>
        <w:spacing w:line="480" w:lineRule="auto"/>
        <w:rPr>
          <w:rFonts w:hint="default" w:eastAsiaTheme="minorEastAsia" w:cstheme="minorHAnsi"/>
          <w:b/>
          <w:sz w:val="24"/>
          <w:lang w:val="en-US" w:eastAsia="zh-CN"/>
        </w:rPr>
      </w:pPr>
      <w:r>
        <w:rPr>
          <w:rFonts w:hint="eastAsia"/>
          <w:lang w:val="en-US" w:eastAsia="zh-CN"/>
        </w:rPr>
        <w:t>(PCOS- Polycystic Ovary Syndrome) AND (GnRH agonist)</w:t>
      </w:r>
      <w:bookmarkStart w:id="1" w:name="_GoBack"/>
      <w:bookmarkEnd w:id="1"/>
    </w:p>
    <w:p w14:paraId="7CD829A9">
      <w:pPr>
        <w:spacing w:line="360" w:lineRule="auto"/>
        <w:rPr>
          <w:b/>
          <w:sz w:val="28"/>
        </w:rPr>
      </w:pPr>
    </w:p>
    <w:p w14:paraId="3A5FBEA0">
      <w:pPr>
        <w:spacing w:line="360" w:lineRule="auto"/>
        <w:rPr>
          <w:b/>
          <w:sz w:val="28"/>
        </w:rPr>
      </w:pPr>
    </w:p>
    <w:p w14:paraId="53405CCF">
      <w:pPr>
        <w:spacing w:line="360" w:lineRule="auto"/>
        <w:rPr>
          <w:b/>
          <w:sz w:val="28"/>
        </w:rPr>
      </w:pPr>
    </w:p>
    <w:p w14:paraId="4A675DB3">
      <w:pPr>
        <w:spacing w:line="360" w:lineRule="auto"/>
        <w:rPr>
          <w:b/>
          <w:sz w:val="28"/>
        </w:rPr>
      </w:pPr>
    </w:p>
    <w:p w14:paraId="3EC51352">
      <w:pPr>
        <w:spacing w:line="360" w:lineRule="auto"/>
        <w:rPr>
          <w:b/>
          <w:sz w:val="28"/>
        </w:rPr>
      </w:pPr>
    </w:p>
    <w:p w14:paraId="67E0D8BA">
      <w:pPr>
        <w:spacing w:line="360" w:lineRule="auto"/>
        <w:rPr>
          <w:b/>
          <w:sz w:val="28"/>
        </w:rPr>
      </w:pPr>
      <w:r>
        <w:rPr>
          <w:rFonts w:hint="eastAsia"/>
          <w:b/>
          <w:sz w:val="28"/>
        </w:rPr>
        <w:t>e</w:t>
      </w:r>
      <w:r>
        <w:rPr>
          <w:b/>
          <w:sz w:val="28"/>
        </w:rPr>
        <w:t>Table</w:t>
      </w:r>
      <w:r>
        <w:rPr>
          <w:rFonts w:hint="eastAsia"/>
          <w:b/>
          <w:sz w:val="28"/>
        </w:rPr>
        <w:t>.</w:t>
      </w:r>
      <w:r>
        <w:rPr>
          <w:b/>
          <w:sz w:val="28"/>
        </w:rPr>
        <w:t xml:space="preserve"> The excluded studies.</w:t>
      </w:r>
    </w:p>
    <w:tbl>
      <w:tblPr>
        <w:tblStyle w:val="5"/>
        <w:tblW w:w="9073"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2"/>
        <w:gridCol w:w="823"/>
        <w:gridCol w:w="3176"/>
        <w:gridCol w:w="3812"/>
      </w:tblGrid>
      <w:tr w14:paraId="22E6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62" w:type="dxa"/>
            <w:tcBorders>
              <w:left w:val="nil"/>
              <w:bottom w:val="single" w:color="auto" w:sz="4" w:space="0"/>
              <w:right w:val="nil"/>
            </w:tcBorders>
            <w:shd w:val="clear" w:color="auto" w:fill="E7E6E6" w:themeFill="background2"/>
          </w:tcPr>
          <w:p w14:paraId="101EB4E9">
            <w:pPr>
              <w:rPr>
                <w:szCs w:val="21"/>
              </w:rPr>
            </w:pPr>
            <w:r>
              <w:rPr>
                <w:szCs w:val="21"/>
              </w:rPr>
              <w:t>A</w:t>
            </w:r>
            <w:r>
              <w:rPr>
                <w:rFonts w:hint="eastAsia"/>
                <w:szCs w:val="21"/>
              </w:rPr>
              <w:t>uthor</w:t>
            </w:r>
          </w:p>
        </w:tc>
        <w:tc>
          <w:tcPr>
            <w:tcW w:w="823" w:type="dxa"/>
            <w:tcBorders>
              <w:left w:val="nil"/>
              <w:bottom w:val="single" w:color="auto" w:sz="4" w:space="0"/>
              <w:right w:val="nil"/>
            </w:tcBorders>
            <w:shd w:val="clear" w:color="auto" w:fill="E7E6E6" w:themeFill="background2"/>
          </w:tcPr>
          <w:p w14:paraId="0918DB69">
            <w:pPr>
              <w:rPr>
                <w:szCs w:val="21"/>
              </w:rPr>
            </w:pPr>
            <w:r>
              <w:rPr>
                <w:szCs w:val="21"/>
              </w:rPr>
              <w:t>Y</w:t>
            </w:r>
            <w:r>
              <w:rPr>
                <w:rFonts w:hint="eastAsia"/>
                <w:szCs w:val="21"/>
              </w:rPr>
              <w:t>ear</w:t>
            </w:r>
          </w:p>
        </w:tc>
        <w:tc>
          <w:tcPr>
            <w:tcW w:w="3176" w:type="dxa"/>
            <w:tcBorders>
              <w:left w:val="nil"/>
              <w:bottom w:val="single" w:color="auto" w:sz="4" w:space="0"/>
              <w:right w:val="nil"/>
            </w:tcBorders>
            <w:shd w:val="clear" w:color="auto" w:fill="E7E6E6" w:themeFill="background2"/>
          </w:tcPr>
          <w:p w14:paraId="2499A591">
            <w:pPr>
              <w:rPr>
                <w:szCs w:val="21"/>
              </w:rPr>
            </w:pPr>
            <w:r>
              <w:rPr>
                <w:szCs w:val="21"/>
              </w:rPr>
              <w:t>T</w:t>
            </w:r>
            <w:r>
              <w:rPr>
                <w:rFonts w:hint="eastAsia"/>
                <w:szCs w:val="21"/>
              </w:rPr>
              <w:t xml:space="preserve">he </w:t>
            </w:r>
            <w:r>
              <w:rPr>
                <w:szCs w:val="21"/>
              </w:rPr>
              <w:t>reason for exclusion</w:t>
            </w:r>
          </w:p>
        </w:tc>
        <w:tc>
          <w:tcPr>
            <w:tcW w:w="3812" w:type="dxa"/>
            <w:tcBorders>
              <w:left w:val="nil"/>
              <w:bottom w:val="single" w:color="auto" w:sz="4" w:space="0"/>
              <w:right w:val="nil"/>
            </w:tcBorders>
            <w:shd w:val="clear" w:color="auto" w:fill="E7E6E6" w:themeFill="background2"/>
          </w:tcPr>
          <w:p w14:paraId="612D3563">
            <w:pPr>
              <w:rPr>
                <w:szCs w:val="21"/>
              </w:rPr>
            </w:pPr>
            <w:r>
              <w:rPr>
                <w:rFonts w:hint="eastAsia"/>
                <w:szCs w:val="21"/>
              </w:rPr>
              <w:t>DOI</w:t>
            </w:r>
          </w:p>
        </w:tc>
      </w:tr>
      <w:tr w14:paraId="2A2C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2" w:type="dxa"/>
            <w:tcBorders>
              <w:top w:val="nil"/>
              <w:left w:val="nil"/>
              <w:bottom w:val="nil"/>
              <w:right w:val="nil"/>
            </w:tcBorders>
          </w:tcPr>
          <w:p w14:paraId="19107DAD">
            <w:pPr>
              <w:rPr>
                <w:szCs w:val="21"/>
              </w:rPr>
            </w:pPr>
            <w:r>
              <w:rPr>
                <w:rFonts w:hint="eastAsia"/>
                <w:szCs w:val="21"/>
              </w:rPr>
              <w:t>Tsai</w:t>
            </w:r>
          </w:p>
        </w:tc>
        <w:tc>
          <w:tcPr>
            <w:tcW w:w="823" w:type="dxa"/>
            <w:tcBorders>
              <w:top w:val="nil"/>
              <w:left w:val="nil"/>
              <w:bottom w:val="nil"/>
              <w:right w:val="nil"/>
            </w:tcBorders>
          </w:tcPr>
          <w:p w14:paraId="01A711E0">
            <w:pPr>
              <w:rPr>
                <w:szCs w:val="21"/>
              </w:rPr>
            </w:pPr>
            <w:r>
              <w:rPr>
                <w:rFonts w:hint="eastAsia"/>
                <w:szCs w:val="21"/>
              </w:rPr>
              <w:t>20</w:t>
            </w:r>
            <w:r>
              <w:rPr>
                <w:szCs w:val="21"/>
              </w:rPr>
              <w:t>17</w:t>
            </w:r>
          </w:p>
        </w:tc>
        <w:tc>
          <w:tcPr>
            <w:tcW w:w="3176" w:type="dxa"/>
            <w:tcBorders>
              <w:top w:val="nil"/>
              <w:left w:val="nil"/>
              <w:bottom w:val="nil"/>
              <w:right w:val="nil"/>
            </w:tcBorders>
          </w:tcPr>
          <w:p w14:paraId="0AAC5E39">
            <w:pPr>
              <w:rPr>
                <w:szCs w:val="21"/>
              </w:rPr>
            </w:pPr>
            <w:r>
              <w:rPr>
                <w:szCs w:val="21"/>
              </w:rPr>
              <w:t>Retrospective design</w:t>
            </w:r>
          </w:p>
        </w:tc>
        <w:tc>
          <w:tcPr>
            <w:tcW w:w="3812" w:type="dxa"/>
            <w:tcBorders>
              <w:top w:val="nil"/>
              <w:left w:val="nil"/>
              <w:bottom w:val="nil"/>
              <w:right w:val="nil"/>
            </w:tcBorders>
          </w:tcPr>
          <w:p w14:paraId="29CCDFE5">
            <w:pPr>
              <w:rPr>
                <w:szCs w:val="21"/>
              </w:rPr>
            </w:pPr>
            <w:r>
              <w:rPr>
                <w:szCs w:val="21"/>
              </w:rPr>
              <w:t>10.1080/09513590.2017.1307961</w:t>
            </w:r>
          </w:p>
        </w:tc>
      </w:tr>
      <w:tr w14:paraId="1B85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2" w:type="dxa"/>
            <w:tcBorders>
              <w:top w:val="nil"/>
              <w:left w:val="nil"/>
              <w:bottom w:val="nil"/>
              <w:right w:val="nil"/>
            </w:tcBorders>
            <w:shd w:val="clear" w:color="auto" w:fill="E7E6E6" w:themeFill="background2"/>
          </w:tcPr>
          <w:p w14:paraId="1FD9A325">
            <w:pPr>
              <w:rPr>
                <w:szCs w:val="21"/>
              </w:rPr>
            </w:pPr>
            <w:r>
              <w:rPr>
                <w:rFonts w:hint="eastAsia"/>
                <w:szCs w:val="21"/>
              </w:rPr>
              <w:t>Xie</w:t>
            </w:r>
          </w:p>
        </w:tc>
        <w:tc>
          <w:tcPr>
            <w:tcW w:w="823" w:type="dxa"/>
            <w:tcBorders>
              <w:top w:val="nil"/>
              <w:left w:val="nil"/>
              <w:bottom w:val="nil"/>
              <w:right w:val="nil"/>
            </w:tcBorders>
            <w:shd w:val="clear" w:color="auto" w:fill="E7E6E6" w:themeFill="background2"/>
          </w:tcPr>
          <w:p w14:paraId="6C0DDC6D">
            <w:pPr>
              <w:rPr>
                <w:szCs w:val="21"/>
              </w:rPr>
            </w:pPr>
            <w:r>
              <w:rPr>
                <w:rFonts w:hint="eastAsia"/>
                <w:szCs w:val="21"/>
              </w:rPr>
              <w:t>20</w:t>
            </w:r>
            <w:r>
              <w:rPr>
                <w:szCs w:val="21"/>
              </w:rPr>
              <w:t>18</w:t>
            </w:r>
          </w:p>
        </w:tc>
        <w:tc>
          <w:tcPr>
            <w:tcW w:w="3176" w:type="dxa"/>
            <w:tcBorders>
              <w:top w:val="nil"/>
              <w:left w:val="nil"/>
              <w:bottom w:val="nil"/>
              <w:right w:val="nil"/>
            </w:tcBorders>
            <w:shd w:val="clear" w:color="auto" w:fill="E7E6E6" w:themeFill="background2"/>
          </w:tcPr>
          <w:p w14:paraId="6D9D80D2">
            <w:pPr>
              <w:rPr>
                <w:szCs w:val="21"/>
              </w:rPr>
            </w:pPr>
            <w:r>
              <w:rPr>
                <w:szCs w:val="21"/>
              </w:rPr>
              <w:t>Retrospective design</w:t>
            </w:r>
          </w:p>
        </w:tc>
        <w:tc>
          <w:tcPr>
            <w:tcW w:w="3812" w:type="dxa"/>
            <w:tcBorders>
              <w:top w:val="nil"/>
              <w:left w:val="nil"/>
              <w:bottom w:val="nil"/>
              <w:right w:val="nil"/>
            </w:tcBorders>
            <w:shd w:val="clear" w:color="auto" w:fill="E7E6E6" w:themeFill="background2"/>
          </w:tcPr>
          <w:p w14:paraId="403A9D9F">
            <w:pPr>
              <w:rPr>
                <w:szCs w:val="21"/>
              </w:rPr>
            </w:pPr>
            <w:r>
              <w:rPr>
                <w:szCs w:val="21"/>
              </w:rPr>
              <w:t>10.1007/s11596-018-1923-0</w:t>
            </w:r>
          </w:p>
        </w:tc>
      </w:tr>
      <w:tr w14:paraId="7CE3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2" w:type="dxa"/>
            <w:tcBorders>
              <w:top w:val="nil"/>
              <w:left w:val="nil"/>
              <w:bottom w:val="nil"/>
              <w:right w:val="nil"/>
            </w:tcBorders>
          </w:tcPr>
          <w:p w14:paraId="61EBFD68">
            <w:pPr>
              <w:rPr>
                <w:szCs w:val="21"/>
              </w:rPr>
            </w:pPr>
            <w:r>
              <w:rPr>
                <w:rFonts w:hint="eastAsia"/>
                <w:szCs w:val="21"/>
              </w:rPr>
              <w:t>Qi</w:t>
            </w:r>
          </w:p>
        </w:tc>
        <w:tc>
          <w:tcPr>
            <w:tcW w:w="823" w:type="dxa"/>
            <w:tcBorders>
              <w:top w:val="nil"/>
              <w:left w:val="nil"/>
              <w:bottom w:val="nil"/>
              <w:right w:val="nil"/>
            </w:tcBorders>
          </w:tcPr>
          <w:p w14:paraId="0D2203BF">
            <w:pPr>
              <w:rPr>
                <w:szCs w:val="21"/>
              </w:rPr>
            </w:pPr>
            <w:r>
              <w:rPr>
                <w:rFonts w:hint="eastAsia"/>
                <w:szCs w:val="21"/>
              </w:rPr>
              <w:t>20</w:t>
            </w:r>
            <w:r>
              <w:rPr>
                <w:szCs w:val="21"/>
              </w:rPr>
              <w:t>20</w:t>
            </w:r>
          </w:p>
        </w:tc>
        <w:tc>
          <w:tcPr>
            <w:tcW w:w="3176" w:type="dxa"/>
            <w:tcBorders>
              <w:top w:val="nil"/>
              <w:left w:val="nil"/>
              <w:bottom w:val="nil"/>
              <w:right w:val="nil"/>
            </w:tcBorders>
          </w:tcPr>
          <w:p w14:paraId="7C5B3367">
            <w:pPr>
              <w:rPr>
                <w:szCs w:val="21"/>
              </w:rPr>
            </w:pPr>
            <w:r>
              <w:rPr>
                <w:szCs w:val="21"/>
              </w:rPr>
              <w:t>Retrospective design</w:t>
            </w:r>
          </w:p>
        </w:tc>
        <w:tc>
          <w:tcPr>
            <w:tcW w:w="3812" w:type="dxa"/>
            <w:tcBorders>
              <w:top w:val="nil"/>
              <w:left w:val="nil"/>
              <w:bottom w:val="nil"/>
              <w:right w:val="nil"/>
            </w:tcBorders>
          </w:tcPr>
          <w:p w14:paraId="419FFD79">
            <w:pPr>
              <w:rPr>
                <w:szCs w:val="21"/>
              </w:rPr>
            </w:pPr>
            <w:r>
              <w:rPr>
                <w:szCs w:val="21"/>
              </w:rPr>
              <w:t>10.1177/0300060520918474</w:t>
            </w:r>
          </w:p>
        </w:tc>
      </w:tr>
      <w:tr w14:paraId="0BA2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2" w:type="dxa"/>
            <w:tcBorders>
              <w:top w:val="nil"/>
              <w:left w:val="nil"/>
              <w:bottom w:val="nil"/>
              <w:right w:val="nil"/>
            </w:tcBorders>
            <w:shd w:val="clear" w:color="auto" w:fill="E7E6E6" w:themeFill="background2"/>
          </w:tcPr>
          <w:p w14:paraId="56283939">
            <w:pPr>
              <w:rPr>
                <w:szCs w:val="21"/>
              </w:rPr>
            </w:pPr>
            <w:r>
              <w:rPr>
                <w:rFonts w:hint="eastAsia"/>
                <w:szCs w:val="21"/>
              </w:rPr>
              <w:t>Liu</w:t>
            </w:r>
          </w:p>
        </w:tc>
        <w:tc>
          <w:tcPr>
            <w:tcW w:w="823" w:type="dxa"/>
            <w:tcBorders>
              <w:top w:val="nil"/>
              <w:left w:val="nil"/>
              <w:bottom w:val="nil"/>
              <w:right w:val="nil"/>
            </w:tcBorders>
            <w:shd w:val="clear" w:color="auto" w:fill="E7E6E6" w:themeFill="background2"/>
          </w:tcPr>
          <w:p w14:paraId="4ED093E2">
            <w:pPr>
              <w:rPr>
                <w:szCs w:val="21"/>
              </w:rPr>
            </w:pPr>
            <w:r>
              <w:rPr>
                <w:rFonts w:hint="eastAsia"/>
                <w:szCs w:val="21"/>
              </w:rPr>
              <w:t>2021</w:t>
            </w:r>
          </w:p>
        </w:tc>
        <w:tc>
          <w:tcPr>
            <w:tcW w:w="3176" w:type="dxa"/>
            <w:tcBorders>
              <w:top w:val="nil"/>
              <w:left w:val="nil"/>
              <w:bottom w:val="nil"/>
              <w:right w:val="nil"/>
            </w:tcBorders>
            <w:shd w:val="clear" w:color="auto" w:fill="E7E6E6" w:themeFill="background2"/>
          </w:tcPr>
          <w:p w14:paraId="190882AE">
            <w:pPr>
              <w:rPr>
                <w:szCs w:val="21"/>
              </w:rPr>
            </w:pPr>
            <w:r>
              <w:rPr>
                <w:szCs w:val="21"/>
              </w:rPr>
              <w:t>Retrospective design</w:t>
            </w:r>
          </w:p>
        </w:tc>
        <w:tc>
          <w:tcPr>
            <w:tcW w:w="3812" w:type="dxa"/>
            <w:tcBorders>
              <w:top w:val="nil"/>
              <w:left w:val="nil"/>
              <w:bottom w:val="nil"/>
              <w:right w:val="nil"/>
            </w:tcBorders>
            <w:shd w:val="clear" w:color="auto" w:fill="E7E6E6" w:themeFill="background2"/>
          </w:tcPr>
          <w:p w14:paraId="3A3D3292">
            <w:pPr>
              <w:rPr>
                <w:szCs w:val="21"/>
              </w:rPr>
            </w:pPr>
            <w:r>
              <w:rPr>
                <w:szCs w:val="21"/>
              </w:rPr>
              <w:t>10.1186/s12884-021-04293-4</w:t>
            </w:r>
          </w:p>
        </w:tc>
      </w:tr>
      <w:tr w14:paraId="3B59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2" w:type="dxa"/>
            <w:tcBorders>
              <w:top w:val="nil"/>
              <w:left w:val="nil"/>
              <w:bottom w:val="nil"/>
              <w:right w:val="nil"/>
            </w:tcBorders>
          </w:tcPr>
          <w:p w14:paraId="43F7DAB4">
            <w:pPr>
              <w:rPr>
                <w:szCs w:val="21"/>
              </w:rPr>
            </w:pPr>
            <w:r>
              <w:rPr>
                <w:rFonts w:hint="eastAsia"/>
                <w:szCs w:val="21"/>
              </w:rPr>
              <w:t>Wang</w:t>
            </w:r>
          </w:p>
        </w:tc>
        <w:tc>
          <w:tcPr>
            <w:tcW w:w="823" w:type="dxa"/>
            <w:tcBorders>
              <w:top w:val="nil"/>
              <w:left w:val="nil"/>
              <w:bottom w:val="nil"/>
              <w:right w:val="nil"/>
            </w:tcBorders>
          </w:tcPr>
          <w:p w14:paraId="481AE162">
            <w:pPr>
              <w:rPr>
                <w:szCs w:val="21"/>
              </w:rPr>
            </w:pPr>
            <w:r>
              <w:rPr>
                <w:rFonts w:hint="eastAsia"/>
                <w:szCs w:val="21"/>
              </w:rPr>
              <w:t>2022</w:t>
            </w:r>
          </w:p>
        </w:tc>
        <w:tc>
          <w:tcPr>
            <w:tcW w:w="3176" w:type="dxa"/>
            <w:tcBorders>
              <w:top w:val="nil"/>
              <w:left w:val="nil"/>
              <w:bottom w:val="nil"/>
              <w:right w:val="nil"/>
            </w:tcBorders>
          </w:tcPr>
          <w:p w14:paraId="6CA99B0C">
            <w:pPr>
              <w:rPr>
                <w:szCs w:val="21"/>
              </w:rPr>
            </w:pPr>
            <w:r>
              <w:rPr>
                <w:szCs w:val="21"/>
              </w:rPr>
              <w:t>Retrospective design</w:t>
            </w:r>
          </w:p>
        </w:tc>
        <w:tc>
          <w:tcPr>
            <w:tcW w:w="3812" w:type="dxa"/>
            <w:tcBorders>
              <w:top w:val="nil"/>
              <w:left w:val="nil"/>
              <w:bottom w:val="nil"/>
              <w:right w:val="nil"/>
            </w:tcBorders>
          </w:tcPr>
          <w:p w14:paraId="7848CE9A">
            <w:pPr>
              <w:rPr>
                <w:szCs w:val="21"/>
              </w:rPr>
            </w:pPr>
            <w:r>
              <w:rPr>
                <w:szCs w:val="21"/>
              </w:rPr>
              <w:t>10.1186/s12958-022-00929-y</w:t>
            </w:r>
          </w:p>
        </w:tc>
      </w:tr>
      <w:tr w14:paraId="6DEB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2" w:type="dxa"/>
            <w:tcBorders>
              <w:top w:val="nil"/>
              <w:left w:val="nil"/>
              <w:bottom w:val="nil"/>
              <w:right w:val="nil"/>
            </w:tcBorders>
            <w:shd w:val="clear" w:color="auto" w:fill="E7E6E6" w:themeFill="background2"/>
          </w:tcPr>
          <w:p w14:paraId="5A415A57">
            <w:pPr>
              <w:rPr>
                <w:szCs w:val="21"/>
              </w:rPr>
            </w:pPr>
            <w:r>
              <w:rPr>
                <w:rFonts w:hint="eastAsia"/>
                <w:szCs w:val="21"/>
              </w:rPr>
              <w:t>Pan</w:t>
            </w:r>
          </w:p>
        </w:tc>
        <w:tc>
          <w:tcPr>
            <w:tcW w:w="823" w:type="dxa"/>
            <w:tcBorders>
              <w:top w:val="nil"/>
              <w:left w:val="nil"/>
              <w:bottom w:val="nil"/>
              <w:right w:val="nil"/>
            </w:tcBorders>
            <w:shd w:val="clear" w:color="auto" w:fill="E7E6E6" w:themeFill="background2"/>
          </w:tcPr>
          <w:p w14:paraId="7D474CB2">
            <w:pPr>
              <w:rPr>
                <w:szCs w:val="21"/>
              </w:rPr>
            </w:pPr>
            <w:r>
              <w:rPr>
                <w:rFonts w:hint="eastAsia"/>
                <w:szCs w:val="21"/>
              </w:rPr>
              <w:t>2023</w:t>
            </w:r>
          </w:p>
        </w:tc>
        <w:tc>
          <w:tcPr>
            <w:tcW w:w="3176" w:type="dxa"/>
            <w:tcBorders>
              <w:top w:val="nil"/>
              <w:left w:val="nil"/>
              <w:bottom w:val="nil"/>
              <w:right w:val="nil"/>
            </w:tcBorders>
            <w:shd w:val="clear" w:color="auto" w:fill="E7E6E6" w:themeFill="background2"/>
          </w:tcPr>
          <w:p w14:paraId="1EF64003">
            <w:pPr>
              <w:rPr>
                <w:szCs w:val="21"/>
              </w:rPr>
            </w:pPr>
            <w:r>
              <w:rPr>
                <w:szCs w:val="21"/>
              </w:rPr>
              <w:t>Retrospective design</w:t>
            </w:r>
          </w:p>
        </w:tc>
        <w:tc>
          <w:tcPr>
            <w:tcW w:w="3812" w:type="dxa"/>
            <w:tcBorders>
              <w:top w:val="nil"/>
              <w:left w:val="nil"/>
              <w:bottom w:val="nil"/>
              <w:right w:val="nil"/>
            </w:tcBorders>
            <w:shd w:val="clear" w:color="auto" w:fill="E7E6E6" w:themeFill="background2"/>
          </w:tcPr>
          <w:p w14:paraId="48590542">
            <w:pPr>
              <w:rPr>
                <w:szCs w:val="21"/>
              </w:rPr>
            </w:pPr>
            <w:r>
              <w:rPr>
                <w:szCs w:val="21"/>
              </w:rPr>
              <w:t>10.1080/09513590.2023.2217260</w:t>
            </w:r>
          </w:p>
        </w:tc>
      </w:tr>
      <w:tr w14:paraId="22EF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2" w:type="dxa"/>
            <w:tcBorders>
              <w:top w:val="nil"/>
              <w:left w:val="nil"/>
              <w:bottom w:val="single" w:color="auto" w:sz="4" w:space="0"/>
              <w:right w:val="nil"/>
            </w:tcBorders>
          </w:tcPr>
          <w:p w14:paraId="42928177">
            <w:pPr>
              <w:rPr>
                <w:szCs w:val="21"/>
              </w:rPr>
            </w:pPr>
            <w:r>
              <w:rPr>
                <w:szCs w:val="21"/>
              </w:rPr>
              <w:t>X</w:t>
            </w:r>
            <w:r>
              <w:rPr>
                <w:rFonts w:hint="eastAsia"/>
                <w:szCs w:val="21"/>
              </w:rPr>
              <w:t xml:space="preserve">u </w:t>
            </w:r>
          </w:p>
        </w:tc>
        <w:tc>
          <w:tcPr>
            <w:tcW w:w="823" w:type="dxa"/>
            <w:tcBorders>
              <w:top w:val="nil"/>
              <w:left w:val="nil"/>
              <w:bottom w:val="single" w:color="auto" w:sz="4" w:space="0"/>
              <w:right w:val="nil"/>
            </w:tcBorders>
          </w:tcPr>
          <w:p w14:paraId="699728DF">
            <w:pPr>
              <w:rPr>
                <w:szCs w:val="21"/>
              </w:rPr>
            </w:pPr>
            <w:r>
              <w:rPr>
                <w:rFonts w:hint="eastAsia"/>
                <w:szCs w:val="21"/>
              </w:rPr>
              <w:t>2023</w:t>
            </w:r>
          </w:p>
        </w:tc>
        <w:tc>
          <w:tcPr>
            <w:tcW w:w="3176" w:type="dxa"/>
            <w:tcBorders>
              <w:top w:val="nil"/>
              <w:left w:val="nil"/>
              <w:bottom w:val="single" w:color="auto" w:sz="4" w:space="0"/>
              <w:right w:val="nil"/>
            </w:tcBorders>
          </w:tcPr>
          <w:p w14:paraId="571F7DDA">
            <w:pPr>
              <w:rPr>
                <w:szCs w:val="21"/>
              </w:rPr>
            </w:pPr>
            <w:r>
              <w:rPr>
                <w:szCs w:val="21"/>
              </w:rPr>
              <w:t>Retrospective design</w:t>
            </w:r>
          </w:p>
        </w:tc>
        <w:tc>
          <w:tcPr>
            <w:tcW w:w="3812" w:type="dxa"/>
            <w:tcBorders>
              <w:top w:val="nil"/>
              <w:left w:val="nil"/>
              <w:bottom w:val="single" w:color="auto" w:sz="4" w:space="0"/>
              <w:right w:val="nil"/>
            </w:tcBorders>
          </w:tcPr>
          <w:p w14:paraId="72EFFEA3">
            <w:pPr>
              <w:rPr>
                <w:szCs w:val="21"/>
              </w:rPr>
            </w:pPr>
            <w:r>
              <w:rPr>
                <w:szCs w:val="21"/>
              </w:rPr>
              <w:t>10.1186/s13048-023-01277-0</w:t>
            </w:r>
          </w:p>
        </w:tc>
      </w:tr>
    </w:tbl>
    <w:p w14:paraId="491C3663">
      <w:pPr>
        <w:spacing w:line="360" w:lineRule="auto"/>
        <w:rPr>
          <w:b/>
          <w:szCs w:val="21"/>
        </w:rPr>
      </w:pPr>
    </w:p>
    <w:p w14:paraId="3FA02BC8">
      <w:pPr>
        <w:spacing w:line="360" w:lineRule="auto"/>
        <w:rPr>
          <w:b/>
          <w:sz w:val="28"/>
        </w:rPr>
      </w:pPr>
    </w:p>
    <w:p w14:paraId="0EAA0EB5">
      <w:pPr>
        <w:spacing w:line="360" w:lineRule="auto"/>
        <w:rPr>
          <w:b/>
          <w:sz w:val="28"/>
        </w:rPr>
      </w:pPr>
    </w:p>
    <w:p w14:paraId="607D68F8">
      <w:pPr>
        <w:spacing w:line="360" w:lineRule="auto"/>
        <w:rPr>
          <w:b/>
          <w:sz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4125122"/>
      <w:docPartObj>
        <w:docPartGallery w:val="AutoText"/>
      </w:docPartObj>
    </w:sdtPr>
    <w:sdtContent>
      <w:p w14:paraId="6C68645A">
        <w:pPr>
          <w:pStyle w:val="2"/>
          <w:jc w:val="center"/>
        </w:pPr>
        <w:r>
          <w:fldChar w:fldCharType="begin"/>
        </w:r>
        <w:r>
          <w:instrText xml:space="preserve">PAGE   \* MERGEFORMAT</w:instrText>
        </w:r>
        <w:r>
          <w:fldChar w:fldCharType="separate"/>
        </w:r>
        <w:r>
          <w:rPr>
            <w:lang w:val="zh-CN"/>
          </w:rPr>
          <w:t>1</w:t>
        </w:r>
        <w:r>
          <w:fldChar w:fldCharType="end"/>
        </w:r>
      </w:p>
    </w:sdtContent>
  </w:sdt>
  <w:p w14:paraId="511396EC">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112DB7"/>
    <w:multiLevelType w:val="singleLevel"/>
    <w:tmpl w:val="1D112DB7"/>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5ZDIyZTNkOTljM2E1YjRmMmZkNTdjYzFlMGFlMTAifQ=="/>
    <w:docVar w:name="NE.Ref{0C35D19E-8C7E-4F94-8737-AD870A200448}" w:val=" ADDIN NE.Ref.{0C35D19E-8C7E-4F94-8737-AD870A200448}&lt;Citation&gt;&lt;Group&gt;&lt;References&gt;&lt;Item&gt;&lt;ID&gt;88&lt;/ID&gt;&lt;UID&gt;{89F5DA40-D0CD-482F-9941-4421EE145FA6}&lt;/UID&gt;&lt;Title&gt;Live births resulting from 0PN-derived embryos in conventional IVF cycles&lt;/Title&gt;&lt;Template&gt;Journal Article&lt;/Template&gt;&lt;Star&gt;0&lt;/Star&gt;&lt;Tag&gt;0&lt;/Tag&gt;&lt;Author&gt;Liu, J; Wang, X L; Zhang, X; Shen, C Y; Zhang, Z&lt;/Author&gt;&lt;Year&gt;2016&lt;/Year&gt;&lt;Details&gt;&lt;_accession_num&gt;26749389&lt;/_accession_num&gt;&lt;_author_adr&gt;Reproductive Medicine Center, The third affiliated hospital of Zhengzhou  University, Zheng Zhou, China.; Reproductive Medicine Center, The third affiliated hospital of Zhengzhou  University, Zheng Zhou, China.; Cork Fertility Centre, Fernhurst House, College Road, Cork, Ireland.; Reproductive Medicine Center, The third affiliated hospital of Zhengzhou  University, Zheng Zhou, China.; Reproductive Medicine Center, The third affiliated hospital of Zhengzhou  University, Zheng Zhou, China. zhangzhanivf@hotmail.com.&lt;/_author_adr&gt;&lt;_created&gt;65323928&lt;/_created&gt;&lt;_date&gt;2016-03-01&lt;/_date&gt;&lt;_date_display&gt;2016 Mar&lt;/_date_display&gt;&lt;_doi&gt;10.1007/s10815-015-0644-6&lt;/_doi&gt;&lt;_impact_factor&gt;   3.412&lt;/_impact_factor&gt;&lt;_isbn&gt;1573-7330 (Electronic); 1058-0468 (Print); 1058-0468 (Linking)&lt;/_isbn&gt;&lt;_issue&gt;3&lt;/_issue&gt;&lt;_journal&gt;J Assist Reprod Genet&lt;/_journal&gt;&lt;_keywords&gt;0PN; Abnormal fertilization; Implantation; Pregnancy; Pronucleus&lt;/_keywords&gt;&lt;_language&gt;eng&lt;/_language&gt;&lt;_modified&gt;65329061&lt;/_modified&gt;&lt;_pages&gt;373-378&lt;/_pages&gt;&lt;_subject_headings&gt;Adult; Cell Nucleus/physiology; Embryo Transfer/methods; Female; Fertilization in Vitro/*methods; Humans; Live Birth/epidemiology; Male; Maternal Age; Oocytes/pathology/*physiology; Pregnancy; Pregnancy Rate; Retrospective Studies&lt;/_subject_headings&gt;&lt;_tertiary_title&gt;Journal of assisted reproduction and genetics&lt;/_tertiary_title&gt;&lt;_type_work&gt;Journal Article&lt;/_type_work&gt;&lt;_url&gt;http://www.ncbi.nlm.nih.gov/entrez/query.fcgi?cmd=Retrieve&amp;amp;db=pubmed&amp;amp;dopt=Abstract&amp;amp;list_uids=26749389&amp;amp;query_hl=1&lt;/_url&gt;&lt;_volume&gt;33&lt;/_volume&gt;&lt;/Details&gt;&lt;Extra&gt;&lt;DBUID&gt;{9D423F2B-BF2B-422C-9A50-F405AB51C90F}&lt;/DBUID&gt;&lt;/Extra&gt;&lt;/Item&gt;&lt;/References&gt;&lt;/Group&gt;&lt;/Citation&gt;_x000a_"/>
    <w:docVar w:name="NE.Ref{4975D3D4-5AC2-48D0-9970-96EE2B4A1012}" w:val=" ADDIN NE.Ref.{4975D3D4-5AC2-48D0-9970-96EE2B4A1012}&lt;Citation&gt;&lt;Group&gt;&lt;References&gt;&lt;Item&gt;&lt;ID&gt;88&lt;/ID&gt;&lt;UID&gt;{89F5DA40-D0CD-482F-9941-4421EE145FA6}&lt;/UID&gt;&lt;Title&gt;Live births resulting from 0PN-derived embryos in conventional IVF cycles&lt;/Title&gt;&lt;Template&gt;Journal Article&lt;/Template&gt;&lt;Star&gt;0&lt;/Star&gt;&lt;Tag&gt;0&lt;/Tag&gt;&lt;Author&gt;Liu, J; Wang, X L; Zhang, X; Shen, C Y; Zhang, Z&lt;/Author&gt;&lt;Year&gt;2016&lt;/Year&gt;&lt;Details&gt;&lt;_accession_num&gt;26749389&lt;/_accession_num&gt;&lt;_author_adr&gt;Reproductive Medicine Center, The third affiliated hospital of Zhengzhou  University, Zheng Zhou, China.; Reproductive Medicine Center, The third affiliated hospital of Zhengzhou  University, Zheng Zhou, China.; Cork Fertility Centre, Fernhurst House, College Road, Cork, Ireland.; Reproductive Medicine Center, The third affiliated hospital of Zhengzhou  University, Zheng Zhou, China.; Reproductive Medicine Center, The third affiliated hospital of Zhengzhou  University, Zheng Zhou, China. zhangzhanivf@hotmail.com.&lt;/_author_adr&gt;&lt;_created&gt;65323928&lt;/_created&gt;&lt;_date&gt;2016-03-01&lt;/_date&gt;&lt;_date_display&gt;2016 Mar&lt;/_date_display&gt;&lt;_doi&gt;10.1007/s10815-015-0644-6&lt;/_doi&gt;&lt;_impact_factor&gt;   3.412&lt;/_impact_factor&gt;&lt;_isbn&gt;1573-7330 (Electronic); 1058-0468 (Print); 1058-0468 (Linking)&lt;/_isbn&gt;&lt;_issue&gt;3&lt;/_issue&gt;&lt;_journal&gt;J Assist Reprod Genet&lt;/_journal&gt;&lt;_keywords&gt;0PN; Abnormal fertilization; Implantation; Pregnancy; Pronucleus&lt;/_keywords&gt;&lt;_language&gt;eng&lt;/_language&gt;&lt;_modified&gt;65329061&lt;/_modified&gt;&lt;_pages&gt;373-378&lt;/_pages&gt;&lt;_subject_headings&gt;Adult; Cell Nucleus/physiology; Embryo Transfer/methods; Female; Fertilization in Vitro/*methods; Humans; Live Birth/epidemiology; Male; Maternal Age; Oocytes/pathology/*physiology; Pregnancy; Pregnancy Rate; Retrospective Studies&lt;/_subject_headings&gt;&lt;_tertiary_title&gt;Journal of assisted reproduction and genetics&lt;/_tertiary_title&gt;&lt;_type_work&gt;Journal Article&lt;/_type_work&gt;&lt;_url&gt;http://www.ncbi.nlm.nih.gov/entrez/query.fcgi?cmd=Retrieve&amp;amp;db=pubmed&amp;amp;dopt=Abstract&amp;amp;list_uids=26749389&amp;amp;query_hl=1&lt;/_url&gt;&lt;_volume&gt;33&lt;/_volume&gt;&lt;/Details&gt;&lt;Extra&gt;&lt;DBUID&gt;{9D423F2B-BF2B-422C-9A50-F405AB51C90F}&lt;/DBUID&gt;&lt;/Extra&gt;&lt;/Item&gt;&lt;/References&gt;&lt;/Group&gt;&lt;/Citation&gt;_x000a_"/>
    <w:docVar w:name="ne_docsoft" w:val="MSWord"/>
    <w:docVar w:name="ne_docversion" w:val="NoteExpress 2.0"/>
    <w:docVar w:name="ne_stylename" w:val="浙江大学英文学报"/>
  </w:docVars>
  <w:rsids>
    <w:rsidRoot w:val="007F2ED6"/>
    <w:rsid w:val="0004429A"/>
    <w:rsid w:val="00057A4B"/>
    <w:rsid w:val="000630FD"/>
    <w:rsid w:val="00077FEE"/>
    <w:rsid w:val="000A6BB8"/>
    <w:rsid w:val="000B09E9"/>
    <w:rsid w:val="000B5D4C"/>
    <w:rsid w:val="000C1ACB"/>
    <w:rsid w:val="000E439A"/>
    <w:rsid w:val="000E5349"/>
    <w:rsid w:val="00115615"/>
    <w:rsid w:val="00120F08"/>
    <w:rsid w:val="00150EC1"/>
    <w:rsid w:val="00194DF1"/>
    <w:rsid w:val="001B27D5"/>
    <w:rsid w:val="001B3412"/>
    <w:rsid w:val="001B772E"/>
    <w:rsid w:val="001C4294"/>
    <w:rsid w:val="001D45DB"/>
    <w:rsid w:val="001E2051"/>
    <w:rsid w:val="001F4AA5"/>
    <w:rsid w:val="002159C5"/>
    <w:rsid w:val="002168A3"/>
    <w:rsid w:val="002175BD"/>
    <w:rsid w:val="002223F1"/>
    <w:rsid w:val="002337F5"/>
    <w:rsid w:val="00243DDE"/>
    <w:rsid w:val="00244A54"/>
    <w:rsid w:val="00261035"/>
    <w:rsid w:val="00282480"/>
    <w:rsid w:val="00315329"/>
    <w:rsid w:val="0035206D"/>
    <w:rsid w:val="00354EA3"/>
    <w:rsid w:val="0039060F"/>
    <w:rsid w:val="00396D3C"/>
    <w:rsid w:val="003B05D9"/>
    <w:rsid w:val="003C0E4D"/>
    <w:rsid w:val="003C56D7"/>
    <w:rsid w:val="00404785"/>
    <w:rsid w:val="004131C7"/>
    <w:rsid w:val="00452C9C"/>
    <w:rsid w:val="004645C2"/>
    <w:rsid w:val="00481785"/>
    <w:rsid w:val="00495973"/>
    <w:rsid w:val="004B4104"/>
    <w:rsid w:val="00520671"/>
    <w:rsid w:val="005276E6"/>
    <w:rsid w:val="00540A69"/>
    <w:rsid w:val="00571F21"/>
    <w:rsid w:val="0058347A"/>
    <w:rsid w:val="00592C77"/>
    <w:rsid w:val="00630309"/>
    <w:rsid w:val="006504BF"/>
    <w:rsid w:val="00652B64"/>
    <w:rsid w:val="00667173"/>
    <w:rsid w:val="0068187C"/>
    <w:rsid w:val="006910A9"/>
    <w:rsid w:val="006B6F6C"/>
    <w:rsid w:val="006B7754"/>
    <w:rsid w:val="006D378B"/>
    <w:rsid w:val="006E5398"/>
    <w:rsid w:val="00713F47"/>
    <w:rsid w:val="00715971"/>
    <w:rsid w:val="00724383"/>
    <w:rsid w:val="007277AE"/>
    <w:rsid w:val="007367DD"/>
    <w:rsid w:val="00743442"/>
    <w:rsid w:val="00763596"/>
    <w:rsid w:val="007965DB"/>
    <w:rsid w:val="007B32A6"/>
    <w:rsid w:val="007B577D"/>
    <w:rsid w:val="007B7239"/>
    <w:rsid w:val="007C2E2A"/>
    <w:rsid w:val="007E73BE"/>
    <w:rsid w:val="007F08F5"/>
    <w:rsid w:val="007F2ED6"/>
    <w:rsid w:val="008120A0"/>
    <w:rsid w:val="00833DBF"/>
    <w:rsid w:val="0083528F"/>
    <w:rsid w:val="00856E24"/>
    <w:rsid w:val="00860CD3"/>
    <w:rsid w:val="008877B7"/>
    <w:rsid w:val="008C1278"/>
    <w:rsid w:val="008F0D06"/>
    <w:rsid w:val="008F24CF"/>
    <w:rsid w:val="008F567F"/>
    <w:rsid w:val="009003F5"/>
    <w:rsid w:val="00941C4E"/>
    <w:rsid w:val="009918D9"/>
    <w:rsid w:val="009A76CC"/>
    <w:rsid w:val="009D183B"/>
    <w:rsid w:val="00A64530"/>
    <w:rsid w:val="00A869B7"/>
    <w:rsid w:val="00A90445"/>
    <w:rsid w:val="00AA6666"/>
    <w:rsid w:val="00AA6B62"/>
    <w:rsid w:val="00AA6E7E"/>
    <w:rsid w:val="00AE7738"/>
    <w:rsid w:val="00B12A5D"/>
    <w:rsid w:val="00B45474"/>
    <w:rsid w:val="00B51738"/>
    <w:rsid w:val="00BB3C4D"/>
    <w:rsid w:val="00BF5241"/>
    <w:rsid w:val="00C00A85"/>
    <w:rsid w:val="00C010F1"/>
    <w:rsid w:val="00C23324"/>
    <w:rsid w:val="00C37808"/>
    <w:rsid w:val="00C476DA"/>
    <w:rsid w:val="00C562CC"/>
    <w:rsid w:val="00C6287C"/>
    <w:rsid w:val="00C75F59"/>
    <w:rsid w:val="00C76983"/>
    <w:rsid w:val="00C80968"/>
    <w:rsid w:val="00C80CCE"/>
    <w:rsid w:val="00C839A9"/>
    <w:rsid w:val="00CB7D7F"/>
    <w:rsid w:val="00CE0042"/>
    <w:rsid w:val="00CE1940"/>
    <w:rsid w:val="00CE556E"/>
    <w:rsid w:val="00CF1E33"/>
    <w:rsid w:val="00CF35F7"/>
    <w:rsid w:val="00CF62C3"/>
    <w:rsid w:val="00D0030B"/>
    <w:rsid w:val="00D41D61"/>
    <w:rsid w:val="00D45B91"/>
    <w:rsid w:val="00D60EB0"/>
    <w:rsid w:val="00D73DDD"/>
    <w:rsid w:val="00D763E9"/>
    <w:rsid w:val="00D843CA"/>
    <w:rsid w:val="00D943EB"/>
    <w:rsid w:val="00DA508D"/>
    <w:rsid w:val="00DE3AC9"/>
    <w:rsid w:val="00DF7902"/>
    <w:rsid w:val="00E61B04"/>
    <w:rsid w:val="00E67C58"/>
    <w:rsid w:val="00E75F38"/>
    <w:rsid w:val="00E8043A"/>
    <w:rsid w:val="00E93CA3"/>
    <w:rsid w:val="00E954DA"/>
    <w:rsid w:val="00EB62CB"/>
    <w:rsid w:val="00EE5575"/>
    <w:rsid w:val="00EF15EA"/>
    <w:rsid w:val="00EF1A9E"/>
    <w:rsid w:val="00EF4D98"/>
    <w:rsid w:val="00F03D9D"/>
    <w:rsid w:val="00F10DC2"/>
    <w:rsid w:val="00F32E7E"/>
    <w:rsid w:val="00F44964"/>
    <w:rsid w:val="00F66045"/>
    <w:rsid w:val="00F76967"/>
    <w:rsid w:val="00F97F61"/>
    <w:rsid w:val="00FB0B2C"/>
    <w:rsid w:val="00FB20F7"/>
    <w:rsid w:val="00FB4B49"/>
    <w:rsid w:val="00FD138C"/>
    <w:rsid w:val="00FE0E84"/>
    <w:rsid w:val="7B6C5E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F8E91-9709-4713-B6F8-7598CCBC683B}">
  <ds:schemaRefs/>
</ds:datastoreItem>
</file>

<file path=docProps/app.xml><?xml version="1.0" encoding="utf-8"?>
<Properties xmlns="http://schemas.openxmlformats.org/officeDocument/2006/extended-properties" xmlns:vt="http://schemas.openxmlformats.org/officeDocument/2006/docPropsVTypes">
  <Template>Normal.dotm</Template>
  <Company>zju</Company>
  <Pages>2</Pages>
  <Words>306</Words>
  <Characters>2265</Characters>
  <Lines>18</Lines>
  <Paragraphs>5</Paragraphs>
  <TotalTime>2</TotalTime>
  <ScaleCrop>false</ScaleCrop>
  <LinksUpToDate>false</LinksUpToDate>
  <CharactersWithSpaces>2528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2021-01-27T04:29:00Z</dcterms:created>
  <dc:creator>Windows 用户</dc:creator>
  <dc:description>NE.Bib</dc:description>
  <cp:lastModifiedBy>ellin</cp:lastModifiedBy>
  <dcterms:modified xsi:type="dcterms:W3CDTF">2024-09-23T01:38:58Z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2DAFAD2C4FE04AAAB405DE2E96041382_12</vt:lpwstr>
  </property>
</Properties>
</file>