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left" w:pos="102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8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 Regular" w:hAnsi="Times New Roman Regular" w:cs="Times New Roman Regular" w:eastAsiaTheme="minorEastAsia"/>
          <w:color w:val="000000" w:themeColor="text1"/>
          <w:kern w:val="2"/>
          <w:sz w:val="21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 Regular" w:hAnsi="Times New Roman Regular" w:cs="Times New Roman Regular" w:eastAsiaTheme="minorEastAsia"/>
          <w:b/>
          <w:bCs/>
          <w:color w:val="000000" w:themeColor="text1"/>
          <w:kern w:val="2"/>
          <w:sz w:val="21"/>
          <w:szCs w:val="24"/>
          <w:lang w:val="en-US" w:eastAsia="zh-Hans" w:bidi="ar-SA"/>
          <w14:textFill>
            <w14:solidFill>
              <w14:schemeClr w14:val="tx1"/>
            </w14:solidFill>
          </w14:textFill>
        </w:rPr>
        <w:t>Supplemental table 1</w:t>
      </w:r>
      <w:r>
        <w:rPr>
          <w:rFonts w:hint="default" w:ascii="Times New Roman Regular" w:hAnsi="Times New Roman Regular" w:cs="Times New Roman Regular" w:eastAsiaTheme="minorEastAsia"/>
          <w:color w:val="000000" w:themeColor="text1"/>
          <w:kern w:val="2"/>
          <w:sz w:val="21"/>
          <w:szCs w:val="24"/>
          <w:lang w:eastAsia="zh-Hans" w:bidi="ar-SA"/>
          <w14:textFill>
            <w14:solidFill>
              <w14:schemeClr w14:val="tx1"/>
            </w14:solidFill>
          </w14:textFill>
        </w:rPr>
        <w:t xml:space="preserve"> </w:t>
      </w:r>
      <w:bookmarkStart w:id="1" w:name="_GoBack"/>
      <w:bookmarkEnd w:id="1"/>
      <w:r>
        <w:rPr>
          <w:rFonts w:hint="default" w:ascii="Times New Roman Regular" w:hAnsi="Times New Roman Regular" w:cs="Times New Roman Regular" w:eastAsiaTheme="minorEastAsia"/>
          <w:color w:val="000000" w:themeColor="text1"/>
          <w:kern w:val="2"/>
          <w:sz w:val="21"/>
          <w:szCs w:val="24"/>
          <w:lang w:eastAsia="zh-Hans" w:bidi="ar-SA"/>
          <w14:textFill>
            <w14:solidFill>
              <w14:schemeClr w14:val="tx1"/>
            </w14:solidFill>
          </w14:textFill>
        </w:rPr>
        <w:t>Multi</w:t>
      </w:r>
      <w:r>
        <w:rPr>
          <w:rFonts w:hint="default" w:ascii="Times New Roman Regular" w:hAnsi="Times New Roman Regular" w:cs="Times New Roman Regular" w:eastAsiaTheme="minorEastAsia"/>
          <w:color w:val="000000" w:themeColor="text1"/>
          <w:kern w:val="2"/>
          <w:sz w:val="21"/>
          <w:szCs w:val="24"/>
          <w:lang w:val="en-US" w:eastAsia="zh-Hans" w:bidi="ar-SA"/>
          <w14:textFill>
            <w14:solidFill>
              <w14:schemeClr w14:val="tx1"/>
            </w14:solidFill>
          </w14:textFill>
        </w:rPr>
        <w:t>variate</w:t>
      </w:r>
      <w:r>
        <w:rPr>
          <w:rFonts w:hint="default" w:ascii="Times New Roman Regular" w:hAnsi="Times New Roman Regular" w:cs="Times New Roman Regular" w:eastAsiaTheme="minorEastAsia"/>
          <w:color w:val="000000" w:themeColor="text1"/>
          <w:kern w:val="2"/>
          <w:sz w:val="21"/>
          <w:szCs w:val="24"/>
          <w:lang w:eastAsia="zh-Hans" w:bidi="ar-SA"/>
          <w14:textFill>
            <w14:solidFill>
              <w14:schemeClr w14:val="tx1"/>
            </w14:solidFill>
          </w14:textFill>
        </w:rPr>
        <w:t xml:space="preserve"> liner regression analysis fo</w:t>
      </w:r>
      <w:r>
        <w:rPr>
          <w:rFonts w:hint="default" w:ascii="Times New Roman Regular" w:hAnsi="Times New Roman Regular" w:cs="Times New Roman Regular" w:eastAsiaTheme="minorEastAsia"/>
          <w:color w:val="000000" w:themeColor="text1"/>
          <w:kern w:val="2"/>
          <w:sz w:val="21"/>
          <w:szCs w:val="24"/>
          <w:lang w:val="en-US" w:eastAsia="zh-Hans" w:bidi="ar-SA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 Regular" w:hAnsi="Times New Roman Regular" w:cs="Times New Roman Regular" w:eastAsiaTheme="minorEastAsia"/>
          <w:color w:val="000000" w:themeColor="text1"/>
          <w:kern w:val="2"/>
          <w:sz w:val="21"/>
          <w:szCs w:val="24"/>
          <w:lang w:eastAsia="zh-Hans" w:bidi="ar-SA"/>
          <w14:textFill>
            <w14:solidFill>
              <w14:schemeClr w14:val="tx1"/>
            </w14:solidFill>
          </w14:textFill>
        </w:rPr>
        <w:t xml:space="preserve"> euploid</w:t>
      </w:r>
      <w:r>
        <w:rPr>
          <w:rFonts w:hint="default" w:ascii="Times New Roman Regular" w:hAnsi="Times New Roman Regular" w:cs="Times New Roman Regular" w:eastAsiaTheme="minorEastAsia"/>
          <w:color w:val="000000" w:themeColor="text1"/>
          <w:kern w:val="2"/>
          <w:sz w:val="21"/>
          <w:szCs w:val="24"/>
          <w:lang w:val="en-US" w:eastAsia="zh-Hans" w:bidi="ar-SA"/>
          <w14:textFill>
            <w14:solidFill>
              <w14:schemeClr w14:val="tx1"/>
            </w14:solidFill>
          </w14:textFill>
        </w:rPr>
        <w:t>y</w:t>
      </w:r>
      <w:r>
        <w:rPr>
          <w:rFonts w:hint="default" w:ascii="Times New Roman Regular" w:hAnsi="Times New Roman Regular" w:cs="Times New Roman Regular" w:eastAsiaTheme="minorEastAsia"/>
          <w:color w:val="000000" w:themeColor="text1"/>
          <w:kern w:val="2"/>
          <w:sz w:val="21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 Regular" w:hAnsi="Times New Roman Regular" w:cs="Times New Roman Regular" w:eastAsiaTheme="minorEastAsia"/>
          <w:color w:val="000000" w:themeColor="text1"/>
          <w:kern w:val="2"/>
          <w:sz w:val="21"/>
          <w:szCs w:val="24"/>
          <w:lang w:eastAsia="zh-Hans" w:bidi="ar-SA"/>
          <w14:textFill>
            <w14:solidFill>
              <w14:schemeClr w14:val="tx1"/>
            </w14:solidFill>
          </w14:textFill>
        </w:rPr>
        <w:t>rate</w:t>
      </w:r>
      <w:r>
        <w:rPr>
          <w:rFonts w:hint="default" w:ascii="Times New Roman Regular" w:hAnsi="Times New Roman Regular" w:cs="Times New Roman Regular" w:eastAsiaTheme="minorEastAsia"/>
          <w:color w:val="000000" w:themeColor="text1"/>
          <w:kern w:val="2"/>
          <w:sz w:val="21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 xml:space="preserve"> per injected </w:t>
      </w:r>
      <w:r>
        <w:rPr>
          <w:rFonts w:hint="default" w:ascii="Times New Roman Regular" w:hAnsi="Times New Roman Regular" w:cs="Times New Roman Regular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oocyte </w:t>
      </w:r>
      <w:r>
        <w:rPr>
          <w:rFonts w:hint="default" w:ascii="Times New Roman Regular" w:hAnsi="Times New Roman Regular" w:cs="Times New Roman Regular" w:eastAsiaTheme="minorEastAsia"/>
          <w:color w:val="000000" w:themeColor="text1"/>
          <w:kern w:val="2"/>
          <w:sz w:val="21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in the PPOS and antagonist protocol</w:t>
      </w:r>
    </w:p>
    <w:tbl>
      <w:tblPr>
        <w:tblStyle w:val="4"/>
        <w:tblW w:w="751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auto" w:sz="4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47"/>
        <w:gridCol w:w="1013"/>
        <w:gridCol w:w="1013"/>
        <w:gridCol w:w="1013"/>
        <w:gridCol w:w="1013"/>
        <w:gridCol w:w="101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auto" w:sz="4" w:space="0"/>
            <w:insideV w:val="none" w:color="auto" w:sz="0" w:space="0"/>
          </w:tblBorders>
        </w:tblPrEx>
        <w:trPr>
          <w:trHeight w:val="220" w:hRule="atLeast"/>
        </w:trPr>
        <w:tc>
          <w:tcPr>
            <w:tcW w:w="2447" w:type="dxa"/>
            <w:vMerge w:val="restart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b/>
                <w:bCs/>
                <w:kern w:val="2"/>
                <w:sz w:val="21"/>
                <w:szCs w:val="24"/>
                <w:lang w:eastAsia="zh-CN" w:bidi="ar-SA"/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b/>
                <w:bCs/>
                <w:kern w:val="2"/>
                <w:sz w:val="21"/>
                <w:szCs w:val="24"/>
                <w:lang w:eastAsia="zh-CN" w:bidi="ar-SA"/>
              </w:rPr>
              <w:t>Independent variable</w:t>
            </w:r>
          </w:p>
        </w:tc>
        <w:tc>
          <w:tcPr>
            <w:tcW w:w="1013" w:type="dxa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b/>
                <w:bCs/>
                <w:kern w:val="2"/>
                <w:sz w:val="21"/>
                <w:szCs w:val="24"/>
                <w:lang w:eastAsia="zh-CN" w:bidi="ar-SA"/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b/>
                <w:bCs/>
                <w:kern w:val="2"/>
                <w:sz w:val="21"/>
                <w:szCs w:val="24"/>
                <w:lang w:val="en-US" w:eastAsia="zh-Hans" w:bidi="ar-SA"/>
              </w:rPr>
              <w:t>β</w:t>
            </w:r>
          </w:p>
        </w:tc>
        <w:tc>
          <w:tcPr>
            <w:tcW w:w="1013" w:type="dxa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b/>
                <w:bCs/>
                <w:kern w:val="2"/>
                <w:sz w:val="21"/>
                <w:szCs w:val="24"/>
                <w:lang w:val="en-US" w:eastAsia="zh-Hans" w:bidi="ar-SA"/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b/>
                <w:bCs/>
                <w:kern w:val="2"/>
                <w:sz w:val="21"/>
                <w:szCs w:val="24"/>
                <w:lang w:val="en-US" w:eastAsia="zh-Hans" w:bidi="ar-SA"/>
              </w:rPr>
              <w:t>t</w:t>
            </w:r>
          </w:p>
        </w:tc>
        <w:tc>
          <w:tcPr>
            <w:tcW w:w="1013" w:type="dxa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b/>
                <w:bCs/>
                <w:kern w:val="2"/>
                <w:sz w:val="21"/>
                <w:szCs w:val="24"/>
                <w:lang w:eastAsia="zh-CN" w:bidi="ar-SA"/>
              </w:rPr>
            </w:pPr>
            <w:r>
              <w:rPr>
                <w:rFonts w:hint="default" w:ascii="Times New Roman Bold Italic" w:hAnsi="Times New Roman Bold Italic" w:cs="Times New Roman Bold Italic" w:eastAsiaTheme="minorEastAsia"/>
                <w:b/>
                <w:bCs/>
                <w:i/>
                <w:iCs/>
                <w:kern w:val="2"/>
                <w:sz w:val="21"/>
                <w:szCs w:val="24"/>
                <w:lang w:eastAsia="zh-CN" w:bidi="ar-SA"/>
              </w:rPr>
              <w:t>P</w:t>
            </w:r>
            <w:r>
              <w:rPr>
                <w:rFonts w:hint="default" w:ascii="Times New Roman Regular" w:hAnsi="Times New Roman Regular" w:cs="Times New Roman Regular" w:eastAsiaTheme="minorEastAsia"/>
                <w:b/>
                <w:bCs/>
                <w:kern w:val="2"/>
                <w:sz w:val="21"/>
                <w:szCs w:val="24"/>
                <w:lang w:eastAsia="zh-CN" w:bidi="ar-SA"/>
              </w:rPr>
              <w:t>-value</w:t>
            </w:r>
          </w:p>
        </w:tc>
        <w:tc>
          <w:tcPr>
            <w:tcW w:w="2029" w:type="dxa"/>
            <w:gridSpan w:val="2"/>
            <w:tcBorders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b/>
                <w:bCs/>
                <w:kern w:val="2"/>
                <w:sz w:val="21"/>
                <w:szCs w:val="24"/>
                <w:lang w:eastAsia="zh-CN" w:bidi="ar-SA"/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b/>
                <w:bCs/>
                <w:kern w:val="2"/>
                <w:sz w:val="21"/>
                <w:szCs w:val="24"/>
                <w:lang w:eastAsia="zh-CN" w:bidi="ar-SA"/>
              </w:rPr>
              <w:t>95% CI for Exp(B)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auto" w:sz="4" w:space="0"/>
            <w:insideV w:val="none" w:color="auto" w:sz="0" w:space="0"/>
          </w:tblBorders>
        </w:tblPrEx>
        <w:trPr>
          <w:trHeight w:val="220" w:hRule="atLeast"/>
        </w:trPr>
        <w:tc>
          <w:tcPr>
            <w:tcW w:w="2447" w:type="dxa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b/>
                <w:bCs/>
                <w:kern w:val="2"/>
                <w:sz w:val="21"/>
                <w:szCs w:val="24"/>
                <w:lang w:eastAsia="zh-CN" w:bidi="ar-SA"/>
              </w:rPr>
            </w:pPr>
          </w:p>
        </w:tc>
        <w:tc>
          <w:tcPr>
            <w:tcW w:w="10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b/>
                <w:bCs/>
                <w:kern w:val="2"/>
                <w:sz w:val="21"/>
                <w:szCs w:val="24"/>
                <w:lang w:eastAsia="zh-CN" w:bidi="ar-SA"/>
              </w:rPr>
            </w:pPr>
          </w:p>
        </w:tc>
        <w:tc>
          <w:tcPr>
            <w:tcW w:w="10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b/>
                <w:bCs/>
                <w:kern w:val="2"/>
                <w:sz w:val="21"/>
                <w:szCs w:val="24"/>
                <w:lang w:eastAsia="zh-CN" w:bidi="ar-SA"/>
              </w:rPr>
            </w:pPr>
          </w:p>
        </w:tc>
        <w:tc>
          <w:tcPr>
            <w:tcW w:w="10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b/>
                <w:bCs/>
                <w:kern w:val="2"/>
                <w:sz w:val="21"/>
                <w:szCs w:val="24"/>
                <w:lang w:eastAsia="zh-CN" w:bidi="ar-SA"/>
              </w:rPr>
            </w:pP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b/>
                <w:bCs/>
                <w:kern w:val="2"/>
                <w:sz w:val="21"/>
                <w:szCs w:val="24"/>
                <w:lang w:eastAsia="zh-CN" w:bidi="ar-SA"/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b/>
                <w:bCs/>
                <w:kern w:val="2"/>
                <w:sz w:val="21"/>
                <w:szCs w:val="24"/>
                <w:lang w:eastAsia="zh-CN" w:bidi="ar-SA"/>
              </w:rPr>
              <w:t>Lower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b/>
                <w:bCs/>
                <w:kern w:val="2"/>
                <w:sz w:val="21"/>
                <w:szCs w:val="24"/>
                <w:lang w:eastAsia="zh-CN" w:bidi="ar-SA"/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b/>
                <w:bCs/>
                <w:kern w:val="2"/>
                <w:sz w:val="21"/>
                <w:szCs w:val="24"/>
                <w:lang w:eastAsia="zh-CN" w:bidi="ar-SA"/>
              </w:rPr>
              <w:t>Upper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auto" w:sz="4" w:space="0"/>
            <w:insideV w:val="none" w:color="auto" w:sz="0" w:space="0"/>
          </w:tblBorders>
        </w:tblPrEx>
        <w:trPr>
          <w:trHeight w:val="210" w:hRule="atLeast"/>
        </w:trPr>
        <w:tc>
          <w:tcPr>
            <w:tcW w:w="244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4"/>
                <w:lang w:val="en-US" w:eastAsia="zh-Hans" w:bidi="ar-SA"/>
              </w:rPr>
              <w:t>A</w:t>
            </w:r>
            <w:r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4"/>
                <w:lang w:eastAsia="zh-Hans" w:bidi="ar-SA"/>
              </w:rPr>
              <w:t>ge</w:t>
            </w:r>
            <w:r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4"/>
                <w:lang w:val="en-US" w:eastAsia="zh-Hans" w:bidi="ar-SA"/>
              </w:rPr>
              <w:t xml:space="preserve"> of women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-0.021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-0.334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0.739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-0.026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0.019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auto" w:sz="4" w:space="0"/>
            <w:insideV w:val="none" w:color="auto" w:sz="0" w:space="0"/>
          </w:tblBorders>
        </w:tblPrEx>
        <w:trPr>
          <w:trHeight w:val="210" w:hRule="atLeast"/>
        </w:trPr>
        <w:tc>
          <w:tcPr>
            <w:tcW w:w="244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4"/>
                <w:lang w:val="en-US" w:eastAsia="zh-Hans" w:bidi="ar-SA"/>
              </w:rPr>
              <w:t>A</w:t>
            </w:r>
            <w:r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4"/>
                <w:lang w:eastAsia="zh-Hans" w:bidi="ar-SA"/>
              </w:rPr>
              <w:t>ge</w:t>
            </w:r>
            <w:r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4"/>
                <w:lang w:val="en-US" w:eastAsia="zh-Hans" w:bidi="ar-SA"/>
              </w:rPr>
              <w:t xml:space="preserve"> of husbands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-0.</w:t>
            </w: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128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428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155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-0.0</w:t>
            </w: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73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0.0</w:t>
            </w: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auto" w:sz="4" w:space="0"/>
            <w:insideV w:val="none" w:color="auto" w:sz="0" w:space="0"/>
          </w:tblBorders>
        </w:tblPrEx>
        <w:trPr>
          <w:trHeight w:val="210" w:hRule="atLeast"/>
        </w:trPr>
        <w:tc>
          <w:tcPr>
            <w:tcW w:w="244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Body mass index of women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0.038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81</w:t>
            </w: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0.4</w:t>
            </w: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-0.02</w:t>
            </w: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0.05</w:t>
            </w: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auto" w:sz="4" w:space="0"/>
            <w:insideV w:val="none" w:color="auto" w:sz="0" w:space="0"/>
          </w:tblBorders>
        </w:tblPrEx>
        <w:trPr>
          <w:trHeight w:val="210" w:hRule="atLeast"/>
        </w:trPr>
        <w:tc>
          <w:tcPr>
            <w:tcW w:w="244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4"/>
                <w:lang w:eastAsia="zh-Hans" w:bidi="ar-SA"/>
              </w:rPr>
              <w:t>Primary infertility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0.0</w:t>
            </w: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52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.04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0.3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-0.1</w:t>
            </w: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0.3</w:t>
            </w: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89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auto" w:sz="4" w:space="0"/>
            <w:insideV w:val="none" w:color="auto" w:sz="0" w:space="0"/>
          </w:tblBorders>
        </w:tblPrEx>
        <w:trPr>
          <w:trHeight w:val="210" w:hRule="atLeast"/>
        </w:trPr>
        <w:tc>
          <w:tcPr>
            <w:tcW w:w="244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4"/>
                <w:lang w:eastAsia="zh-Hans" w:bidi="ar-SA"/>
              </w:rPr>
              <w:t>Infertility duration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-0.0</w:t>
            </w: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92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-1.</w:t>
            </w: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86</w:t>
            </w: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-0.05</w:t>
            </w: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0.00</w:t>
            </w: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auto" w:sz="4" w:space="0"/>
            <w:insideV w:val="none" w:color="auto" w:sz="0" w:space="0"/>
          </w:tblBorders>
        </w:tblPrEx>
        <w:trPr>
          <w:trHeight w:val="210" w:hRule="atLeast"/>
        </w:trPr>
        <w:tc>
          <w:tcPr>
            <w:tcW w:w="244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4"/>
                <w:lang w:val="en-US" w:eastAsia="zh-Hans" w:bidi="ar-SA"/>
              </w:rPr>
              <w:t xml:space="preserve">Serum </w:t>
            </w:r>
            <w:r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4"/>
                <w:lang w:eastAsia="zh-Hans" w:bidi="ar-SA"/>
              </w:rPr>
              <w:t>AMH</w:t>
            </w:r>
            <w:r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4"/>
                <w:lang w:val="en-US" w:eastAsia="zh-Hans" w:bidi="ar-SA"/>
              </w:rPr>
              <w:t xml:space="preserve"> level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-0.0</w:t>
            </w: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49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-0.</w:t>
            </w: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0.5</w:t>
            </w: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52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-0.07</w:t>
            </w: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0.039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auto" w:sz="4" w:space="0"/>
            <w:insideV w:val="none" w:color="auto" w:sz="0" w:space="0"/>
          </w:tblBorders>
        </w:tblPrEx>
        <w:trPr>
          <w:trHeight w:val="420" w:hRule="atLeast"/>
        </w:trPr>
        <w:tc>
          <w:tcPr>
            <w:tcW w:w="244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4"/>
                <w:lang w:eastAsia="zh-Hans" w:bidi="ar-SA"/>
              </w:rPr>
              <w:t>Basal FSH level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-0.03</w:t>
            </w: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-0.</w:t>
            </w: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733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0.4</w:t>
            </w: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64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-0.04</w:t>
            </w: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0.02</w:t>
            </w: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auto" w:sz="4" w:space="0"/>
            <w:insideV w:val="none" w:color="auto" w:sz="0" w:space="0"/>
          </w:tblBorders>
        </w:tblPrEx>
        <w:trPr>
          <w:trHeight w:val="420" w:hRule="atLeast"/>
        </w:trPr>
        <w:tc>
          <w:tcPr>
            <w:tcW w:w="244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4"/>
                <w:lang w:val="en-US" w:eastAsia="zh-Hans" w:bidi="ar-SA"/>
              </w:rPr>
              <w:t>Basal antral follicle count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0.0</w:t>
            </w: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92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245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0.2</w:t>
            </w: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-0.006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0.02</w:t>
            </w: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auto" w:sz="4" w:space="0"/>
            <w:insideV w:val="none" w:color="auto" w:sz="0" w:space="0"/>
          </w:tblBorders>
        </w:tblPrEx>
        <w:trPr>
          <w:trHeight w:val="420" w:hRule="atLeast"/>
        </w:trPr>
        <w:tc>
          <w:tcPr>
            <w:tcW w:w="244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Indication of PGT-A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auto" w:sz="4" w:space="0"/>
            <w:insideV w:val="none" w:color="auto" w:sz="0" w:space="0"/>
          </w:tblBorders>
        </w:tblPrEx>
        <w:trPr>
          <w:trHeight w:val="420" w:hRule="atLeast"/>
        </w:trPr>
        <w:tc>
          <w:tcPr>
            <w:tcW w:w="244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  <w:t>A</w:t>
            </w: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Hans" w:bidi="ar-SA"/>
                <w14:textFill>
                  <w14:solidFill>
                    <w14:schemeClr w14:val="tx1"/>
                  </w14:solidFill>
                </w14:textFill>
              </w:rPr>
              <w:t>dvanced maternal age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Han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Hans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Hans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Han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Hans" w:bidi="ar-SA"/>
                <w14:textFill>
                  <w14:solidFill>
                    <w14:schemeClr w14:val="tx1"/>
                  </w14:solidFill>
                </w14:textFill>
              </w:rPr>
              <w:t>684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Han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Hans" w:bidi="ar-SA"/>
                <w14:textFill>
                  <w14:solidFill>
                    <w14:schemeClr w14:val="tx1"/>
                  </w14:solidFill>
                </w14:textFill>
              </w:rPr>
              <w:t>094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highlight w:val="none"/>
                <w:lang w:eastAsia="zh-Han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highlight w:val="none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-0</w:t>
            </w:r>
            <w:r>
              <w:rPr>
                <w:rFonts w:hint="eastAsia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highlight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highlight w:val="none"/>
                <w:lang w:eastAsia="zh-Hans" w:bidi="ar-SA"/>
                <w14:textFill>
                  <w14:solidFill>
                    <w14:schemeClr w14:val="tx1"/>
                  </w14:solidFill>
                </w14:textFill>
              </w:rPr>
              <w:t>038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highlight w:val="none"/>
                <w:lang w:eastAsia="zh-Han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highlight w:val="none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highlight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highlight w:val="none"/>
                <w:lang w:eastAsia="zh-Hans" w:bidi="ar-SA"/>
                <w14:textFill>
                  <w14:solidFill>
                    <w14:schemeClr w14:val="tx1"/>
                  </w14:solidFill>
                </w14:textFill>
              </w:rPr>
              <w:t>489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auto" w:sz="4" w:space="0"/>
            <w:insideV w:val="none" w:color="auto" w:sz="0" w:space="0"/>
          </w:tblBorders>
        </w:tblPrEx>
        <w:trPr>
          <w:trHeight w:val="420" w:hRule="atLeast"/>
        </w:trPr>
        <w:tc>
          <w:tcPr>
            <w:tcW w:w="244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highlight w:val="none"/>
                <w:lang w:eastAsia="zh-Hans" w:bidi="ar-SA"/>
                <w14:textFill>
                  <w14:solidFill>
                    <w14:schemeClr w14:val="tx1"/>
                  </w14:solidFill>
                </w14:textFill>
              </w:rPr>
              <w:t xml:space="preserve">Recurrent </w:t>
            </w: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highlight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  <w:t>pregnancy loss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Han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Hans" w:bidi="ar-SA"/>
                <w14:textFill>
                  <w14:solidFill>
                    <w14:schemeClr w14:val="tx1"/>
                  </w14:solidFill>
                </w14:textFill>
              </w:rPr>
              <w:t>131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Han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Hans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Hans" w:bidi="ar-SA"/>
                <w14:textFill>
                  <w14:solidFill>
                    <w14:schemeClr w14:val="tx1"/>
                  </w14:solidFill>
                </w14:textFill>
              </w:rPr>
              <w:t>941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Han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Hans" w:bidi="ar-SA"/>
                <w14:textFill>
                  <w14:solidFill>
                    <w14:schemeClr w14:val="tx1"/>
                  </w14:solidFill>
                </w14:textFill>
              </w:rPr>
              <w:t>054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highlight w:val="none"/>
                <w:lang w:eastAsia="zh-Han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highlight w:val="none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-0</w:t>
            </w:r>
            <w:r>
              <w:rPr>
                <w:rFonts w:hint="eastAsia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highlight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highlight w:val="none"/>
                <w:lang w:eastAsia="zh-Hans" w:bidi="ar-SA"/>
                <w14:textFill>
                  <w14:solidFill>
                    <w14:schemeClr w14:val="tx1"/>
                  </w14:solidFill>
                </w14:textFill>
              </w:rPr>
              <w:t>006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highlight w:val="none"/>
                <w:lang w:eastAsia="zh-Han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highlight w:val="none"/>
                <w:lang w:eastAsia="zh-Hans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highlight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highlight w:val="none"/>
                <w:lang w:eastAsia="zh-Hans" w:bidi="ar-SA"/>
                <w14:textFill>
                  <w14:solidFill>
                    <w14:schemeClr w14:val="tx1"/>
                  </w14:solidFill>
                </w14:textFill>
              </w:rPr>
              <w:t>788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auto" w:sz="4" w:space="0"/>
            <w:insideV w:val="none" w:color="auto" w:sz="0" w:space="0"/>
          </w:tblBorders>
        </w:tblPrEx>
        <w:trPr>
          <w:trHeight w:val="420" w:hRule="atLeast"/>
        </w:trPr>
        <w:tc>
          <w:tcPr>
            <w:tcW w:w="244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Hans" w:bidi="ar-SA"/>
                <w14:textFill>
                  <w14:solidFill>
                    <w14:schemeClr w14:val="tx1"/>
                  </w14:solidFill>
                </w14:textFill>
              </w:rPr>
              <w:t>Repeated implantation failure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Han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Hans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Hans" w:bidi="ar-SA"/>
                <w14:textFill>
                  <w14:solidFill>
                    <w14:schemeClr w14:val="tx1"/>
                  </w14:solidFill>
                </w14:textFill>
              </w:rPr>
              <w:t>169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Han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Hans" w:bidi="ar-SA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Hans" w:bidi="ar-SA"/>
                <w14:textFill>
                  <w14:solidFill>
                    <w14:schemeClr w14:val="tx1"/>
                  </w14:solidFill>
                </w14:textFill>
              </w:rPr>
              <w:t>51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Han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Hans" w:bidi="ar-SA"/>
                <w14:textFill>
                  <w14:solidFill>
                    <w14:schemeClr w14:val="tx1"/>
                  </w14:solidFill>
                </w14:textFill>
              </w:rPr>
              <w:t>013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highlight w:val="none"/>
                <w:lang w:eastAsia="zh-Han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highlight w:val="none"/>
                <w:lang w:eastAsia="zh-Hans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highlight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highlight w:val="none"/>
                <w:lang w:eastAsia="zh-Hans" w:bidi="ar-SA"/>
                <w14:textFill>
                  <w14:solidFill>
                    <w14:schemeClr w14:val="tx1"/>
                  </w14:solidFill>
                </w14:textFill>
              </w:rPr>
              <w:t>108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highlight w:val="none"/>
                <w:lang w:eastAsia="zh-Han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highlight w:val="none"/>
                <w:lang w:eastAsia="zh-Hans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highlight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highlight w:val="none"/>
                <w:lang w:eastAsia="zh-Hans" w:bidi="ar-SA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auto" w:sz="4" w:space="0"/>
            <w:insideV w:val="none" w:color="auto" w:sz="0" w:space="0"/>
          </w:tblBorders>
        </w:tblPrEx>
        <w:trPr>
          <w:trHeight w:val="420" w:hRule="atLeast"/>
        </w:trPr>
        <w:tc>
          <w:tcPr>
            <w:tcW w:w="244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Hans" w:bidi="ar-SA"/>
                <w14:textFill>
                  <w14:solidFill>
                    <w14:schemeClr w14:val="tx1"/>
                  </w14:solidFill>
                </w14:textFill>
              </w:rPr>
              <w:t>Mixed (reference)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Han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Hans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Han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Han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highlight w:val="none"/>
                <w:lang w:eastAsia="zh-Han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highlight w:val="none"/>
                <w:lang w:eastAsia="zh-Han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auto" w:sz="4" w:space="0"/>
            <w:insideV w:val="none" w:color="auto" w:sz="0" w:space="0"/>
          </w:tblBorders>
        </w:tblPrEx>
        <w:trPr>
          <w:trHeight w:val="420" w:hRule="atLeast"/>
        </w:trPr>
        <w:tc>
          <w:tcPr>
            <w:tcW w:w="244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O</w:t>
            </w: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varian stimulation protocol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0.03</w:t>
            </w: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0.7</w:t>
            </w: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44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0.458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-0.12</w:t>
            </w: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0.2</w:t>
            </w: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77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auto" w:sz="4" w:space="0"/>
            <w:insideV w:val="none" w:color="auto" w:sz="0" w:space="0"/>
          </w:tblBorders>
        </w:tblPrEx>
        <w:trPr>
          <w:trHeight w:val="420" w:hRule="atLeast"/>
        </w:trPr>
        <w:tc>
          <w:tcPr>
            <w:tcW w:w="244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Serum estradiol level on trigger day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-0.1</w:t>
            </w: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47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-1.7</w:t>
            </w: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63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0.07</w:t>
            </w: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0.000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0.000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auto" w:sz="4" w:space="0"/>
            <w:insideV w:val="none" w:color="auto" w:sz="0" w:space="0"/>
          </w:tblBorders>
        </w:tblPrEx>
        <w:trPr>
          <w:trHeight w:val="420" w:hRule="atLeast"/>
        </w:trPr>
        <w:tc>
          <w:tcPr>
            <w:tcW w:w="244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 xml:space="preserve">Serum LH level on trigger day 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0.0</w:t>
            </w: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08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161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0.8</w:t>
            </w: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72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-0.019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0.023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auto" w:sz="4" w:space="0"/>
            <w:insideV w:val="none" w:color="auto" w:sz="0" w:space="0"/>
          </w:tblBorders>
        </w:tblPrEx>
        <w:trPr>
          <w:trHeight w:val="420" w:hRule="atLeast"/>
        </w:trPr>
        <w:tc>
          <w:tcPr>
            <w:tcW w:w="244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Serum progesterone level on trigger day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-0.00</w:t>
            </w: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-0.</w:t>
            </w: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88</w:t>
            </w: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-0.07</w:t>
            </w: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0.06</w:t>
            </w: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auto" w:sz="4" w:space="0"/>
            <w:insideV w:val="none" w:color="auto" w:sz="0" w:space="0"/>
          </w:tblBorders>
        </w:tblPrEx>
        <w:trPr>
          <w:trHeight w:val="420" w:hRule="atLeast"/>
        </w:trPr>
        <w:tc>
          <w:tcPr>
            <w:tcW w:w="244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T</w:t>
            </w: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otal dosage of FSH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-0.0</w:t>
            </w: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-0.</w:t>
            </w: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657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0.5</w:t>
            </w: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0.000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0.000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auto" w:sz="4" w:space="0"/>
            <w:insideV w:val="none" w:color="auto" w:sz="0" w:space="0"/>
          </w:tblBorders>
        </w:tblPrEx>
        <w:trPr>
          <w:trHeight w:val="420" w:hRule="atLeast"/>
        </w:trPr>
        <w:tc>
          <w:tcPr>
            <w:tcW w:w="244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Duration of stimulation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0.0</w:t>
            </w: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0.1</w:t>
            </w: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75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0.8</w:t>
            </w: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62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-0.09</w:t>
            </w: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0.11</w:t>
            </w: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auto" w:sz="4" w:space="0"/>
            <w:insideV w:val="none" w:color="auto" w:sz="0" w:space="0"/>
          </w:tblBorders>
        </w:tblPrEx>
        <w:trPr>
          <w:trHeight w:val="420" w:hRule="atLeast"/>
        </w:trPr>
        <w:tc>
          <w:tcPr>
            <w:tcW w:w="244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Hans" w:bidi="ar-SA"/>
                <w14:textFill>
                  <w14:solidFill>
                    <w14:schemeClr w14:val="tx1"/>
                  </w14:solidFill>
                </w14:textFill>
              </w:rPr>
              <w:t>No.</w:t>
            </w: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 xml:space="preserve"> of retrieved oocytes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-0.246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-1.</w:t>
            </w: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383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168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-0.107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0.0</w:t>
            </w: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auto" w:sz="4" w:space="0"/>
            <w:insideV w:val="none" w:color="auto" w:sz="0" w:space="0"/>
          </w:tblBorders>
        </w:tblPrEx>
        <w:trPr>
          <w:trHeight w:val="420" w:hRule="atLeast"/>
        </w:trPr>
        <w:tc>
          <w:tcPr>
            <w:tcW w:w="244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bookmarkStart w:id="0" w:name="OLE_LINK12"/>
            <w:r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4"/>
                <w:lang w:val="en-US" w:eastAsia="zh-CN" w:bidi="ar-SA"/>
              </w:rPr>
              <w:t>F</w:t>
            </w:r>
            <w:r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4"/>
                <w:lang w:eastAsia="zh-Hans" w:bidi="ar-SA"/>
              </w:rPr>
              <w:t>ertili</w:t>
            </w:r>
            <w:r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4"/>
                <w:lang w:val="en-US" w:eastAsia="zh-Hans" w:bidi="ar-SA"/>
              </w:rPr>
              <w:t>z</w:t>
            </w:r>
            <w:r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4"/>
                <w:lang w:val="en-US" w:eastAsia="zh-CN" w:bidi="ar-SA"/>
              </w:rPr>
              <w:t>at</w:t>
            </w:r>
            <w:r>
              <w:rPr>
                <w:rFonts w:hint="eastAsia" w:ascii="Times New Roman Regular" w:hAnsi="Times New Roman Regular" w:cs="Times New Roman Regular" w:eastAsiaTheme="minorEastAsia"/>
                <w:kern w:val="2"/>
                <w:sz w:val="21"/>
                <w:szCs w:val="24"/>
                <w:lang w:val="en-US" w:eastAsia="zh-Hans" w:bidi="ar-SA"/>
              </w:rPr>
              <w:t>i</w:t>
            </w:r>
            <w:r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4"/>
                <w:lang w:val="en-US" w:eastAsia="zh-CN" w:bidi="ar-SA"/>
              </w:rPr>
              <w:t xml:space="preserve">on </w:t>
            </w:r>
            <w:r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4"/>
                <w:lang w:eastAsia="zh-CN" w:bidi="ar-SA"/>
              </w:rPr>
              <w:t>rate</w:t>
            </w:r>
            <w:bookmarkEnd w:id="0"/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-0.072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-0</w:t>
            </w: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814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417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-1.055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438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auto" w:sz="4" w:space="0"/>
            <w:insideV w:val="none" w:color="auto" w:sz="0" w:space="0"/>
          </w:tblBorders>
        </w:tblPrEx>
        <w:trPr>
          <w:trHeight w:val="420" w:hRule="atLeast"/>
        </w:trPr>
        <w:tc>
          <w:tcPr>
            <w:tcW w:w="244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4"/>
                <w:lang w:eastAsia="zh-CN" w:bidi="ar-SA"/>
              </w:rPr>
              <w:t>Cleavage rate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0.037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53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0.597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-0.47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815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auto" w:sz="4" w:space="0"/>
            <w:insideV w:val="none" w:color="auto" w:sz="0" w:space="0"/>
          </w:tblBorders>
        </w:tblPrEx>
        <w:trPr>
          <w:trHeight w:val="420" w:hRule="atLeast"/>
        </w:trPr>
        <w:tc>
          <w:tcPr>
            <w:tcW w:w="2447" w:type="dxa"/>
            <w:tcBorders>
              <w:top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4"/>
                <w:lang w:eastAsia="zh-CN" w:bidi="ar-SA"/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4"/>
                <w:highlight w:val="none"/>
                <w:lang w:eastAsia="zh-Hans" w:bidi="ar-SA"/>
              </w:rPr>
              <w:t>B</w:t>
            </w:r>
            <w:r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4"/>
                <w:highlight w:val="none"/>
                <w:lang w:val="en-US" w:eastAsia="zh-Hans" w:bidi="ar-SA"/>
              </w:rPr>
              <w:t>lastocyst</w:t>
            </w:r>
            <w:r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4"/>
                <w:highlight w:val="none"/>
                <w:lang w:eastAsia="zh-Hans" w:bidi="ar-SA"/>
              </w:rPr>
              <w:t>s formation</w:t>
            </w:r>
            <w:r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4"/>
                <w:highlight w:val="none"/>
                <w:lang w:val="en-US" w:eastAsia="zh-CN" w:bidi="ar-SA"/>
              </w:rPr>
              <w:t xml:space="preserve"> </w:t>
            </w:r>
            <w:r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4"/>
                <w:highlight w:val="none"/>
                <w:lang w:eastAsia="zh-CN" w:bidi="ar-SA"/>
              </w:rPr>
              <w:t>rate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-0.054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-0.827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0.409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-0.608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0.249</w:t>
            </w:r>
          </w:p>
        </w:tc>
      </w:tr>
    </w:tbl>
    <w:p>
      <w:pPr>
        <w:rPr>
          <w:rFonts w:hint="default" w:ascii="Times New Roman Regular" w:hAnsi="Times New Roman Regular" w:cs="Times New Roman Regular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hint="default" w:ascii="Times New Roman Regular" w:hAnsi="Times New Roman Regular" w:cs="Times New Roman Regular"/>
          <w:color w:val="000000" w:themeColor="text1"/>
          <w14:textFill>
            <w14:solidFill>
              <w14:schemeClr w14:val="tx1"/>
            </w14:solidFill>
          </w14:textFill>
        </w:rPr>
      </w:pPr>
    </w:p>
    <w:p/>
    <w:p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703060505090304"/>
    <w:charset w:val="86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702030404030204"/>
    <w:charset w:val="00"/>
    <w:family w:val="swiss"/>
    <w:pitch w:val="default"/>
    <w:sig w:usb0="E10002FF" w:usb1="4000ACFF" w:usb2="00000009" w:usb3="00000000" w:csb0="2000019F" w:csb1="00000000"/>
  </w:font>
  <w:font w:name="mingliu">
    <w:panose1 w:val="02020509000000000000"/>
    <w:charset w:val="86"/>
    <w:family w:val="auto"/>
    <w:pitch w:val="default"/>
    <w:sig w:usb0="A00002FF" w:usb1="28CFFCFA" w:usb2="00000016" w:usb3="00000000" w:csb0="00100001" w:csb1="00000000"/>
  </w:font>
  <w:font w:name="helvetica">
    <w:panose1 w:val="00000000000000000000"/>
    <w:charset w:val="00"/>
    <w:family w:val="auto"/>
    <w:pitch w:val="default"/>
    <w:sig w:usb0="E00002FF" w:usb1="5000785B" w:usb2="00000000" w:usb3="00000000" w:csb0="2000019F" w:csb1="4F010000"/>
  </w:font>
  <w:font w:name="Times New Roman Regular">
    <w:panose1 w:val="02020703060505090304"/>
    <w:charset w:val="00"/>
    <w:family w:val="auto"/>
    <w:pitch w:val="default"/>
    <w:sig w:usb0="E0000AFF" w:usb1="00007843" w:usb2="00000001" w:usb3="00000000" w:csb0="400001BF" w:csb1="DFF70000"/>
  </w:font>
  <w:font w:name="Times New Roman Bold Italic">
    <w:panose1 w:val="02020703060505090304"/>
    <w:charset w:val="00"/>
    <w:family w:val="auto"/>
    <w:pitch w:val="default"/>
    <w:sig w:usb0="E0000AFF" w:usb1="00007843" w:usb2="00000001" w:usb3="00000000" w:csb0="400001BF" w:csb1="DFF7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CF3B3921"/>
    <w:rsid w:val="4E9FF7FE"/>
    <w:rsid w:val="73EE61F4"/>
    <w:rsid w:val="7AFE8A3E"/>
    <w:rsid w:val="7FE27725"/>
    <w:rsid w:val="9798CE18"/>
    <w:rsid w:val="A37F1C09"/>
    <w:rsid w:val="B7BE7205"/>
    <w:rsid w:val="BDFDBB45"/>
    <w:rsid w:val="BF371DE9"/>
    <w:rsid w:val="BF7CA3EB"/>
    <w:rsid w:val="CF3B3921"/>
    <w:rsid w:val="ED95930B"/>
    <w:rsid w:val="FCEACFC4"/>
    <w:rsid w:val="FDB25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hint="default" w:ascii="Calibri" w:hAnsi="Calibri" w:eastAsia="宋体" w:cs="Times New Roman"/>
      <w:kern w:val="2"/>
      <w:sz w:val="21"/>
      <w:szCs w:val="22"/>
      <w:lang w:val="en-US" w:eastAsia="zh-CN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Normal (Web)"/>
    <w:basedOn w:val="1"/>
    <w:qFormat/>
    <w:uiPriority w:val="0"/>
    <w:rPr>
      <w:sz w:val="24"/>
    </w:rPr>
  </w:style>
  <w:style w:type="paragraph" w:customStyle="1" w:styleId="6">
    <w:name w:val="p2"/>
    <w:basedOn w:val="1"/>
    <w:qFormat/>
    <w:uiPriority w:val="0"/>
    <w:pPr>
      <w:spacing w:before="0" w:beforeAutospacing="0" w:after="0" w:afterAutospacing="0" w:line="320" w:lineRule="atLeast"/>
      <w:ind w:left="60" w:right="0"/>
      <w:jc w:val="right"/>
    </w:pPr>
    <w:rPr>
      <w:rFonts w:ascii="mingliu" w:hAnsi="mingliu" w:eastAsia="mingliu" w:cs="mingliu"/>
      <w:color w:val="010205"/>
      <w:kern w:val="0"/>
      <w:sz w:val="24"/>
      <w:szCs w:val="24"/>
      <w:lang w:val="en-US" w:eastAsia="zh-CN" w:bidi="ar"/>
    </w:rPr>
  </w:style>
  <w:style w:type="paragraph" w:customStyle="1" w:styleId="7">
    <w:name w:val="p1"/>
    <w:basedOn w:val="1"/>
    <w:qFormat/>
    <w:uiPriority w:val="0"/>
    <w:pPr>
      <w:spacing w:before="0" w:beforeAutospacing="0" w:after="0" w:afterAutospacing="0"/>
      <w:ind w:left="0" w:right="0"/>
      <w:jc w:val="left"/>
    </w:pPr>
    <w:rPr>
      <w:rFonts w:ascii="helvetica" w:hAnsi="helvetica" w:eastAsia="helvetica" w:cs="helvetica"/>
      <w:kern w:val="0"/>
      <w:sz w:val="24"/>
      <w:szCs w:val="24"/>
      <w:lang w:val="en-US" w:eastAsia="zh-CN" w:bidi="ar"/>
    </w:rPr>
  </w:style>
  <w:style w:type="paragraph" w:customStyle="1" w:styleId="8">
    <w:name w:val="p3"/>
    <w:basedOn w:val="1"/>
    <w:qFormat/>
    <w:uiPriority w:val="0"/>
    <w:pPr>
      <w:spacing w:before="0" w:beforeAutospacing="0" w:after="0" w:afterAutospacing="0" w:line="400" w:lineRule="atLeast"/>
      <w:ind w:left="0" w:right="0"/>
      <w:jc w:val="left"/>
    </w:pPr>
    <w:rPr>
      <w:rFonts w:ascii="Times New Roman" w:hAnsi="Times New Roman" w:cs="Times New Roman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Office_6.4.0.8550_F1E327BC-269C-435d-A152-05C5408002CA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2023-08-20T22:33:00Z</dcterms:created>
  <dc:creator>璐</dc:creator>
  <cp:lastModifiedBy>璐</cp:lastModifiedBy>
  <dcterms:modified xsi:type="dcterms:W3CDTF">2024-02-21T16:57:44Z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2052-6.4.0.8550</vt:lpwstr>
  </property>
  <property fmtid="{D5CDD505-2E9C-101B-9397-08002B2CF9AE}" pid="3" name="ICV">
    <vt:lpwstr>33066846189A6BE9C16DDC64084CEEC8_41</vt:lpwstr>
  </property>
</Properties>
</file>