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79A4E">
      <w:pPr>
        <w:jc w:val="center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Supplementary Materials</w:t>
      </w:r>
    </w:p>
    <w:p w14:paraId="6702097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D1B7412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Table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Search strategies of each database</w:t>
      </w:r>
    </w:p>
    <w:p w14:paraId="0476CB93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Table 2. Q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uality assessment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of the studies included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based on the AHRQ scale</w:t>
      </w:r>
    </w:p>
    <w:p w14:paraId="29CB900E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Table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3. Egger's tests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for publication bias</w:t>
      </w:r>
    </w:p>
    <w:p w14:paraId="098C4257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Figure 1. Funnel plots for publication bias</w:t>
      </w:r>
    </w:p>
    <w:p w14:paraId="63257BA3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Figure 2. Leave-one out plots for sensitivity-analyses</w:t>
      </w:r>
    </w:p>
    <w:p w14:paraId="33B72CA0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Figure 3. The evidence assessment of meta-analysis results with the GRADE tool</w:t>
      </w:r>
    </w:p>
    <w:p w14:paraId="6A32B7FE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 w14:paraId="683AC5C9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 w14:paraId="32D22100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372FEBF1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3AF086B2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D6212ED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7F4C4B01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68BDEAA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F603F26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3D1E9D0F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ED7388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08C9DAF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3ED1536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10EDC42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0A215582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Table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</w:rPr>
        <w:t>Search strategies of each database</w:t>
      </w:r>
    </w:p>
    <w:p w14:paraId="76B3847C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059DFB6B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Search strategies of each database.</w:t>
      </w:r>
    </w:p>
    <w:tbl>
      <w:tblPr>
        <w:tblStyle w:val="5"/>
        <w:tblpPr w:leftFromText="180" w:rightFromText="180" w:vertAnchor="page" w:horzAnchor="page" w:tblpX="1729" w:tblpY="283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7308"/>
      </w:tblGrid>
      <w:tr w14:paraId="3812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198BC2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Database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53922EC7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Index and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search strategy</w:t>
            </w:r>
          </w:p>
        </w:tc>
      </w:tr>
      <w:tr w14:paraId="31CA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6C4D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Pubmed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</w:tcPr>
          <w:p w14:paraId="3DCEF1ED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((("Lipids"[MeSH Terms]) OR (lipid[Title/Abstract])) AND ((reference range) OR (reference interval))) AND ("pregnancy"[MeSH Terms] OR gestation[Text Word])</w:t>
            </w:r>
          </w:p>
          <w:p w14:paraId="721E4818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bookmarkStart w:id="0" w:name="OLE_LINK2"/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("hyperlipidemias"[MeSH Terms] OR "Hypercholesterolemia"[Title/Abstract] OR "Hyperlipoproteinemias"[Title/Abstract] OR "Hypertriglyceridemia"[Title/Abstract] OR "hyperlipemia"[Title/Abstract]) AND ("pregnancy"[MeSH Terms] OR "gestation"[Text Word])</w:t>
            </w:r>
            <w:bookmarkEnd w:id="0"/>
          </w:p>
        </w:tc>
      </w:tr>
      <w:tr w14:paraId="75BB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8E4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Web of science</w:t>
            </w:r>
          </w:p>
          <w:p w14:paraId="68BA4CF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7D5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((TS=(pregnancy)) OR TS=(gestation?)) AND (((((TS=(hyperlipidemias)) OR TS=(Hypercholesterolemia)) OR TS=(Hyperlipoproteinemias)) OR TS=(Hypertriglyceridemia)) OR TS=(hyperlipemia))</w:t>
            </w:r>
          </w:p>
          <w:p w14:paraId="466010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((TS=(Lipids)) OR TS=(lipid)) AND (((TS=(reference range)) OR TS=(reference interval)) OR TS=(reference value)) AND ((TS=(pregnancy)) OR TS=(gestation?))</w:t>
            </w:r>
          </w:p>
        </w:tc>
      </w:tr>
      <w:tr w14:paraId="50AC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C632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Embase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11DE5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('pregnancy'/exp OR pregnancy OR gestational) AND lipid:ti,ab,kw AND ('reference value':ti,ab,kw OR standard:ti,ab,kw) </w:t>
            </w:r>
          </w:p>
          <w:p w14:paraId="422DC27F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'pregnancy'/exp OR pregnancy OR 'gestation'/exp OR gestation) AND (hyperlipidemia:ti,ab,kw OR hypertriglyceridemia:ti,ab,kw OR hypercholesterolemia:ti,ab,kw) AND (standard:ti,ab,kw OR 'reference value':ti,ab,kw) </w:t>
            </w:r>
          </w:p>
        </w:tc>
      </w:tr>
      <w:tr w14:paraId="73A3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4368D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Cochrane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AEC9F8F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(((Hyperlipidemias) OR (Lipids)) AND (Pregnancy) AND (("reference range") OR ("reference interval")))</w:t>
            </w:r>
          </w:p>
        </w:tc>
      </w:tr>
    </w:tbl>
    <w:p w14:paraId="3A208115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4E91833C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A173256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38B99CB9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41F50928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47F12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 w:eastAsia="zh-CN"/>
        </w:rPr>
      </w:pPr>
    </w:p>
    <w:p w14:paraId="695BBE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  <w:lang w:val="en-US" w:eastAsia="zh-CN"/>
        </w:rPr>
      </w:pPr>
    </w:p>
    <w:p w14:paraId="3F59D196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Table 2.</w:t>
      </w:r>
    </w:p>
    <w:p w14:paraId="105FB27F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uality assessment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of the studies included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based on the AHRQ scale</w:t>
      </w:r>
    </w:p>
    <w:p w14:paraId="0E2A2F3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5"/>
        <w:tblW w:w="9142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326"/>
        <w:gridCol w:w="410"/>
        <w:gridCol w:w="1298"/>
        <w:gridCol w:w="424"/>
        <w:gridCol w:w="406"/>
        <w:gridCol w:w="671"/>
        <w:gridCol w:w="406"/>
        <w:gridCol w:w="671"/>
        <w:gridCol w:w="406"/>
        <w:gridCol w:w="410"/>
        <w:gridCol w:w="671"/>
        <w:gridCol w:w="880"/>
        <w:gridCol w:w="825"/>
      </w:tblGrid>
      <w:tr w14:paraId="6ACF05C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38" w:type="dxa"/>
            <w:tcBorders>
              <w:bottom w:val="single" w:color="auto" w:sz="4" w:space="0"/>
            </w:tcBorders>
          </w:tcPr>
          <w:p w14:paraId="02E5803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Included studies </w:t>
            </w:r>
          </w:p>
        </w:tc>
        <w:tc>
          <w:tcPr>
            <w:tcW w:w="326" w:type="dxa"/>
            <w:tcBorders>
              <w:bottom w:val="single" w:color="auto" w:sz="4" w:space="0"/>
            </w:tcBorders>
          </w:tcPr>
          <w:p w14:paraId="449FF422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①</w:t>
            </w:r>
          </w:p>
        </w:tc>
        <w:tc>
          <w:tcPr>
            <w:tcW w:w="410" w:type="dxa"/>
            <w:tcBorders>
              <w:bottom w:val="single" w:color="auto" w:sz="4" w:space="0"/>
            </w:tcBorders>
          </w:tcPr>
          <w:p w14:paraId="0BF9C7C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②</w:t>
            </w:r>
          </w:p>
        </w:tc>
        <w:tc>
          <w:tcPr>
            <w:tcW w:w="1298" w:type="dxa"/>
            <w:tcBorders>
              <w:bottom w:val="single" w:color="auto" w:sz="4" w:space="0"/>
            </w:tcBorders>
          </w:tcPr>
          <w:p w14:paraId="699679A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③</w:t>
            </w:r>
          </w:p>
        </w:tc>
        <w:tc>
          <w:tcPr>
            <w:tcW w:w="424" w:type="dxa"/>
            <w:tcBorders>
              <w:bottom w:val="single" w:color="auto" w:sz="4" w:space="0"/>
            </w:tcBorders>
          </w:tcPr>
          <w:p w14:paraId="3074B460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④</w:t>
            </w:r>
          </w:p>
        </w:tc>
        <w:tc>
          <w:tcPr>
            <w:tcW w:w="406" w:type="dxa"/>
            <w:tcBorders>
              <w:bottom w:val="single" w:color="auto" w:sz="4" w:space="0"/>
            </w:tcBorders>
          </w:tcPr>
          <w:p w14:paraId="76C4378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⑤</w:t>
            </w:r>
          </w:p>
        </w:tc>
        <w:tc>
          <w:tcPr>
            <w:tcW w:w="671" w:type="dxa"/>
            <w:tcBorders>
              <w:bottom w:val="single" w:color="auto" w:sz="4" w:space="0"/>
            </w:tcBorders>
          </w:tcPr>
          <w:p w14:paraId="4CDD2EF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⑥</w:t>
            </w:r>
          </w:p>
        </w:tc>
        <w:tc>
          <w:tcPr>
            <w:tcW w:w="406" w:type="dxa"/>
            <w:tcBorders>
              <w:bottom w:val="single" w:color="auto" w:sz="4" w:space="0"/>
            </w:tcBorders>
          </w:tcPr>
          <w:p w14:paraId="11D1113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⑦</w:t>
            </w:r>
          </w:p>
        </w:tc>
        <w:tc>
          <w:tcPr>
            <w:tcW w:w="671" w:type="dxa"/>
            <w:tcBorders>
              <w:bottom w:val="single" w:color="auto" w:sz="4" w:space="0"/>
            </w:tcBorders>
          </w:tcPr>
          <w:p w14:paraId="1194C4A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⑧</w:t>
            </w:r>
          </w:p>
        </w:tc>
        <w:tc>
          <w:tcPr>
            <w:tcW w:w="406" w:type="dxa"/>
            <w:tcBorders>
              <w:bottom w:val="single" w:color="auto" w:sz="4" w:space="0"/>
            </w:tcBorders>
          </w:tcPr>
          <w:p w14:paraId="4E11B4A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⑨</w:t>
            </w:r>
          </w:p>
        </w:tc>
        <w:tc>
          <w:tcPr>
            <w:tcW w:w="410" w:type="dxa"/>
            <w:tcBorders>
              <w:bottom w:val="single" w:color="auto" w:sz="4" w:space="0"/>
            </w:tcBorders>
          </w:tcPr>
          <w:p w14:paraId="27C6589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⑩</w:t>
            </w:r>
          </w:p>
        </w:tc>
        <w:tc>
          <w:tcPr>
            <w:tcW w:w="671" w:type="dxa"/>
            <w:tcBorders>
              <w:bottom w:val="single" w:color="auto" w:sz="4" w:space="0"/>
            </w:tcBorders>
          </w:tcPr>
          <w:p w14:paraId="2FE12107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⑪</w:t>
            </w:r>
          </w:p>
        </w:tc>
        <w:tc>
          <w:tcPr>
            <w:tcW w:w="880" w:type="dxa"/>
            <w:tcBorders>
              <w:bottom w:val="single" w:color="auto" w:sz="4" w:space="0"/>
            </w:tcBorders>
          </w:tcPr>
          <w:p w14:paraId="4806561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Total scores</w:t>
            </w:r>
          </w:p>
        </w:tc>
        <w:tc>
          <w:tcPr>
            <w:tcW w:w="825" w:type="dxa"/>
            <w:tcBorders>
              <w:bottom w:val="single" w:color="auto" w:sz="4" w:space="0"/>
            </w:tcBorders>
          </w:tcPr>
          <w:p w14:paraId="03D733C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Quality</w:t>
            </w:r>
          </w:p>
        </w:tc>
      </w:tr>
      <w:tr w14:paraId="681023E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op w:val="single" w:color="auto" w:sz="4" w:space="0"/>
              <w:tl2br w:val="nil"/>
              <w:tr2bl w:val="nil"/>
            </w:tcBorders>
          </w:tcPr>
          <w:p w14:paraId="1D0E3924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Dan 2024</w:t>
            </w:r>
          </w:p>
        </w:tc>
        <w:tc>
          <w:tcPr>
            <w:tcW w:w="326" w:type="dxa"/>
            <w:tcBorders>
              <w:top w:val="single" w:color="auto" w:sz="4" w:space="0"/>
              <w:tl2br w:val="nil"/>
              <w:tr2bl w:val="nil"/>
            </w:tcBorders>
          </w:tcPr>
          <w:p w14:paraId="3E99B46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op w:val="single" w:color="auto" w:sz="4" w:space="0"/>
              <w:tl2br w:val="nil"/>
              <w:tr2bl w:val="nil"/>
            </w:tcBorders>
          </w:tcPr>
          <w:p w14:paraId="66BAD5E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op w:val="single" w:color="auto" w:sz="4" w:space="0"/>
              <w:tl2br w:val="nil"/>
              <w:tr2bl w:val="nil"/>
            </w:tcBorders>
          </w:tcPr>
          <w:p w14:paraId="013AF35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2CA46B9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(2017.11-2019.08)</w:t>
            </w:r>
          </w:p>
        </w:tc>
        <w:tc>
          <w:tcPr>
            <w:tcW w:w="424" w:type="dxa"/>
            <w:tcBorders>
              <w:top w:val="single" w:color="auto" w:sz="4" w:space="0"/>
              <w:tl2br w:val="nil"/>
              <w:tr2bl w:val="nil"/>
            </w:tcBorders>
          </w:tcPr>
          <w:p w14:paraId="74F5C38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op w:val="single" w:color="auto" w:sz="4" w:space="0"/>
              <w:tl2br w:val="nil"/>
              <w:tr2bl w:val="nil"/>
            </w:tcBorders>
          </w:tcPr>
          <w:p w14:paraId="63E93BC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op w:val="single" w:color="auto" w:sz="4" w:space="0"/>
              <w:tl2br w:val="nil"/>
              <w:tr2bl w:val="nil"/>
            </w:tcBorders>
          </w:tcPr>
          <w:p w14:paraId="270B84E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406" w:type="dxa"/>
            <w:tcBorders>
              <w:top w:val="single" w:color="auto" w:sz="4" w:space="0"/>
              <w:tl2br w:val="nil"/>
              <w:tr2bl w:val="nil"/>
            </w:tcBorders>
          </w:tcPr>
          <w:p w14:paraId="44884100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op w:val="single" w:color="auto" w:sz="4" w:space="0"/>
              <w:tl2br w:val="nil"/>
              <w:tr2bl w:val="nil"/>
            </w:tcBorders>
          </w:tcPr>
          <w:p w14:paraId="0502EA5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op w:val="single" w:color="auto" w:sz="4" w:space="0"/>
              <w:tl2br w:val="nil"/>
              <w:tr2bl w:val="nil"/>
            </w:tcBorders>
          </w:tcPr>
          <w:p w14:paraId="5927F93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op w:val="single" w:color="auto" w:sz="4" w:space="0"/>
              <w:tl2br w:val="nil"/>
              <w:tr2bl w:val="nil"/>
            </w:tcBorders>
          </w:tcPr>
          <w:p w14:paraId="212F6BC8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op w:val="single" w:color="auto" w:sz="4" w:space="0"/>
              <w:tl2br w:val="nil"/>
              <w:tr2bl w:val="nil"/>
            </w:tcBorders>
          </w:tcPr>
          <w:p w14:paraId="160FA352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880" w:type="dxa"/>
            <w:tcBorders>
              <w:top w:val="single" w:color="auto" w:sz="4" w:space="0"/>
              <w:tl2br w:val="nil"/>
              <w:tr2bl w:val="nil"/>
            </w:tcBorders>
          </w:tcPr>
          <w:p w14:paraId="1616808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op w:val="single" w:color="auto" w:sz="4" w:space="0"/>
              <w:tl2br w:val="nil"/>
              <w:tr2bl w:val="nil"/>
            </w:tcBorders>
          </w:tcPr>
          <w:p w14:paraId="15C94DB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29D61C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l2br w:val="nil"/>
              <w:tr2bl w:val="nil"/>
            </w:tcBorders>
          </w:tcPr>
          <w:p w14:paraId="315C5300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Yang 2022</w:t>
            </w:r>
          </w:p>
        </w:tc>
        <w:tc>
          <w:tcPr>
            <w:tcW w:w="326" w:type="dxa"/>
            <w:tcBorders>
              <w:tl2br w:val="nil"/>
              <w:tr2bl w:val="nil"/>
            </w:tcBorders>
          </w:tcPr>
          <w:p w14:paraId="238563E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06CCB922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</w:tcPr>
          <w:p w14:paraId="623EE2C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658D7A7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(2018.01-2020)</w:t>
            </w:r>
          </w:p>
        </w:tc>
        <w:tc>
          <w:tcPr>
            <w:tcW w:w="424" w:type="dxa"/>
            <w:tcBorders>
              <w:tl2br w:val="nil"/>
              <w:tr2bl w:val="nil"/>
            </w:tcBorders>
          </w:tcPr>
          <w:p w14:paraId="1BC2515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26FDAE32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4B276408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4B0AD6E1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772F236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0AB9A5FC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3F49D3B4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72DD530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</w:tcPr>
          <w:p w14:paraId="42E349D7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49AE12F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1A50DAF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l2br w:val="nil"/>
              <w:tr2bl w:val="nil"/>
            </w:tcBorders>
          </w:tcPr>
          <w:p w14:paraId="7AB101F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Wei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</w:rPr>
              <w:t>2021</w:t>
            </w:r>
            <w:r>
              <w:rPr>
                <w:rFonts w:hint="default" w:ascii="Times New Roman" w:hAnsi="Times New Roman" w:cs="Times New Roman" w:eastAsiaTheme="minorEastAsia"/>
                <w:sz w:val="21"/>
                <w:vertAlign w:val="superscript"/>
                <w:lang w:val="en-US" w:eastAsia="zh-CN"/>
              </w:rPr>
              <w:t>1</w:t>
            </w:r>
          </w:p>
        </w:tc>
        <w:tc>
          <w:tcPr>
            <w:tcW w:w="326" w:type="dxa"/>
            <w:tcBorders>
              <w:tl2br w:val="nil"/>
              <w:tr2bl w:val="nil"/>
            </w:tcBorders>
          </w:tcPr>
          <w:p w14:paraId="5512DD4C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06362602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</w:tcPr>
          <w:p w14:paraId="71DA3F9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1ACFFB2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(2018.01-2018.12)</w:t>
            </w:r>
          </w:p>
        </w:tc>
        <w:tc>
          <w:tcPr>
            <w:tcW w:w="424" w:type="dxa"/>
            <w:tcBorders>
              <w:tl2br w:val="nil"/>
              <w:tr2bl w:val="nil"/>
            </w:tcBorders>
          </w:tcPr>
          <w:p w14:paraId="32ED4B4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37D105F1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5D552777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65F49EF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54D13F1D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448036CC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33C8E42F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6B1292A5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880" w:type="dxa"/>
            <w:tcBorders>
              <w:tl2br w:val="nil"/>
              <w:tr2bl w:val="nil"/>
            </w:tcBorders>
          </w:tcPr>
          <w:p w14:paraId="31D15FF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7FE2275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626E3E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E875D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Wei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</w:rPr>
              <w:t>2021</w:t>
            </w:r>
            <w:r>
              <w:rPr>
                <w:rFonts w:hint="default" w:ascii="Times New Roman" w:hAnsi="Times New Roman" w:cs="Times New Roman" w:eastAsiaTheme="minorEastAsia"/>
                <w:sz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454ED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0BD33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B0B35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762FCD1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(2018.01-2018.12)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89DC2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D639F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AA08B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F28D7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FB6D8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DF052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447868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3BC997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9DDED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6F03C8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67E364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338" w:type="dxa"/>
            <w:tcBorders>
              <w:tl2br w:val="nil"/>
              <w:tr2bl w:val="nil"/>
            </w:tcBorders>
          </w:tcPr>
          <w:p w14:paraId="352C5C2E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Lu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</w:rPr>
              <w:t>2021</w:t>
            </w:r>
          </w:p>
        </w:tc>
        <w:tc>
          <w:tcPr>
            <w:tcW w:w="326" w:type="dxa"/>
            <w:tcBorders>
              <w:tl2br w:val="nil"/>
              <w:tr2bl w:val="nil"/>
            </w:tcBorders>
          </w:tcPr>
          <w:p w14:paraId="491FA746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1294B14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</w:tcPr>
          <w:p w14:paraId="6833681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7B818E1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(2017.10-2019.10)</w:t>
            </w:r>
          </w:p>
        </w:tc>
        <w:tc>
          <w:tcPr>
            <w:tcW w:w="424" w:type="dxa"/>
            <w:tcBorders>
              <w:tl2br w:val="nil"/>
              <w:tr2bl w:val="nil"/>
            </w:tcBorders>
          </w:tcPr>
          <w:p w14:paraId="1B0FECB6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5D03C24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5BDA1581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74CEF187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05E175DE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252EAA58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70FB78D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108754D3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880" w:type="dxa"/>
            <w:tcBorders>
              <w:tl2br w:val="nil"/>
              <w:tr2bl w:val="nil"/>
            </w:tcBorders>
          </w:tcPr>
          <w:p w14:paraId="687D0758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5B1CB92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37BA31E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338" w:type="dxa"/>
            <w:tcBorders>
              <w:tl2br w:val="nil"/>
              <w:tr2bl w:val="nil"/>
            </w:tcBorders>
          </w:tcPr>
          <w:p w14:paraId="2ABE0C17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Wang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</w:rPr>
              <w:t>2018</w:t>
            </w:r>
          </w:p>
        </w:tc>
        <w:tc>
          <w:tcPr>
            <w:tcW w:w="326" w:type="dxa"/>
            <w:tcBorders>
              <w:tl2br w:val="nil"/>
              <w:tr2bl w:val="nil"/>
            </w:tcBorders>
          </w:tcPr>
          <w:p w14:paraId="55EE11C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0C56019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</w:tcPr>
          <w:p w14:paraId="6ADECEF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  <w:p w14:paraId="6065F790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(2013.06-2014.11)</w:t>
            </w:r>
          </w:p>
        </w:tc>
        <w:tc>
          <w:tcPr>
            <w:tcW w:w="424" w:type="dxa"/>
            <w:tcBorders>
              <w:tl2br w:val="nil"/>
              <w:tr2bl w:val="nil"/>
            </w:tcBorders>
          </w:tcPr>
          <w:p w14:paraId="67C66278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172F6CEE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14B842C0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646241C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682EED3A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43C4CDAB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622B485D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5917E5E7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880" w:type="dxa"/>
            <w:tcBorders>
              <w:tl2br w:val="nil"/>
              <w:tr2bl w:val="nil"/>
            </w:tcBorders>
          </w:tcPr>
          <w:p w14:paraId="6CB12059"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55E366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14EF58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338" w:type="dxa"/>
            <w:tcBorders>
              <w:tl2br w:val="nil"/>
              <w:tr2bl w:val="nil"/>
            </w:tcBorders>
          </w:tcPr>
          <w:p w14:paraId="0676CADC">
            <w:pPr>
              <w:rPr>
                <w:rFonts w:hint="default" w:ascii="Times New Roman" w:hAnsi="Times New Roman" w:cs="Times New Roman"/>
                <w:vertAlign w:val="baseline"/>
              </w:rPr>
            </w:pPr>
            <w:bookmarkStart w:id="1" w:name="OLE_LINK8" w:colFirst="0" w:colLast="12"/>
            <w:r>
              <w:rPr>
                <w:rFonts w:hint="default" w:ascii="Times New Roman" w:hAnsi="Times New Roman" w:cs="Times New Roman"/>
                <w:vertAlign w:val="baseline"/>
              </w:rPr>
              <w:t>Fritz 2018</w:t>
            </w:r>
          </w:p>
        </w:tc>
        <w:tc>
          <w:tcPr>
            <w:tcW w:w="326" w:type="dxa"/>
            <w:tcBorders>
              <w:tl2br w:val="nil"/>
              <w:tr2bl w:val="nil"/>
            </w:tcBorders>
          </w:tcPr>
          <w:p w14:paraId="6766353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20B016F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</w:tcPr>
          <w:p w14:paraId="01B2F91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424" w:type="dxa"/>
            <w:tcBorders>
              <w:tl2br w:val="nil"/>
              <w:tr2bl w:val="nil"/>
            </w:tcBorders>
          </w:tcPr>
          <w:p w14:paraId="7F7E77C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345A6F1F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6CD1BA2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Unclear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19AADE3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7D01D6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628E448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</w:tcPr>
          <w:p w14:paraId="0413B29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</w:tcPr>
          <w:p w14:paraId="596DAA8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</w:tcPr>
          <w:p w14:paraId="60E0A45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659C548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7EDFDC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5E887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Pusukuru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2016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71728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594C8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8B76E0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  <w:p w14:paraId="3835779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(2012-2014)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FD26D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47B737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AAC1A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09086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76E80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Unclear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654C48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2069C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DB39B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639C2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5328F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50C5206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98ABCF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Ying 2015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1B8B43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5ED565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A77024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  <w:p w14:paraId="65100AC4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(2014.01-2015.02)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23ECC3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E4F973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45693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70EB7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73C9E7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96B9E0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86DB8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C8B330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1EB98A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EE098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145448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A3086F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Okojie 2011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66A509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7263E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2B3FD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  <w:p w14:paraId="259C3C1E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(2009.03-2010.02)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09FADB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8F5CA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E324B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66F54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0B4BDC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E695E0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E978D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D37BD1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80BF15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860E3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High</w:t>
            </w:r>
          </w:p>
        </w:tc>
      </w:tr>
      <w:tr w14:paraId="33A7BD7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B94F44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Lippi 2007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DF390B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CF7FE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9ED01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F1250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B7B78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FAD38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593DA5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48D4A73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E6308E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8EE7C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E781A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F958E3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BABF4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Moderate</w:t>
            </w:r>
          </w:p>
        </w:tc>
      </w:tr>
      <w:tr w14:paraId="47E65F3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B3381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Piechota 1992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C7C529">
            <w:pPr>
              <w:ind w:firstLine="375" w:firstLineChars="0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A739FB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E7541E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84C53D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13E21F7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08F0DC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90B3A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56B0F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79EA0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A86D05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16D60E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20A39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9CBED1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Moderate</w:t>
            </w:r>
          </w:p>
        </w:tc>
      </w:tr>
      <w:tr w14:paraId="30A766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81D695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DESOYE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1987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53489B">
            <w:pPr>
              <w:ind w:firstLine="375" w:firstLineChars="0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7CB23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C3038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1F620A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25307A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3C4896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26C248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EC2429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No</w:t>
            </w:r>
          </w:p>
        </w:tc>
        <w:tc>
          <w:tcPr>
            <w:tcW w:w="4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74C707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0A734F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6E6222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Yes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FDFE61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29BE5B">
            <w:pP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High</w:t>
            </w:r>
          </w:p>
        </w:tc>
      </w:tr>
      <w:bookmarkEnd w:id="1"/>
    </w:tbl>
    <w:p w14:paraId="73CB4422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①：Define the source of information (survey, record review). ②：List inclusion and exclusion criteria for exposed and unexposed subjects (cases and controls) or refer to previous publications. ③：Indicate time period used for identifying patients. 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Indicate whether or not subjects were consecutive if not population-based.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8" w:name="_GoBack"/>
      <w:bookmarkEnd w:id="8"/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⑤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：Indicate if evaluators of subjective components of study were masked to other aspects of the participants. ⑥：Describe any assessments undertaken for quality assurance purposes (e.g.,test/retest of primary outcome measurements). ⑦：</w:t>
      </w:r>
      <w:bookmarkStart w:id="2" w:name="OLE_LINK6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Explain any patient exclusions from analysis</w:t>
      </w:r>
      <w:bookmarkEnd w:id="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⑧：Describe how confounding was assessed and/or controlled.⑨：If applicable, explain how missing data were handled in the analysis. ⑩</w:t>
      </w:r>
      <w:bookmarkStart w:id="3" w:name="OLE_LINK7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：Summarize patient respons</w:t>
      </w:r>
      <w:bookmarkStart w:id="4" w:name="OLE_LINK1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 rates an</w:t>
      </w:r>
      <w:bookmarkEnd w:id="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 completeness of data collection.</w:t>
      </w:r>
      <w:bookmarkEnd w:id="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⑪：</w:t>
      </w:r>
      <w:bookmarkStart w:id="5" w:name="OLE_LINK5"/>
      <w:bookmarkStart w:id="6" w:name="OLE_LINK9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</w:t>
      </w:r>
      <w:bookmarkStart w:id="7" w:name="OLE_LINK1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larify what follow-up, if any, was expected and the percentage of patients for which incomplete data or follow-up was obtained</w:t>
      </w:r>
      <w:bookmarkEnd w:id="5"/>
      <w:bookmarkEnd w:id="6"/>
      <w:bookmarkEnd w:id="7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The methodological quality of the studies included was assessed using an 11-item checklist which was recommended by Agency for Healthcare Research and Quality (AHRQ). An item would be scored ‘0’ if it was answered ‘NO’ or ‘UNCLEAR’; if it was answered ‘YES’, then the item scored ‘1’. Article quality was assessed as follows: low quality = 0–3; moderate quality = 4–7; high quality = 8–11.  </w:t>
      </w:r>
    </w:p>
    <w:p w14:paraId="4CF7414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 w14:paraId="50CAC3B3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5D2A53A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0F79B23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FE3F7F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1C043CD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75044C1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2DB5994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4768403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3056491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3901D73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A60BD6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713AF59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8771ECE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F7945D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8BF070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4669F00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F215BE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FDE8506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167C9B1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650E1114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6335AF2C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8E0B59C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76E154F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Table 3.</w:t>
      </w:r>
    </w:p>
    <w:p w14:paraId="53A90AB2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Egger's tests for publication bias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652"/>
        <w:gridCol w:w="934"/>
        <w:gridCol w:w="1198"/>
        <w:gridCol w:w="995"/>
        <w:gridCol w:w="672"/>
        <w:gridCol w:w="599"/>
        <w:gridCol w:w="1477"/>
      </w:tblGrid>
      <w:tr w14:paraId="76CD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FB17EF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Pregnant period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90BBD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Lipid profile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(mmol/L)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A0EFC0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Number of studies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EE6FE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Coefficient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1C416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BDB3E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t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8FD31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DA7A73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95%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CI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(mmol/L)</w:t>
            </w:r>
          </w:p>
        </w:tc>
      </w:tr>
      <w:tr w14:paraId="6990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 w14:paraId="568FF30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The 1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  <w:lang w:val="en-US" w:eastAsia="zh-CN"/>
              </w:rPr>
              <w:t>st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trimester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B459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CAB8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5247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1184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6.30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3E55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F347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3DD6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[-11.24,17.28]</w:t>
            </w:r>
          </w:p>
        </w:tc>
      </w:tr>
      <w:tr w14:paraId="5F7A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B40D59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108D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10FE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7AC6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4758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05D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0D33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3381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[-26.77,36.10]</w:t>
            </w:r>
          </w:p>
        </w:tc>
      </w:tr>
      <w:tr w14:paraId="16F6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AF936E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D42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200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C8BF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8515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4FDD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F85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F7D3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[-17.91,16.85]</w:t>
            </w:r>
          </w:p>
        </w:tc>
      </w:tr>
      <w:tr w14:paraId="3BE5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E541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E993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744A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B606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C11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E439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E6F4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92D2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[-18.35,21.43]</w:t>
            </w:r>
          </w:p>
        </w:tc>
      </w:tr>
      <w:tr w14:paraId="0683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B8BB3CC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The 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  <w:lang w:val="en-US" w:eastAsia="zh-CN"/>
              </w:rPr>
              <w:t>nd</w:t>
            </w:r>
          </w:p>
          <w:p w14:paraId="7B9203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B16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9D43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EB9E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EB3B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BE4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277C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03A9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[-33.24,27.77]</w:t>
            </w:r>
          </w:p>
        </w:tc>
      </w:tr>
      <w:tr w14:paraId="3E20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5DD8CE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8931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AACE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C69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CEDA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F878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0E60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AA88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[-31.02,24.02]</w:t>
            </w:r>
          </w:p>
        </w:tc>
      </w:tr>
      <w:tr w14:paraId="6AC7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3F96A1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6A3B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75B8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8347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E261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B044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439A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6F74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[-47.20,28.81]</w:t>
            </w:r>
          </w:p>
        </w:tc>
      </w:tr>
      <w:tr w14:paraId="7090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32EB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8943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D329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5E2A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F023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E14F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AFFF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8CC0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[-33.89,25.05]</w:t>
            </w:r>
          </w:p>
        </w:tc>
      </w:tr>
      <w:tr w14:paraId="63B6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BC44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The 3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  <w:lang w:val="en-US" w:eastAsia="zh-CN"/>
              </w:rPr>
              <w:t>rd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D17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7A86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E667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F839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E8E0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1FDA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CA30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[-12.54,10.67]</w:t>
            </w:r>
          </w:p>
        </w:tc>
      </w:tr>
      <w:tr w14:paraId="2EAB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BCC30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DA9B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2FA7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F07C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1D2F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1B7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9EF7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73BA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[-32.98,19.14]</w:t>
            </w:r>
          </w:p>
        </w:tc>
      </w:tr>
      <w:tr w14:paraId="6C0F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91D703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A470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8E93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2515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-19.84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2371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15.74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9DFB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CC72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3723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[-54.90,15.22]</w:t>
            </w:r>
          </w:p>
        </w:tc>
      </w:tr>
      <w:tr w14:paraId="7418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00B72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6A0402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9C80C2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44116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002992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24081C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34413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DFC85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[-12.94,15.87]</w:t>
            </w:r>
          </w:p>
        </w:tc>
      </w:tr>
    </w:tbl>
    <w:p w14:paraId="4995CAAF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38215A8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0B537B1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397DAADC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F4505EF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59A25CB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0FC9A00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0F26AEF5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96139C4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3D035F9E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D2542CE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92B0E3F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3D6A800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CA837EB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9F92DC6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5269230" cy="5145405"/>
            <wp:effectExtent l="0" t="0" r="7620" b="7620"/>
            <wp:docPr id="15" name="图片 15" descr="supplementary figure1.funnel po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upplementary figure1.funnel pol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4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B0AB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Figure 1.</w:t>
      </w:r>
    </w:p>
    <w:p w14:paraId="0EFA24BD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Funnel plots for publication bias</w:t>
      </w:r>
    </w:p>
    <w:p w14:paraId="0D27CF14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D4AFB2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561FE828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622B6DB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56BA4B16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571FEB46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0D654B6C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8C498C3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977562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583E1B3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DB8C26B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CE3933E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A377DB3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A05D0CD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BCE5999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5271135" cy="5544820"/>
            <wp:effectExtent l="0" t="0" r="5715" b="8255"/>
            <wp:docPr id="16" name="图片 16" descr="逐一排除法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逐一排除法-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A4CC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3A2B2D7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Figure 2.</w:t>
      </w:r>
    </w:p>
    <w:p w14:paraId="1B745127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Leave-one out plots for sensitivity-analyses</w:t>
      </w:r>
    </w:p>
    <w:p w14:paraId="7829AE7E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86C90A2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3C2CA868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6DF24601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7B433B03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CA1852D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77D0F14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97E3B5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FAE348A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6C5AA998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text" w:horzAnchor="page" w:tblpX="1755" w:tblpY="292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8"/>
        <w:gridCol w:w="630"/>
        <w:gridCol w:w="3991"/>
        <w:gridCol w:w="582"/>
        <w:gridCol w:w="854"/>
        <w:gridCol w:w="807"/>
        <w:gridCol w:w="774"/>
      </w:tblGrid>
      <w:tr w14:paraId="0027DF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96" w:type="dxa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4EBDE3">
            <w:pPr>
              <w:pStyle w:val="3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The establishment of lipid profiles reference ranges during pregnancy: A systematic review and meta-analysis</w:t>
            </w:r>
          </w:p>
        </w:tc>
      </w:tr>
      <w:tr w14:paraId="0F3378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6" w:hRule="atLeast"/>
        </w:trPr>
        <w:tc>
          <w:tcPr>
            <w:tcW w:w="8396" w:type="dxa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5C5C86">
            <w:pPr>
              <w:spacing w:after="240"/>
              <w:rPr>
                <w:rFonts w:hint="default" w:ascii="Arial" w:hAnsi="Arial" w:cs="Arial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Patient or population: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Healthy singleton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pregnant women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Settings: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Investigate the changes in serum lipid levels during pregnancy among healthy singleton pregnant women globally(aged≥14 years), with no limitation on nationality, ethnicity and parity.</w:t>
            </w:r>
          </w:p>
        </w:tc>
      </w:tr>
      <w:tr w14:paraId="24280A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8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 w14:paraId="393DC639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4621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3D3D3"/>
          </w:tcPr>
          <w:p w14:paraId="6A45FD75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Illustrative comparative risks* (95% CI)</w:t>
            </w:r>
          </w:p>
        </w:tc>
        <w:tc>
          <w:tcPr>
            <w:tcW w:w="582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 w14:paraId="72034436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Relative effect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85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 w14:paraId="59551265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No of Participants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(studies)</w:t>
            </w:r>
          </w:p>
        </w:tc>
        <w:tc>
          <w:tcPr>
            <w:tcW w:w="807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 w14:paraId="7050CFAC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Quality of the evidence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(GRADE)</w:t>
            </w:r>
          </w:p>
        </w:tc>
        <w:tc>
          <w:tcPr>
            <w:tcW w:w="77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 w14:paraId="7BDB8BBB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Comments</w:t>
            </w:r>
          </w:p>
        </w:tc>
      </w:tr>
      <w:tr w14:paraId="3F79EF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8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6E998A0B">
            <w:pPr>
              <w:rPr>
                <w:rFonts w:ascii="Arial" w:hAnsi="Arial" w:eastAsia="宋体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 w14:paraId="5251E763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Assumed risk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 w14:paraId="204B24DC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Corresponding risk</w:t>
            </w:r>
          </w:p>
        </w:tc>
        <w:tc>
          <w:tcPr>
            <w:tcW w:w="582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6C5D2864">
            <w:pPr>
              <w:rPr>
                <w:rFonts w:ascii="Arial" w:hAnsi="Arial" w:eastAsia="宋体" w:cs="Arial"/>
                <w:sz w:val="16"/>
                <w:szCs w:val="16"/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366B594F">
            <w:pPr>
              <w:rPr>
                <w:rFonts w:ascii="Arial" w:hAnsi="Arial" w:eastAsia="宋体" w:cs="Arial"/>
                <w:sz w:val="16"/>
                <w:szCs w:val="16"/>
              </w:rPr>
            </w:pPr>
          </w:p>
        </w:tc>
        <w:tc>
          <w:tcPr>
            <w:tcW w:w="807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4416F6D0">
            <w:pPr>
              <w:rPr>
                <w:rFonts w:ascii="Arial" w:hAnsi="Arial" w:eastAsia="宋体" w:cs="Arial"/>
                <w:sz w:val="16"/>
                <w:szCs w:val="16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3BDD914B">
            <w:pPr>
              <w:rPr>
                <w:rFonts w:ascii="Arial" w:hAnsi="Arial" w:eastAsia="宋体" w:cs="Arial"/>
                <w:sz w:val="16"/>
                <w:szCs w:val="16"/>
              </w:rPr>
            </w:pPr>
          </w:p>
        </w:tc>
      </w:tr>
      <w:tr w14:paraId="5D6205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 w14:paraId="77AC98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 w14:paraId="02D79CE4">
            <w:pPr>
              <w:pStyle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39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 w14:paraId="28563A59">
            <w:pPr>
              <w:pStyle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Pregnancy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 w14:paraId="541CDA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 w14:paraId="6EF96FF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 w14:paraId="6D328B8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 w14:paraId="001C0BB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B5600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1EA8E245">
            <w:pPr>
              <w:pStyle w:val="3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The reference intervals of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ipid profiles during pregnancy</w:t>
            </w:r>
          </w:p>
          <w:p w14:paraId="68B04137">
            <w:pPr>
              <w:pStyle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random effect model by the software Stata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Scale from: 0 to 5.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Follow-up: 1987-2020 </w:t>
            </w:r>
          </w:p>
        </w:tc>
        <w:tc>
          <w:tcPr>
            <w:tcW w:w="630" w:type="dxa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 w14:paraId="5760B6F7">
            <w:pPr>
              <w:pStyle w:val="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vAlign w:val="top"/>
          </w:tcPr>
          <w:p w14:paraId="43B5362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32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The pooled means(95%CI) of lipid profiles during three pregnant trimester:</w:t>
            </w:r>
          </w:p>
          <w:p w14:paraId="32BCEC9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32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TC:4.40(4.30-4.50);5.83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5.49-6.17);6.65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6.52-6.78)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;</w:t>
            </w:r>
          </w:p>
          <w:p w14:paraId="26AA54F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3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TG:1.15(1.03-1.28);2.15(1.91-2.38;);2.91(2.67-3.15)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;</w:t>
            </w:r>
          </w:p>
          <w:p w14:paraId="05E675F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32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HDL:1.60(CI:1.54-1.65);1.74(1.58-1.90)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1.70(4.30-4.50). </w:t>
            </w:r>
          </w:p>
          <w:p w14:paraId="2DDFB97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320" w:firstLineChars="200"/>
              <w:jc w:val="both"/>
              <w:textAlignment w:val="auto"/>
              <w:rPr>
                <w:rFonts w:hint="default" w:ascii="Arial" w:hAnsi="Arial" w:cs="Arial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LDL:2.35(2.25-2.46);3.27(2.98-3.58);3.81(3.68-3.94).</w:t>
            </w:r>
          </w:p>
        </w:tc>
        <w:tc>
          <w:tcPr>
            <w:tcW w:w="58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2F91D0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44BCDC1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54517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(13 studies)</w:t>
            </w:r>
          </w:p>
        </w:tc>
        <w:tc>
          <w:tcPr>
            <w:tcW w:w="80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6262AF59">
            <w:pPr>
              <w:pStyle w:val="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⊕⊕⊕⊝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77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14:paraId="77AAE6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E2A7C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396" w:type="dxa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2C9DC19E">
            <w:pPr>
              <w:rPr>
                <w:rFonts w:hint="default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5942965</wp:posOffset>
                      </wp:positionH>
                      <wp:positionV relativeFrom="paragraph">
                        <wp:posOffset>167005</wp:posOffset>
                      </wp:positionV>
                      <wp:extent cx="2133600" cy="1720215"/>
                      <wp:effectExtent l="0" t="0" r="0" b="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661535" y="3286760"/>
                                <a:ext cx="2133600" cy="1720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68AB">
                                  <w:pPr>
                                    <w:pStyle w:val="3"/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tLeast"/>
                                    <w:jc w:val="both"/>
                                    <w:textAlignment w:val="auto"/>
                                    <w:rPr>
                                      <w:rFonts w:hint="default" w:eastAsiaTheme="minorEastAsia"/>
                                      <w:color w:val="AFABAB" w:themeColor="background2" w:themeShade="BF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7.95pt;margin-top:13.15pt;height:135.45pt;width:168pt;z-index:251659264;mso-width-relative:page;mso-height-relative:page;" filled="f" stroked="f" coordsize="21600,21600" o:gfxdata="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/LHELbAAAACwEAAA8AAAAA&#10;AAAAAQAgAAAAIgAAAGRycy9kb3ducmV2LnhtbFBLAQIUABQAAAAIAIdO4kC9dPr7SgIAAHUEAAAO&#10;AAAAAAAAAAEAIAAAACoBAABkcnMvZTJvRG9jLnhtbFBLBQYAAAAABgAGAFkBAADm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54868AB"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jc w:val="both"/>
                              <w:textAlignment w:val="auto"/>
                              <w:rPr>
                                <w:rFonts w:hint="default" w:eastAsiaTheme="minorEastAsia"/>
                                <w:color w:val="AFABAB" w:themeColor="background2" w:themeShade="BF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*The basis for the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assumed risk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(e.g. the median control group risk across studies) is provided in footnotes. The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corresponding risk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(and its 95% confidence interval) is based on the assumed risk in the comparison group and the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relative effect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of the intervention (and its 95% CI).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CI: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Confidence interval; </w:t>
            </w:r>
          </w:p>
        </w:tc>
      </w:tr>
      <w:tr w14:paraId="00B9E0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</w:trPr>
        <w:tc>
          <w:tcPr>
            <w:tcW w:w="8396" w:type="dxa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4E3E5731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GRADE Working Group grades of evidence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High quality: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Further research is very unlikely to change our confidence in the estimate of effect.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Moderate quality: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Low quality: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Very low quality: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We are very uncertain about the estimate.</w:t>
            </w:r>
          </w:p>
        </w:tc>
      </w:tr>
      <w:tr w14:paraId="3BBB7F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8396" w:type="dxa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72793D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The means of lipid profile in the same gestational periods present a high degree of agreement between different studies.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Different geographical regions, ages, instruments, assay methods and years are viewed as potential confounding factors.</w:t>
            </w:r>
          </w:p>
        </w:tc>
      </w:tr>
    </w:tbl>
    <w:p w14:paraId="20D8C3BE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Figure3.The evidence assessment of meta-analysis results with the GRADE tool</w:t>
      </w:r>
    </w:p>
    <w:p w14:paraId="4250A6FB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0758E5"/>
    <w:multiLevelType w:val="singleLevel"/>
    <w:tmpl w:val="AA0758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23BB7"/>
    <w:rsid w:val="029A2648"/>
    <w:rsid w:val="02E24E39"/>
    <w:rsid w:val="0D4B5661"/>
    <w:rsid w:val="0E7A447D"/>
    <w:rsid w:val="13D12EE6"/>
    <w:rsid w:val="180A4FD9"/>
    <w:rsid w:val="1A7F5B09"/>
    <w:rsid w:val="1D9E208B"/>
    <w:rsid w:val="294D1794"/>
    <w:rsid w:val="2A070140"/>
    <w:rsid w:val="30C91C0A"/>
    <w:rsid w:val="35F04BB3"/>
    <w:rsid w:val="3DB66B25"/>
    <w:rsid w:val="3E213DF1"/>
    <w:rsid w:val="417C0F7C"/>
    <w:rsid w:val="44A42751"/>
    <w:rsid w:val="593735A2"/>
    <w:rsid w:val="599B194A"/>
    <w:rsid w:val="5B082244"/>
    <w:rsid w:val="5BAF276C"/>
    <w:rsid w:val="602D281F"/>
    <w:rsid w:val="603B4F3C"/>
    <w:rsid w:val="606749B9"/>
    <w:rsid w:val="62823BB7"/>
    <w:rsid w:val="682442B4"/>
    <w:rsid w:val="68A11FFC"/>
    <w:rsid w:val="6C61627C"/>
    <w:rsid w:val="6E423939"/>
    <w:rsid w:val="6EB67030"/>
    <w:rsid w:val="71A822A8"/>
    <w:rsid w:val="729C539E"/>
    <w:rsid w:val="765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1046</Words>
  <Characters>6052</Characters>
  <Lines>0</Lines>
  <Paragraphs>0</Paragraphs>
  <TotalTime>17</TotalTime>
  <ScaleCrop>false</ScaleCrop>
  <LinksUpToDate>false</LinksUpToDate>
  <CharactersWithSpaces>6711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2025-03-21T07:38:00Z</dcterms:created>
  <dc:creator>僚游毒胸耙</dc:creator>
  <cp:lastModifiedBy>小糯圆子</cp:lastModifiedBy>
  <dcterms:modified xsi:type="dcterms:W3CDTF">2025-07-05T17:38:19Z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A7D38C3136A04FE498E2421986F3261F_11</vt:lpwstr>
  </property>
  <property fmtid="{D5CDD505-2E9C-101B-9397-08002B2CF9AE}" pid="4" name="KSOTemplateDocerSaveRecord">
    <vt:lpwstr>eyJoZGlkIjoiZjFhNDE3YzZkOGVkODE1ZjQwNGYwMjI1YjljZGYwODEiLCJ1c2VySWQiOiIzOTM4MjI3ODQifQ==</vt:lpwstr>
  </property>
</Properties>
</file>