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35" w:rsidRDefault="00280835" w:rsidP="00F47776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Figure </w:t>
      </w:r>
      <w:r w:rsidR="002F4EE2">
        <w:rPr>
          <w:rFonts w:ascii="Times New Roman" w:hAnsi="Times New Roman" w:cs="Times New Roman"/>
          <w:sz w:val="24"/>
          <w:szCs w:val="24"/>
          <w:u w:val="single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1</w:t>
      </w:r>
    </w:p>
    <w:p w:rsidR="00280835" w:rsidRDefault="00280835" w:rsidP="00F47776">
      <w:pPr>
        <w:spacing w:line="48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Incidence of pulmonary embolism in Greece from 1999 to 2008 (A) and 2009-2012 (B)</w:t>
      </w:r>
    </w:p>
    <w:p w:rsidR="00280835" w:rsidRDefault="00280835" w:rsidP="00F47776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280835" w:rsidRDefault="00280835" w:rsidP="00F47776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00500" cy="3314700"/>
            <wp:effectExtent l="19050" t="19050" r="19050" b="19050"/>
            <wp:docPr id="3" name="Εικόνα 3" descr="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2" descr="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31470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80835" w:rsidRDefault="00280835" w:rsidP="00F47776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00500" cy="3314700"/>
            <wp:effectExtent l="19050" t="19050" r="19050" b="19050"/>
            <wp:docPr id="2" name="Εικόνα 2" descr="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31470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80835" w:rsidRDefault="00280835" w:rsidP="00F47776">
      <w:pPr>
        <w:spacing w:after="160" w:line="48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br w:type="page"/>
      </w:r>
    </w:p>
    <w:p w:rsidR="00280835" w:rsidRDefault="00280835" w:rsidP="00F47776">
      <w:pPr>
        <w:spacing w:after="160" w:line="48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55074A" w:rsidRDefault="0055074A" w:rsidP="00F47776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Figure </w:t>
      </w:r>
      <w:r w:rsidR="002F4EE2">
        <w:rPr>
          <w:rFonts w:ascii="Times New Roman" w:hAnsi="Times New Roman" w:cs="Times New Roman"/>
          <w:sz w:val="24"/>
          <w:szCs w:val="24"/>
          <w:u w:val="single"/>
          <w:lang w:val="en-US"/>
        </w:rPr>
        <w:t>S</w:t>
      </w:r>
      <w:r w:rsidR="00280835">
        <w:rPr>
          <w:rFonts w:ascii="Times New Roman" w:hAnsi="Times New Roman" w:cs="Times New Roman"/>
          <w:sz w:val="24"/>
          <w:szCs w:val="24"/>
          <w:u w:val="single"/>
          <w:lang w:val="en-US"/>
        </w:rPr>
        <w:t>2</w:t>
      </w:r>
    </w:p>
    <w:p w:rsidR="0055074A" w:rsidRDefault="0055074A" w:rsidP="00F47776">
      <w:pPr>
        <w:spacing w:line="48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Distribution of PE between the two genders during the periods 1999 to 2007.</w:t>
      </w:r>
    </w:p>
    <w:p w:rsidR="0055074A" w:rsidRDefault="0055074A" w:rsidP="00F47776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>
            <wp:extent cx="5274310" cy="3237230"/>
            <wp:effectExtent l="0" t="0" r="2540" b="1270"/>
            <wp:docPr id="1" name="Γράφημα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5322D" w:rsidRDefault="0025322D" w:rsidP="00F47776">
      <w:pPr>
        <w:spacing w:line="480" w:lineRule="auto"/>
        <w:contextualSpacing/>
        <w:rPr>
          <w:lang w:val="en-US"/>
        </w:rPr>
      </w:pPr>
    </w:p>
    <w:p w:rsidR="00B849C4" w:rsidRDefault="00B849C4" w:rsidP="00F47776">
      <w:pPr>
        <w:spacing w:line="480" w:lineRule="auto"/>
        <w:contextualSpacing/>
        <w:rPr>
          <w:lang w:val="en-US"/>
        </w:rPr>
      </w:pPr>
    </w:p>
    <w:p w:rsidR="00B849C4" w:rsidRDefault="00B849C4" w:rsidP="00F47776">
      <w:pPr>
        <w:spacing w:after="160" w:line="480" w:lineRule="auto"/>
        <w:contextualSpacing/>
        <w:rPr>
          <w:lang w:val="en-US"/>
        </w:rPr>
      </w:pPr>
      <w:r>
        <w:rPr>
          <w:lang w:val="en-US"/>
        </w:rPr>
        <w:br w:type="page"/>
      </w:r>
      <w:r w:rsidR="002F4EE2">
        <w:rPr>
          <w:lang w:val="en-US"/>
        </w:rPr>
        <w:lastRenderedPageBreak/>
        <w:t>-</w:t>
      </w:r>
    </w:p>
    <w:p w:rsidR="00B849C4" w:rsidRDefault="00B849C4" w:rsidP="00F47776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Figure </w:t>
      </w:r>
      <w:r w:rsidR="002F4EE2">
        <w:rPr>
          <w:rFonts w:ascii="Times New Roman" w:hAnsi="Times New Roman" w:cs="Times New Roman"/>
          <w:sz w:val="24"/>
          <w:szCs w:val="24"/>
          <w:u w:val="single"/>
          <w:lang w:val="en-US"/>
        </w:rPr>
        <w:t>S</w:t>
      </w:r>
      <w:r w:rsidR="00280835">
        <w:rPr>
          <w:rFonts w:ascii="Times New Roman" w:hAnsi="Times New Roman" w:cs="Times New Roman"/>
          <w:sz w:val="24"/>
          <w:szCs w:val="24"/>
          <w:u w:val="single"/>
          <w:lang w:val="en-US"/>
        </w:rPr>
        <w:t>3</w:t>
      </w:r>
    </w:p>
    <w:p w:rsidR="00B849C4" w:rsidRDefault="00B849C4" w:rsidP="00F47776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Percentage </w:t>
      </w:r>
      <w:r w:rsidR="002F4EE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of PE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cases in females (A) and males (B) throughout the years 1999 to 2007 </w:t>
      </w:r>
    </w:p>
    <w:p w:rsidR="00B849C4" w:rsidRDefault="00B849C4" w:rsidP="00F47776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13020" cy="3101340"/>
            <wp:effectExtent l="0" t="0" r="11430" b="3810"/>
            <wp:docPr id="10" name="Γράφημα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849C4" w:rsidRDefault="00B849C4" w:rsidP="00F47776">
      <w:pPr>
        <w:tabs>
          <w:tab w:val="left" w:pos="1500"/>
        </w:tabs>
        <w:spacing w:line="48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ab/>
      </w:r>
    </w:p>
    <w:p w:rsidR="00B849C4" w:rsidRDefault="00B849C4" w:rsidP="00F47776">
      <w:pPr>
        <w:tabs>
          <w:tab w:val="left" w:pos="1500"/>
        </w:tabs>
        <w:spacing w:line="48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B849C4" w:rsidRDefault="00B849C4" w:rsidP="00F47776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13020" cy="3246120"/>
            <wp:effectExtent l="0" t="0" r="11430" b="11430"/>
            <wp:docPr id="11" name="Γράφημα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80835" w:rsidRDefault="00280835" w:rsidP="00F47776">
      <w:pPr>
        <w:spacing w:after="160" w:line="48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bookmarkStart w:id="0" w:name="_GoBack"/>
      <w:bookmarkEnd w:id="0"/>
    </w:p>
    <w:p w:rsidR="00280835" w:rsidRDefault="00280835" w:rsidP="00F47776">
      <w:pPr>
        <w:spacing w:line="480" w:lineRule="auto"/>
        <w:contextualSpacing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Table </w:t>
      </w:r>
      <w:r w:rsidR="002F4EE2">
        <w:rPr>
          <w:rFonts w:eastAsiaTheme="minorHAnsi"/>
          <w:lang w:val="en-US"/>
        </w:rPr>
        <w:t>S</w:t>
      </w:r>
      <w:r>
        <w:rPr>
          <w:rFonts w:eastAsiaTheme="minorHAnsi"/>
          <w:lang w:val="en-US"/>
        </w:rPr>
        <w:t>1</w:t>
      </w:r>
    </w:p>
    <w:p w:rsidR="002F4EE2" w:rsidRPr="00280835" w:rsidRDefault="002F4EE2" w:rsidP="00F47776">
      <w:pPr>
        <w:spacing w:line="480" w:lineRule="auto"/>
        <w:contextualSpacing/>
        <w:rPr>
          <w:rFonts w:eastAsiaTheme="minorHAnsi"/>
          <w:lang w:val="en-US"/>
        </w:rPr>
      </w:pPr>
      <w:r>
        <w:rPr>
          <w:rFonts w:eastAsiaTheme="minorHAnsi"/>
          <w:lang w:val="en-US"/>
        </w:rPr>
        <w:t>Number of deaths and Mortality from PE during the years 1999-2007</w:t>
      </w:r>
    </w:p>
    <w:tbl>
      <w:tblPr>
        <w:tblW w:w="6560" w:type="dxa"/>
        <w:tblInd w:w="98" w:type="dxa"/>
        <w:tblLook w:val="04A0"/>
      </w:tblPr>
      <w:tblGrid>
        <w:gridCol w:w="960"/>
        <w:gridCol w:w="1023"/>
        <w:gridCol w:w="963"/>
        <w:gridCol w:w="960"/>
        <w:gridCol w:w="736"/>
        <w:gridCol w:w="984"/>
        <w:gridCol w:w="934"/>
      </w:tblGrid>
      <w:tr w:rsidR="002F4EE2" w:rsidTr="00B47285">
        <w:trPr>
          <w:trHeight w:val="288"/>
        </w:trPr>
        <w:tc>
          <w:tcPr>
            <w:tcW w:w="3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Number</w:t>
            </w:r>
            <w:proofErr w:type="spellEnd"/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Deaths</w:t>
            </w:r>
            <w:proofErr w:type="spellEnd"/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E2" w:rsidRP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  <w:lang w:val="en-US"/>
              </w:rPr>
              <w:t xml:space="preserve">Mortality </w:t>
            </w:r>
          </w:p>
        </w:tc>
      </w:tr>
      <w:tr w:rsidR="002F4EE2" w:rsidTr="002F4EE2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Year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Male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Female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Total</w:t>
            </w:r>
          </w:p>
        </w:tc>
      </w:tr>
      <w:tr w:rsidR="002F4EE2" w:rsidTr="0004465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1,79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2,34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2,07</w:t>
            </w:r>
          </w:p>
        </w:tc>
      </w:tr>
      <w:tr w:rsidR="002F4EE2" w:rsidTr="0004465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1,79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2,32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2,06</w:t>
            </w:r>
          </w:p>
        </w:tc>
      </w:tr>
      <w:tr w:rsidR="002F4EE2" w:rsidTr="0004465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1,33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1,88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1,61</w:t>
            </w:r>
          </w:p>
        </w:tc>
      </w:tr>
      <w:tr w:rsidR="002F4EE2" w:rsidTr="0004465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0,46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2,61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1,55</w:t>
            </w:r>
          </w:p>
        </w:tc>
      </w:tr>
      <w:tr w:rsidR="002F4EE2" w:rsidTr="0004465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1,79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1,21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1,50</w:t>
            </w:r>
          </w:p>
        </w:tc>
      </w:tr>
      <w:tr w:rsidR="002F4EE2" w:rsidTr="0004465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1,77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2,46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2,12</w:t>
            </w:r>
          </w:p>
        </w:tc>
      </w:tr>
      <w:tr w:rsidR="002F4EE2" w:rsidTr="0004465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3,10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2,03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2,56</w:t>
            </w:r>
          </w:p>
        </w:tc>
      </w:tr>
      <w:tr w:rsidR="002F4EE2" w:rsidTr="0004465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1,33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3,33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2,34</w:t>
            </w:r>
          </w:p>
        </w:tc>
      </w:tr>
      <w:tr w:rsidR="002F4EE2" w:rsidTr="0004465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2,07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2,61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EE2" w:rsidRDefault="002F4EE2" w:rsidP="00F47776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2,34</w:t>
            </w:r>
          </w:p>
        </w:tc>
      </w:tr>
    </w:tbl>
    <w:p w:rsidR="00280835" w:rsidRDefault="00280835" w:rsidP="00F47776">
      <w:pPr>
        <w:tabs>
          <w:tab w:val="left" w:pos="1720"/>
        </w:tabs>
        <w:spacing w:line="480" w:lineRule="auto"/>
        <w:contextualSpacing/>
        <w:rPr>
          <w:rFonts w:eastAsiaTheme="minorHAnsi"/>
          <w:lang w:val="en-US" w:eastAsia="en-US"/>
        </w:rPr>
      </w:pPr>
    </w:p>
    <w:p w:rsidR="00B849C4" w:rsidRDefault="00B849C4" w:rsidP="00F47776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B849C4" w:rsidRPr="0055074A" w:rsidRDefault="00B849C4" w:rsidP="00F47776">
      <w:pPr>
        <w:spacing w:line="480" w:lineRule="auto"/>
        <w:contextualSpacing/>
        <w:rPr>
          <w:lang w:val="en-US"/>
        </w:rPr>
      </w:pPr>
    </w:p>
    <w:sectPr w:rsidR="00B849C4" w:rsidRPr="0055074A" w:rsidSect="00A20E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5322D"/>
    <w:rsid w:val="0025322D"/>
    <w:rsid w:val="00280835"/>
    <w:rsid w:val="002F4EE2"/>
    <w:rsid w:val="00363629"/>
    <w:rsid w:val="0055074A"/>
    <w:rsid w:val="009D06EA"/>
    <w:rsid w:val="00A20E6A"/>
    <w:rsid w:val="00B849C4"/>
    <w:rsid w:val="00F47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74A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47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47776"/>
    <w:rPr>
      <w:rFonts w:ascii="Tahoma" w:eastAsiaTheme="minorEastAsi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8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948;&#953;&#959;&#961;&#952;&#969;&#956;&#941;&#957;&#945;%20&#928;&#917;%20&#963;&#964;&#959;&#953;&#967;&#949;&#943;&#945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914;&#953;&#946;&#955;&#943;&#959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914;&#953;&#946;&#955;&#943;&#959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l-G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Φύλλο1!$B$25</c:f>
              <c:strCache>
                <c:ptCount val="1"/>
                <c:pt idx="0">
                  <c:v>Male</c:v>
                </c:pt>
              </c:strCache>
            </c:strRef>
          </c:tx>
          <c:cat>
            <c:numRef>
              <c:f>Φύλλο1!$A$26:$A$34</c:f>
              <c:numCache>
                <c:formatCode>General</c:formatCode>
                <c:ptCount val="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</c:numCache>
            </c:numRef>
          </c:cat>
          <c:val>
            <c:numRef>
              <c:f>Φύλλο1!$B$26:$B$34</c:f>
              <c:numCache>
                <c:formatCode>0.00%</c:formatCode>
                <c:ptCount val="9"/>
                <c:pt idx="0">
                  <c:v>0.46250000000000002</c:v>
                </c:pt>
                <c:pt idx="1">
                  <c:v>0.41520000000000001</c:v>
                </c:pt>
                <c:pt idx="2" formatCode="0%">
                  <c:v>0.4</c:v>
                </c:pt>
                <c:pt idx="3">
                  <c:v>0.41090000000000032</c:v>
                </c:pt>
                <c:pt idx="4">
                  <c:v>0.53649999999999998</c:v>
                </c:pt>
                <c:pt idx="5">
                  <c:v>0.41370000000000001</c:v>
                </c:pt>
                <c:pt idx="6">
                  <c:v>0.48080000000000195</c:v>
                </c:pt>
                <c:pt idx="7">
                  <c:v>0.38770000000000032</c:v>
                </c:pt>
                <c:pt idx="8">
                  <c:v>0.51390000000000002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C0-4367-B532-49863FC34108}"/>
            </c:ext>
          </c:extLst>
        </c:ser>
        <c:ser>
          <c:idx val="1"/>
          <c:order val="1"/>
          <c:tx>
            <c:strRef>
              <c:f>Φύλλο1!$C$25</c:f>
              <c:strCache>
                <c:ptCount val="1"/>
                <c:pt idx="0">
                  <c:v>Female</c:v>
                </c:pt>
              </c:strCache>
            </c:strRef>
          </c:tx>
          <c:cat>
            <c:numRef>
              <c:f>Φύλλο1!$A$26:$A$34</c:f>
              <c:numCache>
                <c:formatCode>General</c:formatCode>
                <c:ptCount val="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</c:numCache>
            </c:numRef>
          </c:cat>
          <c:val>
            <c:numRef>
              <c:f>Φύλλο1!$C$26:$C$34</c:f>
              <c:numCache>
                <c:formatCode>0.00%</c:formatCode>
                <c:ptCount val="9"/>
                <c:pt idx="0">
                  <c:v>0.53749999999999998</c:v>
                </c:pt>
                <c:pt idx="1">
                  <c:v>0.5848000000000001</c:v>
                </c:pt>
                <c:pt idx="2" formatCode="0%">
                  <c:v>0.60000000000000064</c:v>
                </c:pt>
                <c:pt idx="3">
                  <c:v>0.58910000000000007</c:v>
                </c:pt>
                <c:pt idx="4">
                  <c:v>0.46350000000000002</c:v>
                </c:pt>
                <c:pt idx="5">
                  <c:v>0.58629999999999949</c:v>
                </c:pt>
                <c:pt idx="6">
                  <c:v>0.51919999999999999</c:v>
                </c:pt>
                <c:pt idx="7">
                  <c:v>0.61230000000000062</c:v>
                </c:pt>
                <c:pt idx="8">
                  <c:v>0.48610000000000031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4C0-4367-B532-49863FC34108}"/>
            </c:ext>
          </c:extLst>
        </c:ser>
        <c:axId val="109415424"/>
        <c:axId val="109421312"/>
      </c:barChart>
      <c:catAx>
        <c:axId val="109415424"/>
        <c:scaling>
          <c:orientation val="minMax"/>
        </c:scaling>
        <c:axPos val="b"/>
        <c:numFmt formatCode="General" sourceLinked="1"/>
        <c:majorTickMark val="none"/>
        <c:tickLblPos val="nextTo"/>
        <c:crossAx val="109421312"/>
        <c:crosses val="autoZero"/>
        <c:auto val="1"/>
        <c:lblAlgn val="ctr"/>
        <c:lblOffset val="100"/>
      </c:catAx>
      <c:valAx>
        <c:axId val="109421312"/>
        <c:scaling>
          <c:orientation val="minMax"/>
        </c:scaling>
        <c:axPos val="l"/>
        <c:majorGridlines/>
        <c:numFmt formatCode="0.00%" sourceLinked="1"/>
        <c:majorTickMark val="none"/>
        <c:tickLblPos val="nextTo"/>
        <c:crossAx val="10941542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l-GR"/>
  <c:chart>
    <c:title>
      <c:tx>
        <c:rich>
          <a:bodyPr/>
          <a:lstStyle/>
          <a:p>
            <a:pPr>
              <a:defRPr/>
            </a:pPr>
            <a:r>
              <a:rPr lang="en-US"/>
              <a:t>A</a:t>
            </a:r>
            <a:endParaRPr lang="el-GR"/>
          </a:p>
        </c:rich>
      </c:tx>
    </c:title>
    <c:plotArea>
      <c:layout/>
      <c:scatterChart>
        <c:scatterStyle val="smoothMarker"/>
        <c:ser>
          <c:idx val="0"/>
          <c:order val="0"/>
          <c:tx>
            <c:strRef>
              <c:f>Φύλλο1!$A$2</c:f>
              <c:strCache>
                <c:ptCount val="1"/>
                <c:pt idx="0">
                  <c:v>20-29</c:v>
                </c:pt>
              </c:strCache>
            </c:strRef>
          </c:tx>
          <c:xVal>
            <c:numRef>
              <c:f>Φύλλο1!$B$1:$J$1</c:f>
              <c:numCache>
                <c:formatCode>General</c:formatCode>
                <c:ptCount val="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</c:numCache>
            </c:numRef>
          </c:xVal>
          <c:yVal>
            <c:numRef>
              <c:f>Φύλλο1!$B$2:$J$2</c:f>
              <c:numCache>
                <c:formatCode>General</c:formatCode>
                <c:ptCount val="9"/>
                <c:pt idx="0">
                  <c:v>0.99</c:v>
                </c:pt>
                <c:pt idx="1">
                  <c:v>0.99</c:v>
                </c:pt>
                <c:pt idx="2">
                  <c:v>6.92</c:v>
                </c:pt>
                <c:pt idx="3">
                  <c:v>3.9499999999999997</c:v>
                </c:pt>
                <c:pt idx="4">
                  <c:v>4.9400000000000004</c:v>
                </c:pt>
                <c:pt idx="5">
                  <c:v>5.9300000000000024</c:v>
                </c:pt>
                <c:pt idx="6">
                  <c:v>5.9300000000000024</c:v>
                </c:pt>
                <c:pt idx="7">
                  <c:v>3.9499999999999997</c:v>
                </c:pt>
                <c:pt idx="8">
                  <c:v>3.9499999999999997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1BE0-4858-A8A7-4C74A889A0F0}"/>
            </c:ext>
          </c:extLst>
        </c:ser>
        <c:ser>
          <c:idx val="1"/>
          <c:order val="1"/>
          <c:tx>
            <c:strRef>
              <c:f>Φύλλο1!$A$3</c:f>
              <c:strCache>
                <c:ptCount val="1"/>
                <c:pt idx="0">
                  <c:v>30-39</c:v>
                </c:pt>
              </c:strCache>
            </c:strRef>
          </c:tx>
          <c:xVal>
            <c:numRef>
              <c:f>Φύλλο1!$B$1:$J$1</c:f>
              <c:numCache>
                <c:formatCode>General</c:formatCode>
                <c:ptCount val="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</c:numCache>
            </c:numRef>
          </c:xVal>
          <c:yVal>
            <c:numRef>
              <c:f>Φύλλο1!$B$3:$J$3</c:f>
              <c:numCache>
                <c:formatCode>General</c:formatCode>
                <c:ptCount val="9"/>
                <c:pt idx="0">
                  <c:v>5.8599999999999985</c:v>
                </c:pt>
                <c:pt idx="1">
                  <c:v>7.81</c:v>
                </c:pt>
                <c:pt idx="2">
                  <c:v>6.83</c:v>
                </c:pt>
                <c:pt idx="3">
                  <c:v>8.7900000000000009</c:v>
                </c:pt>
                <c:pt idx="4">
                  <c:v>3.9</c:v>
                </c:pt>
                <c:pt idx="5">
                  <c:v>4.88</c:v>
                </c:pt>
                <c:pt idx="6">
                  <c:v>7.81</c:v>
                </c:pt>
                <c:pt idx="7">
                  <c:v>8.7900000000000009</c:v>
                </c:pt>
                <c:pt idx="8">
                  <c:v>5.8599999999999985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1BE0-4858-A8A7-4C74A889A0F0}"/>
            </c:ext>
          </c:extLst>
        </c:ser>
        <c:ser>
          <c:idx val="2"/>
          <c:order val="2"/>
          <c:tx>
            <c:strRef>
              <c:f>Φύλλο1!$A$4</c:f>
              <c:strCache>
                <c:ptCount val="1"/>
                <c:pt idx="0">
                  <c:v>40-49</c:v>
                </c:pt>
              </c:strCache>
            </c:strRef>
          </c:tx>
          <c:xVal>
            <c:numRef>
              <c:f>Φύλλο1!$B$1:$J$1</c:f>
              <c:numCache>
                <c:formatCode>General</c:formatCode>
                <c:ptCount val="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</c:numCache>
            </c:numRef>
          </c:xVal>
          <c:yVal>
            <c:numRef>
              <c:f>Φύλλο1!$B$4:$J$4</c:f>
              <c:numCache>
                <c:formatCode>General</c:formatCode>
                <c:ptCount val="9"/>
                <c:pt idx="0">
                  <c:v>7.45</c:v>
                </c:pt>
                <c:pt idx="1">
                  <c:v>9.57</c:v>
                </c:pt>
                <c:pt idx="2">
                  <c:v>10.639999999999999</c:v>
                </c:pt>
                <c:pt idx="3">
                  <c:v>14.89</c:v>
                </c:pt>
                <c:pt idx="4">
                  <c:v>5.3199999999999985</c:v>
                </c:pt>
                <c:pt idx="5">
                  <c:v>11.7</c:v>
                </c:pt>
                <c:pt idx="6">
                  <c:v>11.7</c:v>
                </c:pt>
                <c:pt idx="7">
                  <c:v>8.51</c:v>
                </c:pt>
                <c:pt idx="8">
                  <c:v>10.639999999999999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1BE0-4858-A8A7-4C74A889A0F0}"/>
            </c:ext>
          </c:extLst>
        </c:ser>
        <c:ser>
          <c:idx val="3"/>
          <c:order val="3"/>
          <c:tx>
            <c:strRef>
              <c:f>Φύλλο1!$A$5</c:f>
              <c:strCache>
                <c:ptCount val="1"/>
                <c:pt idx="0">
                  <c:v>50-59</c:v>
                </c:pt>
              </c:strCache>
            </c:strRef>
          </c:tx>
          <c:xVal>
            <c:numRef>
              <c:f>Φύλλο1!$B$1:$J$1</c:f>
              <c:numCache>
                <c:formatCode>General</c:formatCode>
                <c:ptCount val="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</c:numCache>
            </c:numRef>
          </c:xVal>
          <c:yVal>
            <c:numRef>
              <c:f>Φύλλο1!$B$5:$J$5</c:f>
              <c:numCache>
                <c:formatCode>General</c:formatCode>
                <c:ptCount val="9"/>
                <c:pt idx="0">
                  <c:v>15.04</c:v>
                </c:pt>
                <c:pt idx="1">
                  <c:v>16.29</c:v>
                </c:pt>
                <c:pt idx="2">
                  <c:v>10.030000000000001</c:v>
                </c:pt>
                <c:pt idx="3">
                  <c:v>17.54</c:v>
                </c:pt>
                <c:pt idx="4">
                  <c:v>12.53</c:v>
                </c:pt>
                <c:pt idx="5">
                  <c:v>12.53</c:v>
                </c:pt>
                <c:pt idx="6">
                  <c:v>16.29</c:v>
                </c:pt>
                <c:pt idx="7">
                  <c:v>16.29</c:v>
                </c:pt>
                <c:pt idx="8">
                  <c:v>12.53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1BE0-4858-A8A7-4C74A889A0F0}"/>
            </c:ext>
          </c:extLst>
        </c:ser>
        <c:ser>
          <c:idx val="4"/>
          <c:order val="4"/>
          <c:tx>
            <c:strRef>
              <c:f>Φύλλο1!$A$6</c:f>
              <c:strCache>
                <c:ptCount val="1"/>
                <c:pt idx="0">
                  <c:v>60-69</c:v>
                </c:pt>
              </c:strCache>
            </c:strRef>
          </c:tx>
          <c:xVal>
            <c:numRef>
              <c:f>Φύλλο1!$B$1:$J$1</c:f>
              <c:numCache>
                <c:formatCode>General</c:formatCode>
                <c:ptCount val="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</c:numCache>
            </c:numRef>
          </c:xVal>
          <c:yVal>
            <c:numRef>
              <c:f>Φύλλο1!$B$6:$J$6</c:f>
              <c:numCache>
                <c:formatCode>General</c:formatCode>
                <c:ptCount val="9"/>
                <c:pt idx="0">
                  <c:v>13.209999999999999</c:v>
                </c:pt>
                <c:pt idx="1">
                  <c:v>24.939999999999987</c:v>
                </c:pt>
                <c:pt idx="2">
                  <c:v>19</c:v>
                </c:pt>
                <c:pt idx="3">
                  <c:v>27.32</c:v>
                </c:pt>
                <c:pt idx="4">
                  <c:v>17.959999999999987</c:v>
                </c:pt>
                <c:pt idx="5">
                  <c:v>16.630000000000031</c:v>
                </c:pt>
                <c:pt idx="6">
                  <c:v>32.07</c:v>
                </c:pt>
                <c:pt idx="7">
                  <c:v>20.190000000000001</c:v>
                </c:pt>
                <c:pt idx="8">
                  <c:v>20.190000000000001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1BE0-4858-A8A7-4C74A889A0F0}"/>
            </c:ext>
          </c:extLst>
        </c:ser>
        <c:ser>
          <c:idx val="5"/>
          <c:order val="5"/>
          <c:tx>
            <c:strRef>
              <c:f>Φύλλο1!$A$7</c:f>
              <c:strCache>
                <c:ptCount val="1"/>
                <c:pt idx="0">
                  <c:v>70-79</c:v>
                </c:pt>
              </c:strCache>
            </c:strRef>
          </c:tx>
          <c:xVal>
            <c:numRef>
              <c:f>Φύλλο1!$B$1:$J$1</c:f>
              <c:numCache>
                <c:formatCode>General</c:formatCode>
                <c:ptCount val="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</c:numCache>
            </c:numRef>
          </c:xVal>
          <c:yVal>
            <c:numRef>
              <c:f>Φύλλο1!$B$7:$J$7</c:f>
              <c:numCache>
                <c:formatCode>General</c:formatCode>
                <c:ptCount val="9"/>
                <c:pt idx="0">
                  <c:v>61.4</c:v>
                </c:pt>
                <c:pt idx="1">
                  <c:v>59.74</c:v>
                </c:pt>
                <c:pt idx="2">
                  <c:v>49.790000000000013</c:v>
                </c:pt>
                <c:pt idx="3">
                  <c:v>54.77</c:v>
                </c:pt>
                <c:pt idx="4">
                  <c:v>46.879999999999995</c:v>
                </c:pt>
                <c:pt idx="5">
                  <c:v>76.55</c:v>
                </c:pt>
                <c:pt idx="6">
                  <c:v>69.7</c:v>
                </c:pt>
                <c:pt idx="7">
                  <c:v>84.85</c:v>
                </c:pt>
                <c:pt idx="8">
                  <c:v>59.949999999999996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5-1BE0-4858-A8A7-4C74A889A0F0}"/>
            </c:ext>
          </c:extLst>
        </c:ser>
        <c:ser>
          <c:idx val="6"/>
          <c:order val="6"/>
          <c:tx>
            <c:strRef>
              <c:f>Φύλλο1!$A$8</c:f>
              <c:strCache>
                <c:ptCount val="1"/>
                <c:pt idx="0">
                  <c:v>80-89</c:v>
                </c:pt>
              </c:strCache>
            </c:strRef>
          </c:tx>
          <c:xVal>
            <c:numRef>
              <c:f>Φύλλο1!$B$1:$J$1</c:f>
              <c:numCache>
                <c:formatCode>General</c:formatCode>
                <c:ptCount val="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</c:numCache>
            </c:numRef>
          </c:xVal>
          <c:yVal>
            <c:numRef>
              <c:f>Φύλλο1!$B$8:$J$8</c:f>
              <c:numCache>
                <c:formatCode>General</c:formatCode>
                <c:ptCount val="9"/>
                <c:pt idx="0">
                  <c:v>75.86</c:v>
                </c:pt>
                <c:pt idx="1">
                  <c:v>56.9</c:v>
                </c:pt>
                <c:pt idx="2">
                  <c:v>118.54</c:v>
                </c:pt>
                <c:pt idx="3">
                  <c:v>56.9</c:v>
                </c:pt>
                <c:pt idx="4">
                  <c:v>85.35</c:v>
                </c:pt>
                <c:pt idx="5">
                  <c:v>137.5</c:v>
                </c:pt>
                <c:pt idx="6">
                  <c:v>104.31</c:v>
                </c:pt>
                <c:pt idx="7">
                  <c:v>170.69</c:v>
                </c:pt>
                <c:pt idx="8">
                  <c:v>156.47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6-1BE0-4858-A8A7-4C74A889A0F0}"/>
            </c:ext>
          </c:extLst>
        </c:ser>
        <c:ser>
          <c:idx val="7"/>
          <c:order val="7"/>
          <c:tx>
            <c:strRef>
              <c:f>Φύλλο1!$A$9</c:f>
              <c:strCache>
                <c:ptCount val="1"/>
                <c:pt idx="0">
                  <c:v>&gt;90</c:v>
                </c:pt>
              </c:strCache>
            </c:strRef>
          </c:tx>
          <c:xVal>
            <c:numRef>
              <c:f>Φύλλο1!$B$1:$J$1</c:f>
              <c:numCache>
                <c:formatCode>General</c:formatCode>
                <c:ptCount val="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</c:numCache>
            </c:numRef>
          </c:xVal>
          <c:yVal>
            <c:numRef>
              <c:f>Φύλλο1!$B$9:$J$9</c:f>
              <c:numCache>
                <c:formatCode>General</c:formatCode>
                <c:ptCount val="9"/>
                <c:pt idx="0">
                  <c:v>87.78</c:v>
                </c:pt>
                <c:pt idx="1">
                  <c:v>87.78</c:v>
                </c:pt>
                <c:pt idx="2">
                  <c:v>58.52</c:v>
                </c:pt>
                <c:pt idx="3">
                  <c:v>87.78</c:v>
                </c:pt>
                <c:pt idx="4">
                  <c:v>0</c:v>
                </c:pt>
                <c:pt idx="5">
                  <c:v>146.31</c:v>
                </c:pt>
                <c:pt idx="6">
                  <c:v>175.57</c:v>
                </c:pt>
                <c:pt idx="7">
                  <c:v>117.04</c:v>
                </c:pt>
                <c:pt idx="8">
                  <c:v>87.78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7-1BE0-4858-A8A7-4C74A889A0F0}"/>
            </c:ext>
          </c:extLst>
        </c:ser>
        <c:axId val="109508480"/>
        <c:axId val="109694976"/>
      </c:scatterChart>
      <c:valAx>
        <c:axId val="10950848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Years</a:t>
                </a:r>
                <a:endParaRPr lang="el-GR"/>
              </a:p>
            </c:rich>
          </c:tx>
        </c:title>
        <c:numFmt formatCode="General" sourceLinked="1"/>
        <c:majorTickMark val="none"/>
        <c:tickLblPos val="nextTo"/>
        <c:crossAx val="109694976"/>
        <c:crosses val="autoZero"/>
        <c:crossBetween val="midCat"/>
      </c:valAx>
      <c:valAx>
        <c:axId val="10969497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Incidence</a:t>
                </a:r>
                <a:endParaRPr lang="el-GR"/>
              </a:p>
            </c:rich>
          </c:tx>
        </c:title>
        <c:numFmt formatCode="General" sourceLinked="1"/>
        <c:majorTickMark val="none"/>
        <c:tickLblPos val="nextTo"/>
        <c:crossAx val="109508480"/>
        <c:crosses val="autoZero"/>
        <c:crossBetween val="midCat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l-GR"/>
  <c:chart>
    <c:title>
      <c:tx>
        <c:rich>
          <a:bodyPr/>
          <a:lstStyle/>
          <a:p>
            <a:pPr>
              <a:defRPr/>
            </a:pPr>
            <a:r>
              <a:rPr lang="en-US"/>
              <a:t>B</a:t>
            </a:r>
            <a:endParaRPr lang="el-GR"/>
          </a:p>
        </c:rich>
      </c:tx>
    </c:title>
    <c:plotArea>
      <c:layout/>
      <c:scatterChart>
        <c:scatterStyle val="smoothMarker"/>
        <c:ser>
          <c:idx val="0"/>
          <c:order val="0"/>
          <c:tx>
            <c:strRef>
              <c:f>Φύλλο1!$A$2</c:f>
              <c:strCache>
                <c:ptCount val="1"/>
                <c:pt idx="0">
                  <c:v>20-29</c:v>
                </c:pt>
              </c:strCache>
            </c:strRef>
          </c:tx>
          <c:xVal>
            <c:numRef>
              <c:f>Φύλλο1!$B$1:$J$1</c:f>
              <c:numCache>
                <c:formatCode>General</c:formatCode>
                <c:ptCount val="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</c:numCache>
            </c:numRef>
          </c:xVal>
          <c:yVal>
            <c:numRef>
              <c:f>Φύλλο1!$B$2:$J$2</c:f>
              <c:numCache>
                <c:formatCode>General</c:formatCode>
                <c:ptCount val="9"/>
                <c:pt idx="0">
                  <c:v>3.67</c:v>
                </c:pt>
                <c:pt idx="1">
                  <c:v>0.92</c:v>
                </c:pt>
                <c:pt idx="2">
                  <c:v>4.58</c:v>
                </c:pt>
                <c:pt idx="3">
                  <c:v>3.67</c:v>
                </c:pt>
                <c:pt idx="4">
                  <c:v>3.67</c:v>
                </c:pt>
                <c:pt idx="5">
                  <c:v>2.75</c:v>
                </c:pt>
                <c:pt idx="6">
                  <c:v>7.34</c:v>
                </c:pt>
                <c:pt idx="7">
                  <c:v>6.42</c:v>
                </c:pt>
                <c:pt idx="8">
                  <c:v>5.5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8BDE-4855-9940-98EDD1A3B29E}"/>
            </c:ext>
          </c:extLst>
        </c:ser>
        <c:ser>
          <c:idx val="1"/>
          <c:order val="1"/>
          <c:tx>
            <c:strRef>
              <c:f>Φύλλο1!$A$3</c:f>
              <c:strCache>
                <c:ptCount val="1"/>
                <c:pt idx="0">
                  <c:v>30-39</c:v>
                </c:pt>
              </c:strCache>
            </c:strRef>
          </c:tx>
          <c:xVal>
            <c:numRef>
              <c:f>Φύλλο1!$B$1:$J$1</c:f>
              <c:numCache>
                <c:formatCode>General</c:formatCode>
                <c:ptCount val="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</c:numCache>
            </c:numRef>
          </c:xVal>
          <c:yVal>
            <c:numRef>
              <c:f>Φύλλο1!$B$3:$J$3</c:f>
              <c:numCache>
                <c:formatCode>General</c:formatCode>
                <c:ptCount val="9"/>
                <c:pt idx="0">
                  <c:v>4.8</c:v>
                </c:pt>
                <c:pt idx="1">
                  <c:v>7.68</c:v>
                </c:pt>
                <c:pt idx="2">
                  <c:v>8.6399999999999988</c:v>
                </c:pt>
                <c:pt idx="3">
                  <c:v>10.68</c:v>
                </c:pt>
                <c:pt idx="4">
                  <c:v>10.56</c:v>
                </c:pt>
                <c:pt idx="5">
                  <c:v>9.6</c:v>
                </c:pt>
                <c:pt idx="6">
                  <c:v>13.44</c:v>
                </c:pt>
                <c:pt idx="7">
                  <c:v>8.6399999999999988</c:v>
                </c:pt>
                <c:pt idx="8">
                  <c:v>10.56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8BDE-4855-9940-98EDD1A3B29E}"/>
            </c:ext>
          </c:extLst>
        </c:ser>
        <c:ser>
          <c:idx val="2"/>
          <c:order val="2"/>
          <c:tx>
            <c:strRef>
              <c:f>Φύλλο1!$A$4</c:f>
              <c:strCache>
                <c:ptCount val="1"/>
                <c:pt idx="0">
                  <c:v>40-49</c:v>
                </c:pt>
              </c:strCache>
            </c:strRef>
          </c:tx>
          <c:xVal>
            <c:numRef>
              <c:f>Φύλλο1!$B$1:$J$1</c:f>
              <c:numCache>
                <c:formatCode>General</c:formatCode>
                <c:ptCount val="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</c:numCache>
            </c:numRef>
          </c:xVal>
          <c:yVal>
            <c:numRef>
              <c:f>Φύλλο1!$B$4:$J$4</c:f>
              <c:numCache>
                <c:formatCode>General</c:formatCode>
                <c:ptCount val="9"/>
                <c:pt idx="0">
                  <c:v>6.46</c:v>
                </c:pt>
                <c:pt idx="1">
                  <c:v>6.46</c:v>
                </c:pt>
                <c:pt idx="2">
                  <c:v>11.84</c:v>
                </c:pt>
                <c:pt idx="3">
                  <c:v>9.69</c:v>
                </c:pt>
                <c:pt idx="4">
                  <c:v>11.84</c:v>
                </c:pt>
                <c:pt idx="5">
                  <c:v>8.61</c:v>
                </c:pt>
                <c:pt idx="6">
                  <c:v>14</c:v>
                </c:pt>
                <c:pt idx="7">
                  <c:v>11.84</c:v>
                </c:pt>
                <c:pt idx="8">
                  <c:v>9.69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8BDE-4855-9940-98EDD1A3B29E}"/>
            </c:ext>
          </c:extLst>
        </c:ser>
        <c:ser>
          <c:idx val="3"/>
          <c:order val="3"/>
          <c:tx>
            <c:strRef>
              <c:f>Φύλλο1!$A$5</c:f>
              <c:strCache>
                <c:ptCount val="1"/>
                <c:pt idx="0">
                  <c:v>50-59</c:v>
                </c:pt>
              </c:strCache>
            </c:strRef>
          </c:tx>
          <c:xVal>
            <c:numRef>
              <c:f>Φύλλο1!$B$1:$J$1</c:f>
              <c:numCache>
                <c:formatCode>General</c:formatCode>
                <c:ptCount val="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</c:numCache>
            </c:numRef>
          </c:xVal>
          <c:yVal>
            <c:numRef>
              <c:f>Φύλλο1!$B$5:$J$5</c:f>
              <c:numCache>
                <c:formatCode>General</c:formatCode>
                <c:ptCount val="9"/>
                <c:pt idx="0">
                  <c:v>21.02</c:v>
                </c:pt>
                <c:pt idx="1">
                  <c:v>9.2000000000000011</c:v>
                </c:pt>
                <c:pt idx="2">
                  <c:v>15.76</c:v>
                </c:pt>
                <c:pt idx="3">
                  <c:v>18.39</c:v>
                </c:pt>
                <c:pt idx="4">
                  <c:v>19.71</c:v>
                </c:pt>
                <c:pt idx="5">
                  <c:v>18.39</c:v>
                </c:pt>
                <c:pt idx="6">
                  <c:v>15.76</c:v>
                </c:pt>
                <c:pt idx="7">
                  <c:v>10.51</c:v>
                </c:pt>
                <c:pt idx="8">
                  <c:v>18.39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8BDE-4855-9940-98EDD1A3B29E}"/>
            </c:ext>
          </c:extLst>
        </c:ser>
        <c:ser>
          <c:idx val="4"/>
          <c:order val="4"/>
          <c:tx>
            <c:strRef>
              <c:f>Φύλλο1!$A$6</c:f>
              <c:strCache>
                <c:ptCount val="1"/>
                <c:pt idx="0">
                  <c:v>60-69</c:v>
                </c:pt>
              </c:strCache>
            </c:strRef>
          </c:tx>
          <c:xVal>
            <c:numRef>
              <c:f>Φύλλο1!$B$1:$J$1</c:f>
              <c:numCache>
                <c:formatCode>General</c:formatCode>
                <c:ptCount val="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</c:numCache>
            </c:numRef>
          </c:xVal>
          <c:yVal>
            <c:numRef>
              <c:f>Φύλλο1!$B$6:$J$6</c:f>
              <c:numCache>
                <c:formatCode>General</c:formatCode>
                <c:ptCount val="9"/>
                <c:pt idx="0">
                  <c:v>34.090000000000003</c:v>
                </c:pt>
                <c:pt idx="1">
                  <c:v>21.71</c:v>
                </c:pt>
                <c:pt idx="2">
                  <c:v>14.93</c:v>
                </c:pt>
                <c:pt idx="3">
                  <c:v>24.419999999999987</c:v>
                </c:pt>
                <c:pt idx="4">
                  <c:v>27.14</c:v>
                </c:pt>
                <c:pt idx="5">
                  <c:v>16.279999999999987</c:v>
                </c:pt>
                <c:pt idx="6">
                  <c:v>32.56</c:v>
                </c:pt>
                <c:pt idx="7">
                  <c:v>23.07</c:v>
                </c:pt>
                <c:pt idx="8">
                  <c:v>27.14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8BDE-4855-9940-98EDD1A3B29E}"/>
            </c:ext>
          </c:extLst>
        </c:ser>
        <c:ser>
          <c:idx val="5"/>
          <c:order val="5"/>
          <c:tx>
            <c:strRef>
              <c:f>Φύλλο1!$A$7</c:f>
              <c:strCache>
                <c:ptCount val="1"/>
                <c:pt idx="0">
                  <c:v>70-79</c:v>
                </c:pt>
              </c:strCache>
            </c:strRef>
          </c:tx>
          <c:xVal>
            <c:numRef>
              <c:f>Φύλλο1!$B$1:$J$1</c:f>
              <c:numCache>
                <c:formatCode>General</c:formatCode>
                <c:ptCount val="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</c:numCache>
            </c:numRef>
          </c:xVal>
          <c:yVal>
            <c:numRef>
              <c:f>Φύλλο1!$B$7:$J$7</c:f>
              <c:numCache>
                <c:formatCode>General</c:formatCode>
                <c:ptCount val="9"/>
                <c:pt idx="0">
                  <c:v>32.67</c:v>
                </c:pt>
                <c:pt idx="1">
                  <c:v>47.220000000000013</c:v>
                </c:pt>
                <c:pt idx="2">
                  <c:v>26.55</c:v>
                </c:pt>
                <c:pt idx="3">
                  <c:v>32.67</c:v>
                </c:pt>
                <c:pt idx="4">
                  <c:v>46.97</c:v>
                </c:pt>
                <c:pt idx="5">
                  <c:v>57.18</c:v>
                </c:pt>
                <c:pt idx="6">
                  <c:v>63.3</c:v>
                </c:pt>
                <c:pt idx="7">
                  <c:v>53.09</c:v>
                </c:pt>
                <c:pt idx="8">
                  <c:v>81.679999999999978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5-8BDE-4855-9940-98EDD1A3B29E}"/>
            </c:ext>
          </c:extLst>
        </c:ser>
        <c:ser>
          <c:idx val="6"/>
          <c:order val="6"/>
          <c:tx>
            <c:strRef>
              <c:f>Φύλλο1!$A$8</c:f>
              <c:strCache>
                <c:ptCount val="1"/>
                <c:pt idx="0">
                  <c:v>80-89</c:v>
                </c:pt>
              </c:strCache>
            </c:strRef>
          </c:tx>
          <c:xVal>
            <c:numRef>
              <c:f>Φύλλο1!$B$1:$J$1</c:f>
              <c:numCache>
                <c:formatCode>General</c:formatCode>
                <c:ptCount val="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</c:numCache>
            </c:numRef>
          </c:xVal>
          <c:yVal>
            <c:numRef>
              <c:f>Φύλλο1!$B$8:$J$8</c:f>
              <c:numCache>
                <c:formatCode>General</c:formatCode>
                <c:ptCount val="9"/>
                <c:pt idx="0">
                  <c:v>25.69</c:v>
                </c:pt>
                <c:pt idx="1">
                  <c:v>77.08</c:v>
                </c:pt>
                <c:pt idx="2">
                  <c:v>44.96</c:v>
                </c:pt>
                <c:pt idx="3">
                  <c:v>32.120000000000012</c:v>
                </c:pt>
                <c:pt idx="4">
                  <c:v>90.73</c:v>
                </c:pt>
                <c:pt idx="5">
                  <c:v>77.08</c:v>
                </c:pt>
                <c:pt idx="6">
                  <c:v>122.04</c:v>
                </c:pt>
                <c:pt idx="7">
                  <c:v>77.08</c:v>
                </c:pt>
                <c:pt idx="8">
                  <c:v>154.16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6-8BDE-4855-9940-98EDD1A3B29E}"/>
            </c:ext>
          </c:extLst>
        </c:ser>
        <c:ser>
          <c:idx val="7"/>
          <c:order val="7"/>
          <c:tx>
            <c:strRef>
              <c:f>Φύλλο1!$A$9</c:f>
              <c:strCache>
                <c:ptCount val="1"/>
                <c:pt idx="0">
                  <c:v>&gt;90</c:v>
                </c:pt>
              </c:strCache>
            </c:strRef>
          </c:tx>
          <c:xVal>
            <c:numRef>
              <c:f>Φύλλο1!$B$1:$J$1</c:f>
              <c:numCache>
                <c:formatCode>General</c:formatCode>
                <c:ptCount val="9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</c:numCache>
            </c:numRef>
          </c:xVal>
          <c:yVal>
            <c:numRef>
              <c:f>Φύλλο1!$B$9:$J$9</c:f>
              <c:numCache>
                <c:formatCode>General</c:formatCode>
                <c:ptCount val="9"/>
                <c:pt idx="0">
                  <c:v>257.04000000000002</c:v>
                </c:pt>
                <c:pt idx="1">
                  <c:v>0</c:v>
                </c:pt>
                <c:pt idx="2">
                  <c:v>171.36</c:v>
                </c:pt>
                <c:pt idx="3">
                  <c:v>85.679999999999978</c:v>
                </c:pt>
                <c:pt idx="4">
                  <c:v>257.04000000000002</c:v>
                </c:pt>
                <c:pt idx="5">
                  <c:v>171.36</c:v>
                </c:pt>
                <c:pt idx="6">
                  <c:v>342.71999999999969</c:v>
                </c:pt>
                <c:pt idx="7">
                  <c:v>0</c:v>
                </c:pt>
                <c:pt idx="8">
                  <c:v>171.36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7-8BDE-4855-9940-98EDD1A3B29E}"/>
            </c:ext>
          </c:extLst>
        </c:ser>
        <c:axId val="109875968"/>
        <c:axId val="109877888"/>
      </c:scatterChart>
      <c:valAx>
        <c:axId val="10987596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Years</a:t>
                </a:r>
                <a:endParaRPr lang="el-GR"/>
              </a:p>
            </c:rich>
          </c:tx>
        </c:title>
        <c:numFmt formatCode="General" sourceLinked="1"/>
        <c:majorTickMark val="none"/>
        <c:tickLblPos val="nextTo"/>
        <c:crossAx val="109877888"/>
        <c:crosses val="autoZero"/>
        <c:crossBetween val="midCat"/>
      </c:valAx>
      <c:valAx>
        <c:axId val="10987788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Incedence</a:t>
                </a:r>
                <a:endParaRPr lang="el-GR"/>
              </a:p>
            </c:rich>
          </c:tx>
        </c:title>
        <c:numFmt formatCode="General" sourceLinked="1"/>
        <c:majorTickMark val="none"/>
        <c:tickLblPos val="nextTo"/>
        <c:crossAx val="109875968"/>
        <c:crosses val="autoZero"/>
        <c:crossBetween val="midCat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2019-05-29T16:33:00Z</dcterms:created>
  <dcterms:modified xsi:type="dcterms:W3CDTF">2019-07-20T17:44:00Z</dcterms:modified>
</cp:coreProperties>
</file>