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2980"/>
        <w:gridCol w:w="2645"/>
        <w:gridCol w:w="2619"/>
        <w:gridCol w:w="1332"/>
      </w:tblGrid>
      <w:tr w:rsidR="000819D8" w:rsidRPr="008655F3" w:rsidTr="000819D8">
        <w:trPr>
          <w:trHeight w:val="523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Supplementary Table 1</w:t>
            </w:r>
            <w:r w:rsidRPr="008655F3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  <w:t>.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Techniques and devices for catheter-based therapy and catheter-directed thrombolysis of </w:t>
            </w:r>
            <w:r w:rsidRPr="008655F3">
              <w:rPr>
                <w:rFonts w:ascii="Times New Roman" w:hAnsi="Times New Roman"/>
                <w:color w:val="000000"/>
                <w:sz w:val="24"/>
                <w:lang w:bidi="ar"/>
              </w:rPr>
              <w:t>Acute Ischemia Patients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.</w:t>
            </w:r>
          </w:p>
        </w:tc>
      </w:tr>
      <w:tr w:rsidR="000819D8" w:rsidRPr="008655F3" w:rsidTr="000819D8">
        <w:trPr>
          <w:trHeight w:val="280"/>
        </w:trPr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Technique (Type)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Device used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Angiographic thrombus characteristics</w:t>
            </w:r>
          </w:p>
        </w:tc>
        <w:tc>
          <w:tcPr>
            <w:tcW w:w="2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Procedural details</w:t>
            </w:r>
          </w:p>
        </w:tc>
      </w:tr>
      <w:tr w:rsidR="000819D8" w:rsidRPr="008655F3" w:rsidTr="000819D8">
        <w:trPr>
          <w:trHeight w:val="960"/>
        </w:trPr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Catheter-directed thrombolysis (CDT)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Uni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*fuse catheter (4F);</w:t>
            </w:r>
          </w:p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F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ountain catheter (4F)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Slight, fresh thrombus/emboli</w:t>
            </w:r>
          </w:p>
        </w:tc>
        <w:tc>
          <w:tcPr>
            <w:tcW w:w="22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The distal end of the 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guidewire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was placed over the site of the thrombus, a multiple side hole infusion catheter was delivered traversing the occlusion and low-dose 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alteplase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was delivered via the catheter.</w:t>
            </w:r>
          </w:p>
        </w:tc>
      </w:tr>
      <w:tr w:rsidR="000819D8" w:rsidRPr="008655F3" w:rsidTr="000819D8">
        <w:trPr>
          <w:trHeight w:val="1129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Thrombo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-aspiration 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thrombectomy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(CBT)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Guiding catheter (8F), syringe (50 mL)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Massive, fresh thrombus/emboli</w:t>
            </w:r>
          </w:p>
        </w:tc>
        <w:tc>
          <w:tcPr>
            <w:tcW w:w="22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An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 xml:space="preserve"> 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8F 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guiding catheter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 xml:space="preserve">combined 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with a regular 50 mL syringe with a detachable hemostatic valve for suction is used to slowly withdraw the clot through the introducer sheath to 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lastRenderedPageBreak/>
              <w:t>aspirate it from the vessel.</w:t>
            </w:r>
          </w:p>
        </w:tc>
      </w:tr>
      <w:tr w:rsidR="000819D8" w:rsidRPr="008655F3" w:rsidTr="000819D8">
        <w:trPr>
          <w:trHeight w:val="532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lastRenderedPageBreak/>
              <w:t>Microfragmentation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thrombectomy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(CBT)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R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otarex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catheter 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(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8F) (Straub Medical,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 xml:space="preserve"> 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Switzerland)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Massive, slight older thrombus/emboli</w:t>
            </w:r>
          </w:p>
        </w:tc>
        <w:tc>
          <w:tcPr>
            <w:tcW w:w="226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R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otarex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catheter was introduced over a 0.018-inch 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guidewire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and then advanced across the thrombus segment. The catheter was gently withdrawn and pulled back during aspiration.</w:t>
            </w:r>
          </w:p>
        </w:tc>
      </w:tr>
      <w:tr w:rsidR="000819D8" w:rsidRPr="008655F3" w:rsidTr="000819D8">
        <w:trPr>
          <w:trHeight w:val="145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Pharmaco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-mechanical 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thrombectomy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(CBT)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AngioJet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(6F) 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thrombectomy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with 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p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ower 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p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ulse thrombolysis (Boston Scientific, Fremont, CA)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Massive, fresh thrombus/emboli</w:t>
            </w:r>
          </w:p>
        </w:tc>
        <w:tc>
          <w:tcPr>
            <w:tcW w:w="22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Care was taken to advance the 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AngioJet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catheter slowly through the 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thrombosed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segment (only in vessels estimated to be greater than 6 mm in diameter). Then, 25 million units of 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urokinase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proofErr w:type="gram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lastRenderedPageBreak/>
              <w:t>was</w:t>
            </w:r>
            <w:proofErr w:type="gram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delivered under the power pulse model and waiting 30 minutes. The pump unit was active during slow catheter passages (3 mm/s to 5 mm/s) across the thrombus segment in a distal-to-proximal or adverse direction and under fluoroscopic guidance. Individual run times were monitored and kept at less than 20 s.</w:t>
            </w:r>
          </w:p>
        </w:tc>
      </w:tr>
      <w:tr w:rsidR="000819D8" w:rsidRPr="008655F3" w:rsidTr="000819D8">
        <w:trPr>
          <w:trHeight w:val="508"/>
        </w:trPr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lastRenderedPageBreak/>
              <w:t>Combined techniques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CBT combined with reduced-dose thrombolysis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Situ thrombus residual or distal embolism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F471F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Alteplase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20 mg diluted in 500 ml of 0.9% saline was administered through catheter at an infusion rate of 0.01 mg/</w:t>
            </w:r>
            <w:proofErr w:type="spellStart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kg.h</w:t>
            </w:r>
            <w:proofErr w:type="spellEnd"/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lastRenderedPageBreak/>
              <w:t>following CDT; the maximum rate was no more than 1.0 mg/h.</w:t>
            </w:r>
          </w:p>
        </w:tc>
      </w:tr>
    </w:tbl>
    <w:p w:rsidR="000819D8" w:rsidRPr="008655F3" w:rsidRDefault="000819D8" w:rsidP="000819D8">
      <w:pPr>
        <w:jc w:val="left"/>
        <w:rPr>
          <w:rFonts w:ascii="Times New Roman" w:hAnsi="Times New Roman"/>
          <w:sz w:val="24"/>
        </w:rPr>
      </w:pPr>
      <w:r w:rsidRPr="008655F3">
        <w:rPr>
          <w:rFonts w:ascii="Times New Roman" w:hAnsi="Times New Roman"/>
          <w:sz w:val="24"/>
        </w:rPr>
        <w:lastRenderedPageBreak/>
        <w:t>CDT = catheter-</w:t>
      </w:r>
      <w:r w:rsidRPr="008655F3">
        <w:rPr>
          <w:rFonts w:ascii="Times New Roman" w:hAnsi="Times New Roman" w:hint="eastAsia"/>
          <w:sz w:val="24"/>
        </w:rPr>
        <w:t>di</w:t>
      </w:r>
      <w:r w:rsidRPr="008655F3">
        <w:rPr>
          <w:rFonts w:ascii="Times New Roman" w:hAnsi="Times New Roman"/>
          <w:sz w:val="24"/>
        </w:rPr>
        <w:t xml:space="preserve">rected thrombolysis, F = </w:t>
      </w:r>
      <w:bookmarkStart w:id="0" w:name="_Hlk41511805"/>
      <w:bookmarkStart w:id="1" w:name="OLE_LINK4"/>
      <w:r w:rsidRPr="008655F3">
        <w:rPr>
          <w:rFonts w:ascii="Times New Roman" w:hAnsi="Times New Roman"/>
          <w:sz w:val="24"/>
        </w:rPr>
        <w:t>French</w:t>
      </w:r>
      <w:bookmarkEnd w:id="0"/>
      <w:bookmarkEnd w:id="1"/>
      <w:r w:rsidRPr="008655F3">
        <w:rPr>
          <w:rFonts w:ascii="Times New Roman" w:hAnsi="Times New Roman"/>
          <w:sz w:val="24"/>
        </w:rPr>
        <w:t xml:space="preserve"> (refers to catheter diameter)</w:t>
      </w:r>
      <w:r w:rsidRPr="008655F3">
        <w:rPr>
          <w:rFonts w:ascii="Times New Roman" w:hAnsi="Times New Roman" w:hint="eastAsia"/>
          <w:sz w:val="24"/>
        </w:rPr>
        <w:t>.</w:t>
      </w:r>
    </w:p>
    <w:p w:rsidR="000819D8" w:rsidRPr="008655F3" w:rsidRDefault="000819D8" w:rsidP="000819D8">
      <w:pPr>
        <w:jc w:val="left"/>
        <w:rPr>
          <w:rFonts w:ascii="Times New Roman" w:hAnsi="Times New Roman"/>
          <w:sz w:val="24"/>
        </w:rPr>
      </w:pPr>
      <w:r w:rsidRPr="008655F3">
        <w:rPr>
          <w:rFonts w:ascii="Times New Roman" w:hAnsi="Times New Roman"/>
          <w:sz w:val="24"/>
        </w:rPr>
        <w:t>This is an identical replica of the table in the 1997 publication by Rutherford et al.</w:t>
      </w:r>
      <w:proofErr w:type="gramStart"/>
      <w:r w:rsidRPr="008655F3">
        <w:rPr>
          <w:rFonts w:ascii="Times New Roman" w:hAnsi="Times New Roman"/>
          <w:sz w:val="24"/>
        </w:rPr>
        <w:t>,</w:t>
      </w:r>
      <w:r w:rsidRPr="008655F3">
        <w:rPr>
          <w:rFonts w:ascii="Times New Roman" w:hAnsi="Times New Roman"/>
          <w:sz w:val="24"/>
          <w:vertAlign w:val="superscript"/>
        </w:rPr>
        <w:t>2</w:t>
      </w:r>
      <w:proofErr w:type="gramEnd"/>
      <w:r w:rsidRPr="008655F3">
        <w:rPr>
          <w:rFonts w:ascii="Times New Roman" w:hAnsi="Times New Roman"/>
          <w:sz w:val="24"/>
          <w:vertAlign w:val="superscript"/>
        </w:rPr>
        <w:t xml:space="preserve"> </w:t>
      </w:r>
      <w:r w:rsidRPr="008655F3">
        <w:rPr>
          <w:rFonts w:ascii="Times New Roman" w:hAnsi="Times New Roman"/>
          <w:sz w:val="24"/>
        </w:rPr>
        <w:t>with the exception of the asterisks (*).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87"/>
        <w:gridCol w:w="2722"/>
        <w:gridCol w:w="1345"/>
        <w:gridCol w:w="1794"/>
        <w:gridCol w:w="1064"/>
        <w:gridCol w:w="1064"/>
      </w:tblGrid>
      <w:tr w:rsidR="000819D8" w:rsidRPr="008655F3" w:rsidTr="000819D8">
        <w:trPr>
          <w:trHeight w:val="382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bookmarkStart w:id="2" w:name="_GoBack"/>
            <w:r w:rsidRPr="008655F3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Supplementary Table 2</w:t>
            </w:r>
            <w:r w:rsidRPr="008655F3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  <w:t>.</w:t>
            </w:r>
            <w:r w:rsidRPr="008655F3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R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ut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herford 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c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ategories of </w:t>
            </w:r>
            <w:r w:rsidRPr="008655F3">
              <w:rPr>
                <w:rFonts w:ascii="Times New Roman" w:hAnsi="Times New Roman"/>
                <w:color w:val="000000"/>
                <w:sz w:val="24"/>
                <w:lang w:bidi="ar"/>
              </w:rPr>
              <w:t>Acute Ischemia Patients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.</w:t>
            </w:r>
          </w:p>
        </w:tc>
      </w:tr>
      <w:bookmarkEnd w:id="2"/>
      <w:tr w:rsidR="000819D8" w:rsidRPr="008655F3" w:rsidTr="000819D8">
        <w:trPr>
          <w:trHeight w:val="315"/>
        </w:trPr>
        <w:tc>
          <w:tcPr>
            <w:tcW w:w="80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Category</w:t>
            </w:r>
          </w:p>
        </w:tc>
        <w:tc>
          <w:tcPr>
            <w:tcW w:w="136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Description/prognosis</w:t>
            </w:r>
          </w:p>
        </w:tc>
        <w:tc>
          <w:tcPr>
            <w:tcW w:w="18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Findings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Doppler signal</w:t>
            </w:r>
          </w:p>
        </w:tc>
      </w:tr>
      <w:tr w:rsidR="000819D8" w:rsidRPr="008655F3" w:rsidTr="000819D8">
        <w:trPr>
          <w:trHeight w:val="315"/>
        </w:trPr>
        <w:tc>
          <w:tcPr>
            <w:tcW w:w="80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 w:themeColor="text1"/>
                <w:kern w:val="0"/>
                <w:sz w:val="24"/>
              </w:rPr>
              <w:t>Sensory loss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Muscle weakness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Arterial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Venous</w:t>
            </w:r>
          </w:p>
        </w:tc>
      </w:tr>
      <w:tr w:rsidR="000819D8" w:rsidRPr="008655F3" w:rsidTr="000819D8">
        <w:trPr>
          <w:trHeight w:val="315"/>
        </w:trPr>
        <w:tc>
          <w:tcPr>
            <w:tcW w:w="8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I. Viable</w:t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Not immediately threatened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None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None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Audible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Audible</w:t>
            </w:r>
          </w:p>
        </w:tc>
      </w:tr>
      <w:tr w:rsidR="000819D8" w:rsidRPr="008655F3" w:rsidTr="000819D8">
        <w:trPr>
          <w:trHeight w:val="305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II. Threatened</w:t>
            </w:r>
          </w:p>
        </w:tc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0819D8" w:rsidRPr="008655F3" w:rsidTr="000819D8">
        <w:trPr>
          <w:trHeight w:val="317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0819D8" w:rsidRPr="008655F3" w:rsidRDefault="000819D8" w:rsidP="000819D8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a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. Marginally</w:t>
            </w:r>
          </w:p>
        </w:tc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Salvageable if promptly treated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Minimal (toes) or none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None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Inaudible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Audible</w:t>
            </w:r>
          </w:p>
        </w:tc>
      </w:tr>
      <w:tr w:rsidR="000819D8" w:rsidRPr="008655F3" w:rsidTr="000819D8">
        <w:trPr>
          <w:trHeight w:val="609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:rsidR="000819D8" w:rsidRPr="008655F3" w:rsidRDefault="000819D8" w:rsidP="000819D8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b. Immediately</w:t>
            </w:r>
          </w:p>
        </w:tc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S</w:t>
            </w: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alvageable with immediate revascularization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More than toes, associated with rest pain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Mild, moderate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Inaudible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Audible</w:t>
            </w:r>
          </w:p>
        </w:tc>
      </w:tr>
      <w:tr w:rsidR="000819D8" w:rsidRPr="008655F3" w:rsidTr="000819D8">
        <w:trPr>
          <w:trHeight w:val="619"/>
        </w:trPr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III. Irreversible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Major tissue loss or permanent nerve damage inevitable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>Profound, anesthetic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Profound, </w:t>
            </w: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paralysis (rigor)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Inaudible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819D8" w:rsidRPr="008655F3" w:rsidRDefault="000819D8" w:rsidP="000819D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8655F3">
              <w:rPr>
                <w:rFonts w:ascii="Times New Roman" w:hAnsi="Times New Roman" w:hint="eastAsia"/>
                <w:color w:val="000000"/>
                <w:kern w:val="0"/>
                <w:sz w:val="24"/>
              </w:rPr>
              <w:t>Inaudible</w:t>
            </w:r>
          </w:p>
        </w:tc>
      </w:tr>
    </w:tbl>
    <w:p w:rsidR="00F008BE" w:rsidRDefault="00F008BE"/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D8"/>
    <w:rsid w:val="00026427"/>
    <w:rsid w:val="000819D8"/>
    <w:rsid w:val="00283642"/>
    <w:rsid w:val="003712D7"/>
    <w:rsid w:val="003A7FBB"/>
    <w:rsid w:val="00653363"/>
    <w:rsid w:val="0068317D"/>
    <w:rsid w:val="007044C1"/>
    <w:rsid w:val="008E59A2"/>
    <w:rsid w:val="00A8046E"/>
    <w:rsid w:val="00C35247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9D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widowControl/>
      <w:bidi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widowControl/>
      <w:bidi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widowControl/>
      <w:bidi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widowControl/>
      <w:bidi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widowControl/>
      <w:bidi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widowControl/>
      <w:bidi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widowControl/>
      <w:bidi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widowControl/>
      <w:bidi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widowControl/>
      <w:bidi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widowControl/>
      <w:bidi/>
      <w:spacing w:before="100" w:beforeAutospacing="1" w:after="100" w:afterAutospacing="1" w:line="276" w:lineRule="auto"/>
      <w:jc w:val="left"/>
    </w:pPr>
    <w:rPr>
      <w:rFonts w:eastAsia="Times New Roman"/>
      <w:kern w:val="0"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widowControl/>
      <w:bidi/>
      <w:spacing w:after="200"/>
      <w:jc w:val="left"/>
    </w:pPr>
    <w:rPr>
      <w:rFonts w:eastAsiaTheme="minorHAnsi"/>
      <w:b/>
      <w:bCs/>
      <w:color w:val="4F81BD" w:themeColor="accent1"/>
      <w:kern w:val="0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widowControl/>
      <w:pBdr>
        <w:bottom w:val="single" w:sz="8" w:space="4" w:color="4F81BD" w:themeColor="accent1"/>
      </w:pBdr>
      <w:bidi/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8046E"/>
    <w:pPr>
      <w:widowControl/>
      <w:bidi/>
      <w:spacing w:after="200" w:line="276" w:lineRule="auto"/>
      <w:ind w:left="720"/>
      <w:contextualSpacing/>
      <w:jc w:val="left"/>
    </w:pPr>
    <w:rPr>
      <w:rFonts w:eastAsiaTheme="minorHAnsi"/>
      <w:kern w:val="0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widowControl/>
      <w:numPr>
        <w:ilvl w:val="1"/>
      </w:numPr>
      <w:bidi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bidi/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/>
      <w:bidi/>
      <w:spacing w:after="200" w:line="276" w:lineRule="auto"/>
      <w:jc w:val="left"/>
    </w:pPr>
    <w:rPr>
      <w:rFonts w:eastAsiaTheme="minorHAnsi"/>
      <w:i/>
      <w:iCs/>
      <w:color w:val="000000" w:themeColor="text1"/>
      <w:kern w:val="0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/>
      <w:pBdr>
        <w:bottom w:val="single" w:sz="4" w:space="4" w:color="4F81BD" w:themeColor="accent1"/>
      </w:pBdr>
      <w:bidi/>
      <w:spacing w:before="200" w:after="280" w:line="276" w:lineRule="auto"/>
      <w:ind w:left="936" w:right="936"/>
      <w:jc w:val="left"/>
    </w:pPr>
    <w:rPr>
      <w:rFonts w:eastAsiaTheme="minorHAnsi"/>
      <w:b/>
      <w:bCs/>
      <w:i/>
      <w:iCs/>
      <w:color w:val="4F81BD" w:themeColor="accent1"/>
      <w:kern w:val="0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/>
      <w:autoSpaceDE w:val="0"/>
      <w:autoSpaceDN w:val="0"/>
      <w:bidi/>
      <w:adjustRightInd w:val="0"/>
      <w:spacing w:after="200" w:line="276" w:lineRule="auto"/>
      <w:ind w:left="40"/>
      <w:jc w:val="left"/>
    </w:pPr>
    <w:rPr>
      <w:rFonts w:ascii="Times New Roman" w:eastAsiaTheme="minorHAnsi" w:hAnsi="Times New Roman"/>
      <w:kern w:val="0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character" w:customStyle="1" w:styleId="ListParagraphChar">
    <w:name w:val="List Paragraph Char"/>
    <w:basedOn w:val="DefaultParagraphFont"/>
    <w:link w:val="ListParagraph"/>
    <w:uiPriority w:val="34"/>
    <w:rsid w:val="00A804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9D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widowControl/>
      <w:bidi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widowControl/>
      <w:bidi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widowControl/>
      <w:bidi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widowControl/>
      <w:bidi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widowControl/>
      <w:bidi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widowControl/>
      <w:bidi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widowControl/>
      <w:bidi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widowControl/>
      <w:bidi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widowControl/>
      <w:bidi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widowControl/>
      <w:bidi/>
      <w:spacing w:before="100" w:beforeAutospacing="1" w:after="100" w:afterAutospacing="1" w:line="276" w:lineRule="auto"/>
      <w:jc w:val="left"/>
    </w:pPr>
    <w:rPr>
      <w:rFonts w:eastAsia="Times New Roman"/>
      <w:kern w:val="0"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widowControl/>
      <w:bidi/>
      <w:spacing w:after="200"/>
      <w:jc w:val="left"/>
    </w:pPr>
    <w:rPr>
      <w:rFonts w:eastAsiaTheme="minorHAnsi"/>
      <w:b/>
      <w:bCs/>
      <w:color w:val="4F81BD" w:themeColor="accent1"/>
      <w:kern w:val="0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widowControl/>
      <w:pBdr>
        <w:bottom w:val="single" w:sz="8" w:space="4" w:color="4F81BD" w:themeColor="accent1"/>
      </w:pBdr>
      <w:bidi/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8046E"/>
    <w:pPr>
      <w:widowControl/>
      <w:bidi/>
      <w:spacing w:after="200" w:line="276" w:lineRule="auto"/>
      <w:ind w:left="720"/>
      <w:contextualSpacing/>
      <w:jc w:val="left"/>
    </w:pPr>
    <w:rPr>
      <w:rFonts w:eastAsiaTheme="minorHAnsi"/>
      <w:kern w:val="0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widowControl/>
      <w:numPr>
        <w:ilvl w:val="1"/>
      </w:numPr>
      <w:bidi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bidi/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/>
      <w:bidi/>
      <w:spacing w:after="200" w:line="276" w:lineRule="auto"/>
      <w:jc w:val="left"/>
    </w:pPr>
    <w:rPr>
      <w:rFonts w:eastAsiaTheme="minorHAnsi"/>
      <w:i/>
      <w:iCs/>
      <w:color w:val="000000" w:themeColor="text1"/>
      <w:kern w:val="0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/>
      <w:pBdr>
        <w:bottom w:val="single" w:sz="4" w:space="4" w:color="4F81BD" w:themeColor="accent1"/>
      </w:pBdr>
      <w:bidi/>
      <w:spacing w:before="200" w:after="280" w:line="276" w:lineRule="auto"/>
      <w:ind w:left="936" w:right="936"/>
      <w:jc w:val="left"/>
    </w:pPr>
    <w:rPr>
      <w:rFonts w:eastAsiaTheme="minorHAnsi"/>
      <w:b/>
      <w:bCs/>
      <w:i/>
      <w:iCs/>
      <w:color w:val="4F81BD" w:themeColor="accent1"/>
      <w:kern w:val="0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/>
      <w:autoSpaceDE w:val="0"/>
      <w:autoSpaceDN w:val="0"/>
      <w:bidi/>
      <w:adjustRightInd w:val="0"/>
      <w:spacing w:after="200" w:line="276" w:lineRule="auto"/>
      <w:ind w:left="40"/>
      <w:jc w:val="left"/>
    </w:pPr>
    <w:rPr>
      <w:rFonts w:ascii="Times New Roman" w:eastAsiaTheme="minorHAnsi" w:hAnsi="Times New Roman"/>
      <w:kern w:val="0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character" w:customStyle="1" w:styleId="ListParagraphChar">
    <w:name w:val="List Paragraph Char"/>
    <w:basedOn w:val="DefaultParagraphFont"/>
    <w:link w:val="ListParagraph"/>
    <w:uiPriority w:val="34"/>
    <w:rsid w:val="00A80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2520</Characters>
  <Application>Microsoft Office Word</Application>
  <DocSecurity>0</DocSecurity>
  <Lines>66</Lines>
  <Paragraphs>32</Paragraphs>
  <ScaleCrop>false</ScaleCrop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2021-11-19T15:53:00Z</dcterms:created>
  <dcterms:modified xsi:type="dcterms:W3CDTF">2021-11-19T15:54:00Z</dcterms:modified>
</cp:coreProperties>
</file>